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r>
        <w:rPr>
          <w:rFonts w:ascii="Cambria Bold" w:hAnsi="Cambria Bold"/>
          <w:sz w:val="36"/>
          <w:szCs w:val="36"/>
          <w:rtl w:val="0"/>
          <w:lang w:val="en-US"/>
        </w:rPr>
        <w:t xml:space="preserve">EU AI Act </w:t>
      </w:r>
      <w:r>
        <w:rPr>
          <w:rFonts w:ascii="Cambria Bold" w:hAnsi="Cambria Bold" w:hint="default"/>
          <w:sz w:val="36"/>
          <w:szCs w:val="36"/>
          <w:rtl w:val="0"/>
          <w:lang w:val="en-US"/>
        </w:rPr>
        <w:t xml:space="preserve">— </w:t>
      </w:r>
      <w:r>
        <w:rPr>
          <w:rFonts w:ascii="Cambria Bold" w:hAnsi="Cambria Bold"/>
          <w:sz w:val="36"/>
          <w:szCs w:val="36"/>
          <w:rtl w:val="0"/>
          <w:lang w:val="en-US"/>
        </w:rPr>
        <w:t>Regulation (EU) 2024/1689</w:t>
      </w:r>
      <w:r>
        <w:rPr>
          <w:rFonts w:ascii="Cambria Bold" w:cs="Cambria Bold" w:hAnsi="Cambria Bold" w:eastAsia="Cambria Bold"/>
          <w:sz w:val="36"/>
          <w:szCs w:val="36"/>
        </w:rPr>
        <w:br w:type="textWrapping"/>
      </w:r>
      <w:r>
        <w:rPr>
          <w:rFonts w:ascii="Cambria Bold" w:hAnsi="Cambria Bold"/>
          <w:sz w:val="36"/>
          <w:szCs w:val="36"/>
          <w:rtl w:val="0"/>
          <w:lang w:val="en-US"/>
        </w:rPr>
        <w:t>AIME Compliance Approach (Draft)</w:t>
      </w:r>
    </w:p>
    <w:p>
      <w:pPr>
        <w:pStyle w:val="Body"/>
        <w:jc w:val="center"/>
      </w:pPr>
      <w:r>
        <w:rPr>
          <w:sz w:val="20"/>
          <w:szCs w:val="20"/>
          <w:rtl w:val="0"/>
          <w:lang w:val="de-DE"/>
        </w:rPr>
        <w:t>Version: 1.0    Date: 2026-01-23</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tl w:val="0"/>
          <w:lang w:val="en-US"/>
        </w:rPr>
        <w:t>This document describes how AIME addresses key obligations and expectations relevant to the EU AI Act (Regulation (EU) 2024/1689). It is written for internal governance and should be reviewed and updated as AIME</w:t>
      </w:r>
      <w:r>
        <w:rPr>
          <w:rtl w:val="1"/>
        </w:rPr>
        <w:t>’</w:t>
      </w:r>
      <w:r>
        <w:rPr>
          <w:rtl w:val="0"/>
          <w:lang w:val="en-US"/>
        </w:rPr>
        <w:t>s feature set, deployment footprint, and user base evolve.</w:t>
      </w:r>
    </w:p>
    <w:p>
      <w:pPr>
        <w:pStyle w:val="Body"/>
      </w:pPr>
    </w:p>
    <w:p>
      <w:pPr>
        <w:pStyle w:val="Body"/>
      </w:pPr>
      <w:r>
        <w:rPr>
          <w:rFonts w:ascii="Cambria Bold" w:hAnsi="Cambria Bold"/>
          <w:sz w:val="28"/>
          <w:szCs w:val="28"/>
          <w:rtl w:val="0"/>
          <w:lang w:val="en-US"/>
        </w:rPr>
        <w:t>System summary (for AI Act context)</w:t>
      </w:r>
    </w:p>
    <w:p>
      <w:pPr>
        <w:pStyle w:val="List Bullet"/>
        <w:numPr>
          <w:ilvl w:val="0"/>
          <w:numId w:val="2"/>
        </w:numPr>
      </w:pPr>
      <w:r>
        <w:rPr>
          <w:rtl w:val="0"/>
          <w:lang w:val="en-US"/>
        </w:rPr>
        <w:t>AIME is an internal workplace system for 90-day goal-setting (OKRs/OKRTs) and execution visibility.</w:t>
      </w:r>
    </w:p>
    <w:p>
      <w:pPr>
        <w:pStyle w:val="List Bullet"/>
        <w:numPr>
          <w:ilvl w:val="0"/>
          <w:numId w:val="2"/>
        </w:numPr>
      </w:pPr>
      <w:r>
        <w:rPr>
          <w:rtl w:val="0"/>
          <w:lang w:val="en-US"/>
        </w:rPr>
        <w:t>AIME integrates with enterprise systems (e.g., Jira, Microsoft work tools, and KPI sources such as Snowflake).</w:t>
      </w:r>
    </w:p>
    <w:p>
      <w:pPr>
        <w:pStyle w:val="List Bullet"/>
        <w:numPr>
          <w:ilvl w:val="0"/>
          <w:numId w:val="2"/>
        </w:numPr>
      </w:pPr>
      <w:r>
        <w:rPr>
          <w:rtl w:val="0"/>
          <w:lang w:val="en-US"/>
        </w:rPr>
        <w:t>The AIME AI assistant supports drafting, querying, navigation, and proposing actions.</w:t>
      </w:r>
    </w:p>
    <w:p>
      <w:pPr>
        <w:pStyle w:val="List Bullet"/>
        <w:numPr>
          <w:ilvl w:val="0"/>
          <w:numId w:val="2"/>
        </w:numPr>
      </w:pPr>
      <w:r>
        <w:rPr>
          <w:rtl w:val="0"/>
          <w:lang w:val="en-US"/>
        </w:rPr>
        <w:t>Human-in-the-loop control: AI proposes actions; users approve via Accept/Reject before execution.</w:t>
      </w:r>
    </w:p>
    <w:p>
      <w:pPr>
        <w:pStyle w:val="List Bullet"/>
        <w:numPr>
          <w:ilvl w:val="0"/>
          <w:numId w:val="2"/>
        </w:numPr>
      </w:pPr>
      <w:r>
        <w:rPr>
          <w:rtl w:val="0"/>
          <w:lang w:val="en-US"/>
        </w:rPr>
        <w:t>AIME labels AI-generated inspirational content (</w:t>
      </w:r>
      <w:r>
        <w:rPr>
          <w:rtl w:val="0"/>
          <w:lang w:val="en-US"/>
        </w:rPr>
        <w:t>“</w:t>
      </w:r>
      <w:r>
        <w:rPr>
          <w:rtl w:val="0"/>
          <w:lang w:val="en-US"/>
        </w:rPr>
        <w:t>Includes AI Generated Content</w:t>
      </w:r>
      <w:r>
        <w:rPr>
          <w:rtl w:val="0"/>
          <w:lang w:val="en-US"/>
        </w:rPr>
        <w:t>”</w:t>
      </w:r>
      <w:r>
        <w:rPr>
          <w:rtl w:val="0"/>
          <w:lang w:val="en-US"/>
        </w:rPr>
        <w:t>) and can extend similar labels to drafts/summaries.</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1) Scope / Does it apply to AIME?</w:t>
      </w:r>
    </w:p>
    <w:p>
      <w:pPr>
        <w:pStyle w:val="Body"/>
      </w:pPr>
      <w:r>
        <w:rPr>
          <w:rtl w:val="0"/>
          <w:lang w:val="en-US"/>
        </w:rPr>
        <w:t>AIME is considered in-scope for the EU AI Act where it is put into service or used in the EU, including when staff located in the EU (e.g., Spain) use AIME as an internal workplace tool. If AIME is not used in the EU, this section is maintained as a best-practice alignment reference.</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Maintain an internal record of the countries where AIME is used (e.g., UK, Spain/EU, Gibraltar, Sri Lanka).</w:t>
      </w:r>
    </w:p>
    <w:p>
      <w:pPr>
        <w:pStyle w:val="List Bullet"/>
        <w:numPr>
          <w:ilvl w:val="0"/>
          <w:numId w:val="2"/>
        </w:numPr>
      </w:pPr>
      <w:r>
        <w:rPr>
          <w:rtl w:val="0"/>
          <w:lang w:val="en-US"/>
        </w:rPr>
        <w:t>Maintain a description of intended purpose and non-intended use to support scoping and risk assessment.</w:t>
      </w:r>
      <w:r>
        <w:rPr>
          <w:rtl w:val="0"/>
          <w:lang w:val="en-US"/>
        </w:rPr>
        <w:t xml:space="preserve"> (This is included in Attached document </w:t>
      </w:r>
      <w:r>
        <w:rPr>
          <w:rtl w:val="0"/>
          <w:lang w:val="en-US"/>
        </w:rPr>
        <w:t>“</w:t>
      </w:r>
      <w:r>
        <w:rPr>
          <w:rtl w:val="0"/>
          <w:lang w:val="en-US"/>
        </w:rPr>
        <w:t>AIME_Intended_Use_and_System_Overview_v1</w:t>
      </w:r>
      <w:r>
        <w:rPr>
          <w:rtl w:val="0"/>
          <w:lang w:val="en-US"/>
        </w:rPr>
        <w:t>”</w:t>
      </w:r>
      <w:r>
        <w:rPr>
          <w:rtl w:val="0"/>
          <w:lang w:val="en-US"/>
        </w:rPr>
        <w:t>)</w:t>
      </w:r>
    </w:p>
    <w:p>
      <w:pPr>
        <w:pStyle w:val="List Bullet"/>
        <w:numPr>
          <w:ilvl w:val="0"/>
          <w:numId w:val="2"/>
        </w:numPr>
      </w:pPr>
      <w:r>
        <w:rPr>
          <w:rtl w:val="0"/>
          <w:lang w:val="en-US"/>
        </w:rPr>
        <w:t>Review scope when enabling new features (e.g., automated recommendations, scoring, or expanded analytics).</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Spain/EU usage is possible; treat AIME as potentially in-scope and align controls accordingly.</w:t>
      </w:r>
    </w:p>
    <w:p>
      <w:pPr>
        <w:pStyle w:val="List Bullet"/>
        <w:numPr>
          <w:ilvl w:val="0"/>
          <w:numId w:val="2"/>
        </w:numPr>
      </w:pPr>
      <w:r>
        <w:rPr>
          <w:rtl w:val="0"/>
          <w:lang w:val="en-US"/>
        </w:rPr>
        <w:t>Planned: Formalise the EU usage register and update when new user groups are onboarded.</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2) Role (Provider vs Deployer)</w:t>
      </w:r>
    </w:p>
    <w:p>
      <w:pPr>
        <w:pStyle w:val="Body"/>
      </w:pPr>
      <w:r>
        <w:rPr>
          <w:rtl w:val="0"/>
          <w:lang w:val="en-US"/>
        </w:rPr>
        <w:t xml:space="preserve">For the AIME AI system as delivered to internal staff under the AIME name, the </w:t>
      </w:r>
      <w:r>
        <w:rPr>
          <w:rFonts w:ascii="Cambria Bold" w:hAnsi="Cambria Bold"/>
          <w:rtl w:val="0"/>
          <w:lang w:val="en-US"/>
        </w:rPr>
        <w:t>organisation acts as both a Provider (putting AIME into service under its name) and a Deployer</w:t>
      </w:r>
      <w:r>
        <w:rPr>
          <w:rtl w:val="0"/>
          <w:lang w:val="en-US"/>
        </w:rPr>
        <w:t xml:space="preserve"> (using it internally under its authority). For underlying third-party AI services (e.g., Amazon Bedrock and the selected model), AIME is a Deployer of those services.</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Define ownership for AI governance: product/engineering owns design controls; HR/IT/security owns acceptable use, access governance, and oversight.</w:t>
      </w:r>
    </w:p>
    <w:p>
      <w:pPr>
        <w:pStyle w:val="List Bullet"/>
        <w:numPr>
          <w:ilvl w:val="0"/>
          <w:numId w:val="2"/>
        </w:numPr>
      </w:pPr>
      <w:r>
        <w:rPr>
          <w:rtl w:val="0"/>
          <w:lang w:val="en-US"/>
        </w:rPr>
        <w:t>Maintain vendor records for third-party AI services (model family/version, region, data handling commitments, and configurations).</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AIME team controls prompts, tool schemas, RBAC enforcement, and the Accept/Reject action pattern.</w:t>
      </w:r>
    </w:p>
    <w:p>
      <w:pPr>
        <w:pStyle w:val="List Bullet"/>
        <w:numPr>
          <w:ilvl w:val="0"/>
          <w:numId w:val="2"/>
        </w:numPr>
      </w:pPr>
      <w:r>
        <w:rPr>
          <w:rtl w:val="0"/>
          <w:lang w:val="en-US"/>
        </w:rPr>
        <w:t>Planned: Publish a RACI table mapping responsibilities for provider vs deployer obligations.</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3) Risk classification (Limited-risk vs High-risk triggers)</w:t>
      </w:r>
    </w:p>
    <w:p>
      <w:pPr>
        <w:pStyle w:val="Body"/>
      </w:pPr>
      <w:r>
        <w:rPr>
          <w:rtl w:val="0"/>
          <w:lang w:val="en-US"/>
        </w:rPr>
        <w:t xml:space="preserve">AIME is designed to be a productivity and visibility tool. The primary goal is alignment and execution support, not automated decision-making about individuals. Workplace AI can become high-risk if used for employment decisions or worker management decisions that materially affect individuals (e.g., ranking, promotion/discipline recommendations). </w:t>
      </w:r>
      <w:r>
        <w:rPr>
          <w:rFonts w:ascii="Cambria Bold" w:hAnsi="Cambria Bold"/>
          <w:rtl w:val="0"/>
          <w:lang w:val="en-US"/>
        </w:rPr>
        <w:t>AIME therefore aims to remain in a limited-risk posture by design and by policy</w:t>
      </w:r>
      <w:r>
        <w:rPr>
          <w:rtl w:val="0"/>
        </w:rPr>
        <w:t>.</w:t>
      </w:r>
    </w:p>
    <w:p>
      <w:pPr>
        <w:pStyle w:val="Body"/>
      </w:pPr>
      <w:r>
        <w:rPr>
          <w:rFonts w:ascii="Cambria Bold" w:hAnsi="Cambria Bold"/>
          <w:sz w:val="24"/>
          <w:szCs w:val="24"/>
          <w:rtl w:val="0"/>
          <w:lang w:val="en-US"/>
        </w:rPr>
        <w:t>High-risk triggers AIME avoids</w:t>
      </w:r>
    </w:p>
    <w:p>
      <w:pPr>
        <w:pStyle w:val="List Bullet"/>
        <w:numPr>
          <w:ilvl w:val="0"/>
          <w:numId w:val="2"/>
        </w:numPr>
      </w:pPr>
      <w:r>
        <w:rPr>
          <w:rtl w:val="0"/>
          <w:lang w:val="en-US"/>
        </w:rPr>
        <w:t>Employee ranking, scoring, or automated assessment of performance.</w:t>
      </w:r>
    </w:p>
    <w:p>
      <w:pPr>
        <w:pStyle w:val="List Bullet"/>
        <w:numPr>
          <w:ilvl w:val="0"/>
          <w:numId w:val="2"/>
        </w:numPr>
      </w:pPr>
      <w:r>
        <w:rPr>
          <w:rtl w:val="0"/>
          <w:lang w:val="en-US"/>
        </w:rPr>
        <w:t>Automated recommendations for disciplinary action, promotion, termination, or compensation decisions.</w:t>
      </w:r>
    </w:p>
    <w:p>
      <w:pPr>
        <w:pStyle w:val="List Bullet"/>
        <w:numPr>
          <w:ilvl w:val="0"/>
          <w:numId w:val="2"/>
        </w:numPr>
      </w:pPr>
      <w:r>
        <w:rPr>
          <w:rtl w:val="0"/>
          <w:lang w:val="en-US"/>
        </w:rPr>
        <w:t>Profiling employees or inferring sensitive personal attributes.</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Intended use and non-intended use statements explicitly exclude performance appraisal and ranking.</w:t>
      </w:r>
    </w:p>
    <w:p>
      <w:pPr>
        <w:pStyle w:val="List Bullet"/>
        <w:numPr>
          <w:ilvl w:val="0"/>
          <w:numId w:val="2"/>
        </w:numPr>
      </w:pPr>
      <w:r>
        <w:rPr>
          <w:rtl w:val="0"/>
          <w:lang w:val="en-US"/>
        </w:rPr>
        <w:t>Fact-only summaries: AIME reports available data and avoids judgemental language.</w:t>
      </w:r>
    </w:p>
    <w:p>
      <w:pPr>
        <w:pStyle w:val="List Bullet"/>
        <w:numPr>
          <w:ilvl w:val="0"/>
          <w:numId w:val="2"/>
        </w:numPr>
      </w:pPr>
      <w:r>
        <w:rPr>
          <w:rtl w:val="0"/>
          <w:lang w:val="en-US"/>
        </w:rPr>
        <w:t>Refusal rules: AIME refuses prompts that request ranking/comparison of employees or evaluative conclusions.</w:t>
      </w:r>
    </w:p>
    <w:p>
      <w:pPr>
        <w:pStyle w:val="List Bullet"/>
        <w:numPr>
          <w:ilvl w:val="0"/>
          <w:numId w:val="2"/>
        </w:numPr>
      </w:pPr>
      <w:r>
        <w:rPr>
          <w:rtl w:val="0"/>
          <w:lang w:val="en-US"/>
        </w:rPr>
        <w:t>Human-in-the-loop approvals prevent autonomous execution of actions.</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Non-intended use is documented; AI does not execute actions without user approval.</w:t>
      </w:r>
    </w:p>
    <w:p>
      <w:pPr>
        <w:pStyle w:val="List Bullet"/>
        <w:numPr>
          <w:ilvl w:val="0"/>
          <w:numId w:val="2"/>
        </w:numPr>
      </w:pPr>
      <w:r>
        <w:rPr>
          <w:rtl w:val="0"/>
          <w:lang w:val="en-US"/>
        </w:rPr>
        <w:t>Planned: Add explicit refusal patterns and tests for ranking/comparison prompts; add manager-specific guidance.</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4) Transparency duties (AI interaction disclosure, labeling)</w:t>
      </w:r>
    </w:p>
    <w:p>
      <w:pPr>
        <w:pStyle w:val="Body"/>
      </w:pPr>
      <w:r>
        <w:rPr>
          <w:rtl w:val="0"/>
          <w:lang w:val="en-US"/>
        </w:rPr>
        <w:t>AIME ensures users understand when they are interacting with AI and when content is AI-generated. Where AI outputs may influence user action (e.g., proposed CRUD operations), AIME provides clear presentation and confirmation controls.</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AI interaction disclosure: Chat and AI-assisted features indicate that an AI assistant is being used.</w:t>
      </w:r>
    </w:p>
    <w:p>
      <w:pPr>
        <w:pStyle w:val="List Bullet"/>
        <w:numPr>
          <w:ilvl w:val="0"/>
          <w:numId w:val="2"/>
        </w:numPr>
      </w:pPr>
      <w:r>
        <w:rPr>
          <w:rtl w:val="0"/>
          <w:lang w:val="en-US"/>
        </w:rPr>
        <w:t>AI-generated content labeling: AIME labels AI-generated inspirational content; extend labels to OKR drafts, summaries, and proposed actions.</w:t>
      </w:r>
    </w:p>
    <w:p>
      <w:pPr>
        <w:pStyle w:val="List Bullet"/>
        <w:numPr>
          <w:ilvl w:val="0"/>
          <w:numId w:val="2"/>
        </w:numPr>
      </w:pPr>
      <w:r>
        <w:rPr>
          <w:rtl w:val="0"/>
          <w:lang w:val="en-US"/>
        </w:rPr>
        <w:t>User guidance: Prominent reminder that AI outputs may be incorrect and should be verified before acceptance.</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 xml:space="preserve">Current: Daily Inspiration includes </w:t>
      </w:r>
      <w:r>
        <w:rPr>
          <w:rtl w:val="0"/>
          <w:lang w:val="en-US"/>
        </w:rPr>
        <w:t>“</w:t>
      </w:r>
      <w:r>
        <w:rPr>
          <w:rtl w:val="0"/>
          <w:lang w:val="en-US"/>
        </w:rPr>
        <w:t>Includes AI Generated Content</w:t>
      </w:r>
      <w:r>
        <w:rPr>
          <w:rtl w:val="0"/>
          <w:lang w:val="en-US"/>
        </w:rPr>
        <w:t xml:space="preserve">” </w:t>
      </w:r>
      <w:r>
        <w:rPr>
          <w:rtl w:val="0"/>
          <w:lang w:val="en-US"/>
        </w:rPr>
        <w:t>label.</w:t>
      </w:r>
    </w:p>
    <w:p>
      <w:pPr>
        <w:pStyle w:val="List Bullet"/>
        <w:numPr>
          <w:ilvl w:val="0"/>
          <w:numId w:val="2"/>
        </w:numPr>
      </w:pPr>
      <w:r>
        <w:rPr>
          <w:rtl w:val="0"/>
          <w:lang w:val="en-US"/>
        </w:rPr>
        <w:t>Planned: Apply consistent labels to OKR drafting, summaries, and action proposals; add UI text for verification and accountability.</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5) Prohibited practices (what AIME must not do)</w:t>
      </w:r>
    </w:p>
    <w:p>
      <w:pPr>
        <w:pStyle w:val="Body"/>
      </w:pPr>
      <w:r>
        <w:rPr>
          <w:rtl w:val="0"/>
          <w:lang w:val="en-US"/>
        </w:rPr>
        <w:t>AIME is designed to avoid prohibited or unacceptable uses in a workplace context, including manipulative behaviour, exploitation of vulnerabilities, or social scoring/ranking patterns. The assistant should not attempt to infer or use sensitive traits.</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 xml:space="preserve">Prohibit ranking/scoring of individuals or requests framed as </w:t>
      </w:r>
      <w:r>
        <w:rPr>
          <w:rtl w:val="0"/>
          <w:lang w:val="en-US"/>
        </w:rPr>
        <w:t>‘</w:t>
      </w:r>
      <w:r>
        <w:rPr>
          <w:rtl w:val="0"/>
          <w:lang w:val="en-US"/>
        </w:rPr>
        <w:t>underperformers</w:t>
      </w:r>
      <w:r>
        <w:rPr>
          <w:rtl w:val="0"/>
          <w:lang w:val="en-US"/>
        </w:rPr>
        <w:t xml:space="preserve">’ </w:t>
      </w:r>
      <w:r>
        <w:rPr>
          <w:rtl w:val="0"/>
          <w:lang w:val="en-US"/>
        </w:rPr>
        <w:t>or punitive judgments.</w:t>
      </w:r>
    </w:p>
    <w:p>
      <w:pPr>
        <w:pStyle w:val="List Bullet"/>
        <w:numPr>
          <w:ilvl w:val="0"/>
          <w:numId w:val="2"/>
        </w:numPr>
      </w:pPr>
      <w:r>
        <w:rPr>
          <w:rtl w:val="0"/>
          <w:lang w:val="en-US"/>
        </w:rPr>
        <w:t>Prohibit inference of sensitive attributes (health, religion, political opinions, etc.).</w:t>
      </w:r>
    </w:p>
    <w:p>
      <w:pPr>
        <w:pStyle w:val="List Bullet"/>
        <w:numPr>
          <w:ilvl w:val="0"/>
          <w:numId w:val="2"/>
        </w:numPr>
      </w:pPr>
      <w:r>
        <w:rPr>
          <w:rtl w:val="0"/>
          <w:lang w:val="en-US"/>
        </w:rPr>
        <w:t>Avoid manipulative or coercive content; motivational content is optional and clearly labeled as AI-generated where applicable.</w:t>
      </w:r>
    </w:p>
    <w:p>
      <w:pPr>
        <w:pStyle w:val="List Bullet"/>
        <w:numPr>
          <w:ilvl w:val="0"/>
          <w:numId w:val="2"/>
        </w:numPr>
      </w:pPr>
      <w:r>
        <w:rPr>
          <w:rtl w:val="0"/>
          <w:lang w:val="en-US"/>
        </w:rPr>
        <w:t>Implement prompt and tool-call safeguards to prevent broad data exposure.</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Product intent excludes performance evaluation; actions require user approval.</w:t>
      </w:r>
    </w:p>
    <w:p>
      <w:pPr>
        <w:pStyle w:val="List Bullet"/>
        <w:numPr>
          <w:ilvl w:val="0"/>
          <w:numId w:val="2"/>
        </w:numPr>
      </w:pPr>
      <w:r>
        <w:rPr>
          <w:rtl w:val="0"/>
          <w:lang w:val="en-US"/>
        </w:rPr>
        <w:t xml:space="preserve">Planned: Codify prohibited prompts in system policy and add a </w:t>
      </w:r>
      <w:r>
        <w:rPr>
          <w:rtl w:val="0"/>
          <w:lang w:val="en-US"/>
        </w:rPr>
        <w:t>‘</w:t>
      </w:r>
      <w:r>
        <w:rPr>
          <w:rtl w:val="0"/>
          <w:lang w:val="en-US"/>
        </w:rPr>
        <w:t>report concern</w:t>
      </w:r>
      <w:r>
        <w:rPr>
          <w:rtl w:val="0"/>
          <w:lang w:val="en-US"/>
        </w:rPr>
        <w:t xml:space="preserve">’ </w:t>
      </w:r>
      <w:r>
        <w:rPr>
          <w:rtl w:val="0"/>
          <w:lang w:val="en-US"/>
        </w:rPr>
        <w:t>channel in the UI.</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6) Human oversight pattern (Accept/Reject controls)</w:t>
      </w:r>
    </w:p>
    <w:p>
      <w:pPr>
        <w:pStyle w:val="Body"/>
      </w:pPr>
      <w:r>
        <w:rPr>
          <w:rtl w:val="0"/>
          <w:lang w:val="en-US"/>
        </w:rPr>
        <w:t>AIME applies human oversight through an explicit proposal-and-approval workflow. The AI assistant can propose changes, but execution requires an informed user decision.</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All write operations are presented as a proposed action with Accept/Reject.</w:t>
      </w:r>
    </w:p>
    <w:p>
      <w:pPr>
        <w:pStyle w:val="List Bullet"/>
        <w:numPr>
          <w:ilvl w:val="0"/>
          <w:numId w:val="2"/>
        </w:numPr>
      </w:pPr>
      <w:r>
        <w:rPr>
          <w:rtl w:val="0"/>
          <w:lang w:val="en-US"/>
        </w:rPr>
        <w:t>Action cards describe: the target system (AIME/Jira), the fields to be changed, and the expected effect.</w:t>
      </w:r>
    </w:p>
    <w:p>
      <w:pPr>
        <w:pStyle w:val="List Bullet"/>
        <w:numPr>
          <w:ilvl w:val="0"/>
          <w:numId w:val="2"/>
        </w:numPr>
      </w:pPr>
      <w:r>
        <w:rPr>
          <w:rtl w:val="0"/>
          <w:lang w:val="en-US"/>
        </w:rPr>
        <w:t>High-impact actions (bulk updates, admin changes) require additional confirmation.</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Accept/Reject pattern is part of the design for CRUD operations via AI.</w:t>
      </w:r>
    </w:p>
    <w:p>
      <w:pPr>
        <w:pStyle w:val="List Bullet"/>
        <w:numPr>
          <w:ilvl w:val="0"/>
          <w:numId w:val="2"/>
        </w:numPr>
      </w:pPr>
      <w:r>
        <w:rPr>
          <w:rtl w:val="0"/>
          <w:lang w:val="en-US"/>
        </w:rPr>
        <w:t xml:space="preserve">Planned: Add </w:t>
      </w:r>
      <w:r>
        <w:rPr>
          <w:rtl w:val="0"/>
          <w:lang w:val="en-US"/>
        </w:rPr>
        <w:t>‘</w:t>
      </w:r>
      <w:r>
        <w:rPr>
          <w:rtl w:val="0"/>
          <w:lang w:val="en-US"/>
        </w:rPr>
        <w:t>Details</w:t>
      </w:r>
      <w:r>
        <w:rPr>
          <w:rtl w:val="0"/>
          <w:lang w:val="en-US"/>
        </w:rPr>
        <w:t xml:space="preserve">’ </w:t>
      </w:r>
      <w:r>
        <w:rPr>
          <w:rtl w:val="0"/>
          <w:lang w:val="en-US"/>
        </w:rPr>
        <w:t>of action view to see all parameters being sent if Accept button is pressed</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7) Logging &amp; auditability expectations</w:t>
      </w:r>
    </w:p>
    <w:p>
      <w:pPr>
        <w:pStyle w:val="Body"/>
      </w:pPr>
      <w:r>
        <w:rPr>
          <w:rtl w:val="0"/>
          <w:lang w:val="en-US"/>
        </w:rPr>
        <w:t>AIME supports accountability by logging AI interactions and the resulting proposals and approvals. Logging is designed to enable investigation of incidents, misuse, and correctness issues while following data minimisation principles.</w:t>
      </w:r>
    </w:p>
    <w:p>
      <w:pPr>
        <w:pStyle w:val="Body"/>
      </w:pPr>
      <w:r>
        <w:rPr>
          <w:rFonts w:ascii="Cambria Bold" w:hAnsi="Cambria Bold"/>
          <w:sz w:val="24"/>
          <w:szCs w:val="24"/>
          <w:rtl w:val="0"/>
          <w:lang w:val="en-US"/>
        </w:rPr>
        <w:t>AIME approach</w:t>
      </w:r>
    </w:p>
    <w:p>
      <w:pPr>
        <w:pStyle w:val="List Bullet"/>
        <w:numPr>
          <w:ilvl w:val="0"/>
          <w:numId w:val="2"/>
        </w:numPr>
      </w:pPr>
      <w:r>
        <w:rPr>
          <w:rtl w:val="0"/>
          <w:lang w:val="en-US"/>
        </w:rPr>
        <w:t>Record the requester identity and role, request metadata, tools invoked, and data object identifiers accessed (minimised).</w:t>
      </w:r>
    </w:p>
    <w:p>
      <w:pPr>
        <w:pStyle w:val="List Bullet"/>
        <w:numPr>
          <w:ilvl w:val="0"/>
          <w:numId w:val="2"/>
        </w:numPr>
      </w:pPr>
      <w:r>
        <w:rPr>
          <w:rtl w:val="0"/>
          <w:lang w:val="en-US"/>
        </w:rPr>
        <w:t>Record the proposed action payload and the user</w:t>
      </w:r>
      <w:r>
        <w:rPr>
          <w:rtl w:val="0"/>
          <w:lang w:val="en-US"/>
        </w:rPr>
        <w:t>’</w:t>
      </w:r>
      <w:r>
        <w:rPr>
          <w:rtl w:val="0"/>
          <w:lang w:val="en-US"/>
        </w:rPr>
        <w:t>s Accept/Reject decision.</w:t>
      </w:r>
    </w:p>
    <w:p>
      <w:pPr>
        <w:pStyle w:val="List Bullet"/>
        <w:numPr>
          <w:ilvl w:val="0"/>
          <w:numId w:val="2"/>
        </w:numPr>
      </w:pPr>
      <w:r>
        <w:rPr>
          <w:rtl w:val="0"/>
          <w:lang w:val="en-US"/>
        </w:rPr>
        <w:t>Record execution result (success/failure) when an action is accepted.</w:t>
      </w:r>
    </w:p>
    <w:p>
      <w:pPr>
        <w:pStyle w:val="List Bullet"/>
        <w:numPr>
          <w:ilvl w:val="0"/>
          <w:numId w:val="2"/>
        </w:numPr>
      </w:pPr>
      <w:r>
        <w:rPr>
          <w:rtl w:val="0"/>
          <w:lang w:val="en-US"/>
        </w:rPr>
        <w:t>Apply access controls to logs and define retention periods consistent with internal policy.</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Logging mechanism is under consideration.</w:t>
      </w:r>
    </w:p>
    <w:p>
      <w:pPr>
        <w:pStyle w:val="List Bullet"/>
        <w:numPr>
          <w:ilvl w:val="0"/>
          <w:numId w:val="2"/>
        </w:numPr>
      </w:pPr>
      <w:r>
        <w:rPr>
          <w:rtl w:val="0"/>
          <w:lang w:val="en-US"/>
        </w:rPr>
        <w:t>Planned: Implement an AI audit log schema, retention policy, and monitoring alerts for unusual access patterns.</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8) Governance artifacts (policies, training, documentation)</w:t>
      </w:r>
    </w:p>
    <w:p>
      <w:pPr>
        <w:pStyle w:val="Body"/>
      </w:pPr>
      <w:r>
        <w:rPr>
          <w:rtl w:val="0"/>
          <w:lang w:val="en-US"/>
        </w:rPr>
        <w:t>AIME maintains governance artefacts to demonstrate safe and appropriate use of AI in the workplace.</w:t>
      </w:r>
    </w:p>
    <w:p>
      <w:pPr>
        <w:pStyle w:val="Body"/>
      </w:pPr>
      <w:r>
        <w:rPr>
          <w:rFonts w:ascii="Cambria Bold" w:hAnsi="Cambria Bold"/>
          <w:sz w:val="24"/>
          <w:szCs w:val="24"/>
          <w:rtl w:val="0"/>
          <w:lang w:val="en-US"/>
        </w:rPr>
        <w:t>Artefacts maintained / to be maintained</w:t>
      </w:r>
    </w:p>
    <w:p>
      <w:pPr>
        <w:pStyle w:val="List Bullet"/>
        <w:numPr>
          <w:ilvl w:val="0"/>
          <w:numId w:val="2"/>
        </w:numPr>
      </w:pPr>
      <w:r>
        <w:rPr>
          <w:rtl w:val="0"/>
          <w:lang w:val="en-US"/>
        </w:rPr>
        <w:t xml:space="preserve">AIME </w:t>
      </w:r>
      <w:r>
        <w:rPr>
          <w:rtl w:val="0"/>
          <w:lang w:val="en-US"/>
        </w:rPr>
        <w:t xml:space="preserve">– </w:t>
      </w:r>
      <w:r>
        <w:rPr>
          <w:rtl w:val="0"/>
          <w:lang w:val="en-US"/>
        </w:rPr>
        <w:t>Intended Use &amp; System Overview (</w:t>
      </w:r>
      <w:r>
        <w:rPr>
          <w:rtl w:val="0"/>
          <w:lang w:val="en-US"/>
        </w:rPr>
        <w:t xml:space="preserve">attached </w:t>
      </w:r>
      <w:r>
        <w:rPr>
          <w:rtl w:val="0"/>
          <w:lang w:val="en-US"/>
        </w:rPr>
        <w:t>AIME_Intended_Use_and_System_Overview_v1).</w:t>
      </w:r>
    </w:p>
    <w:p>
      <w:pPr>
        <w:pStyle w:val="List Bullet"/>
        <w:numPr>
          <w:ilvl w:val="0"/>
          <w:numId w:val="2"/>
        </w:numPr>
      </w:pPr>
      <w:r>
        <w:rPr>
          <w:rtl w:val="0"/>
          <w:lang w:val="en-US"/>
        </w:rPr>
        <w:t xml:space="preserve">AIME </w:t>
      </w:r>
      <w:r>
        <w:rPr>
          <w:rtl w:val="0"/>
          <w:lang w:val="en-US"/>
        </w:rPr>
        <w:t xml:space="preserve">– </w:t>
      </w:r>
      <w:r>
        <w:rPr>
          <w:rtl w:val="0"/>
          <w:lang w:val="en-US"/>
        </w:rPr>
        <w:t>AI Governance Artefacts (policies for transparency, oversight, logging, change control</w:t>
      </w:r>
      <w:r>
        <w:rPr>
          <w:rtl w:val="0"/>
          <w:lang w:val="en-US"/>
        </w:rPr>
        <w:t xml:space="preserve"> - to be drafted</w:t>
      </w:r>
      <w:r>
        <w:rPr>
          <w:rtl w:val="0"/>
          <w:lang w:val="en-US"/>
        </w:rPr>
        <w:t>).</w:t>
      </w:r>
    </w:p>
    <w:p>
      <w:pPr>
        <w:pStyle w:val="List Bullet"/>
        <w:numPr>
          <w:ilvl w:val="0"/>
          <w:numId w:val="2"/>
        </w:numPr>
      </w:pPr>
      <w:r>
        <w:rPr>
          <w:rtl w:val="0"/>
          <w:lang w:val="en-US"/>
        </w:rPr>
        <w:t>RBAC matrix and role assignment policy (least privilege, periodic review).</w:t>
      </w:r>
    </w:p>
    <w:p>
      <w:pPr>
        <w:pStyle w:val="List Bullet"/>
        <w:numPr>
          <w:ilvl w:val="0"/>
          <w:numId w:val="2"/>
        </w:numPr>
      </w:pPr>
      <w:r>
        <w:rPr>
          <w:rtl w:val="0"/>
          <w:lang w:val="en-US"/>
        </w:rPr>
        <w:t>AI transparency notice text and labeling screenshots (chat, drafts, inspiration content).</w:t>
      </w:r>
    </w:p>
    <w:p>
      <w:pPr>
        <w:pStyle w:val="List Bullet"/>
        <w:numPr>
          <w:ilvl w:val="0"/>
          <w:numId w:val="2"/>
        </w:numPr>
      </w:pPr>
      <w:r>
        <w:rPr>
          <w:rtl w:val="0"/>
          <w:lang w:val="en-US"/>
        </w:rPr>
        <w:t>Risk register (misuse cases, mitigations, and release checks).</w:t>
      </w:r>
    </w:p>
    <w:p>
      <w:pPr>
        <w:pStyle w:val="List Bullet"/>
        <w:numPr>
          <w:ilvl w:val="0"/>
          <w:numId w:val="2"/>
        </w:numPr>
      </w:pPr>
      <w:r>
        <w:rPr>
          <w:rtl w:val="0"/>
          <w:lang w:val="en-US"/>
        </w:rPr>
        <w:t>AI literacy training material for staff and managers.</w:t>
      </w:r>
    </w:p>
    <w:p>
      <w:pPr>
        <w:pStyle w:val="List Bullet"/>
        <w:numPr>
          <w:ilvl w:val="0"/>
          <w:numId w:val="2"/>
        </w:numPr>
      </w:pPr>
      <w:r>
        <w:rPr>
          <w:rtl w:val="0"/>
          <w:lang w:val="en-US"/>
        </w:rPr>
        <w:t>Incident response and change management procedures for AI-related issues.</w:t>
      </w:r>
    </w:p>
    <w:p>
      <w:pPr>
        <w:pStyle w:val="Body"/>
      </w:pPr>
      <w:r>
        <w:rPr>
          <w:rFonts w:ascii="Cambria Bold" w:hAnsi="Cambria Bold"/>
          <w:sz w:val="24"/>
          <w:szCs w:val="24"/>
          <w:rtl w:val="0"/>
          <w:lang w:val="nl-NL"/>
        </w:rPr>
        <w:t>Status</w:t>
      </w:r>
    </w:p>
    <w:p>
      <w:pPr>
        <w:pStyle w:val="List Bullet"/>
        <w:numPr>
          <w:ilvl w:val="0"/>
          <w:numId w:val="2"/>
        </w:numPr>
      </w:pPr>
      <w:r>
        <w:rPr>
          <w:rtl w:val="0"/>
          <w:lang w:val="en-US"/>
        </w:rPr>
        <w:t>Current: Intended Use &amp; System Overview and Governance Artefacts documents exist; AI-generated inspirational content is labeled.</w:t>
      </w:r>
    </w:p>
    <w:p>
      <w:pPr>
        <w:pStyle w:val="List Bullet"/>
        <w:numPr>
          <w:ilvl w:val="0"/>
          <w:numId w:val="2"/>
        </w:numPr>
      </w:pPr>
      <w:r>
        <w:rPr>
          <w:rtl w:val="0"/>
          <w:lang w:val="en-US"/>
        </w:rPr>
        <w:t>Planned: Expand documentation to include RBAC matrix, AI audit logging spec, refusal policy, training pack, and incident runbooks.</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Fonts w:ascii="Cambria Bold" w:hAnsi="Cambria Bold"/>
          <w:sz w:val="28"/>
          <w:szCs w:val="28"/>
          <w:rtl w:val="0"/>
          <w:lang w:val="en-US"/>
        </w:rPr>
        <w:t>Appendix: Open items / configuration to confirm</w:t>
      </w:r>
    </w:p>
    <w:p>
      <w:pPr>
        <w:pStyle w:val="List Bullet"/>
        <w:numPr>
          <w:ilvl w:val="0"/>
          <w:numId w:val="2"/>
        </w:numPr>
      </w:pPr>
      <w:r>
        <w:rPr>
          <w:rtl w:val="0"/>
          <w:lang w:val="en-US"/>
        </w:rPr>
        <w:t>Confirm EU usage (e.g., Spain) and maintain a user-location register for scope tracking.</w:t>
      </w:r>
    </w:p>
    <w:p>
      <w:pPr>
        <w:pStyle w:val="List Bullet"/>
        <w:numPr>
          <w:ilvl w:val="0"/>
          <w:numId w:val="2"/>
        </w:numPr>
      </w:pPr>
      <w:r>
        <w:rPr>
          <w:rtl w:val="0"/>
          <w:lang w:val="en-US"/>
        </w:rPr>
        <w:t>Select and document the Bedrock region/boundary for inference (EU/UK/global) and configure accordingly.</w:t>
      </w:r>
    </w:p>
    <w:p>
      <w:pPr>
        <w:pStyle w:val="List Bullet"/>
        <w:numPr>
          <w:ilvl w:val="0"/>
          <w:numId w:val="2"/>
        </w:numPr>
      </w:pPr>
      <w:r>
        <w:rPr>
          <w:rtl w:val="0"/>
          <w:lang w:val="en-US"/>
        </w:rPr>
        <w:t>Confirm integrations</w:t>
      </w:r>
      <w:r>
        <w:rPr>
          <w:rtl w:val="0"/>
          <w:lang w:val="en-US"/>
        </w:rPr>
        <w:t xml:space="preserve">’ </w:t>
      </w:r>
      <w:r>
        <w:rPr>
          <w:rtl w:val="0"/>
          <w:lang w:val="en-US"/>
        </w:rPr>
        <w:t>data residency and access controls (Jira, Microsoft, Snowflake).</w:t>
      </w:r>
    </w:p>
    <w:p>
      <w:pPr>
        <w:pStyle w:val="List Bullet"/>
        <w:numPr>
          <w:ilvl w:val="0"/>
          <w:numId w:val="2"/>
        </w:numPr>
      </w:pPr>
      <w:r>
        <w:rPr>
          <w:rtl w:val="0"/>
          <w:lang w:val="en-US"/>
        </w:rPr>
        <w:t>Define retention and access policies for chat logs, audit logs, and debugging traces.</w:t>
      </w:r>
    </w:p>
    <w:p>
      <w:pPr>
        <w:pStyle w:val="List Bullet"/>
        <w:numPr>
          <w:ilvl w:val="0"/>
          <w:numId w:val="2"/>
        </w:numPr>
      </w:pPr>
      <w:r>
        <w:rPr>
          <w:rtl w:val="0"/>
          <w:lang w:val="en-US"/>
        </w:rPr>
        <w:t>Implement user feedback, complaints, and defect tracking workflow.</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