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GDPR — Regulation (EU) 2016/679</w:t>
        <w:br/>
        <w:t>AIME Compliance Approach (Draft)</w:t>
      </w:r>
    </w:p>
    <w:p>
      <w:pPr>
        <w:jc w:val="center"/>
      </w:pPr>
      <w:r>
        <w:rPr>
          <w:sz w:val="20"/>
        </w:rPr>
        <w:t>Version: 1.0    Date: 2026-01-23</w:t>
      </w:r>
    </w:p>
    <w:p/>
    <w:p>
      <w:r>
        <w:t>This document describes how AIME addresses data protection and privacy requirements under the EU General Data Protection Regulation (GDPR) for EU/Spain users. It is intended for internal governance and should be reviewed with the organisation’s legal/privacy and security stakeholders.</w:t>
      </w:r>
    </w:p>
    <w:p/>
    <w:p>
      <w:r>
        <w:rPr>
          <w:b/>
          <w:sz w:val="28"/>
        </w:rPr>
        <w:t>A. Processing context (summary)</w:t>
      </w:r>
    </w:p>
    <w:p>
      <w:pPr>
        <w:pStyle w:val="ListBullet"/>
      </w:pPr>
      <w:r>
        <w:t>AIME is an internal workplace web application for 90‑day goal setting (OKRs/OKRTs) and execution visibility.</w:t>
      </w:r>
    </w:p>
    <w:p>
      <w:pPr>
        <w:pStyle w:val="ListBullet"/>
      </w:pPr>
      <w:r>
        <w:t>AIME processes employee identifiers and work context (e.g., name, work email, role/team membership) and work artefacts (OKRs, progress updates, comments).</w:t>
      </w:r>
    </w:p>
    <w:p>
      <w:pPr>
        <w:pStyle w:val="ListBullet"/>
      </w:pPr>
      <w:r>
        <w:t>AIME integrates with enterprise systems (e.g., Jira, Microsoft work tools, Snowflake KPI datasets) subject to permissions.</w:t>
      </w:r>
    </w:p>
    <w:p>
      <w:pPr>
        <w:pStyle w:val="ListBullet"/>
      </w:pPr>
      <w:r>
        <w:t>AIME includes an AI assistant that drafts OKRs, answers questions, summarises information, and proposes actions that require user Accept/Reject approval.</w:t>
      </w:r>
    </w:p>
    <w:p/>
    <w:p>
      <w:r>
        <w:rPr>
          <w:b/>
          <w:sz w:val="28"/>
        </w:rPr>
        <w:t>1) Lawful basis for processing (employee data)</w:t>
      </w:r>
    </w:p>
    <w:p>
      <w:r>
        <w:t>AIME processes employee data for internal business operations (goal setting, coordination, and execution visibility). In an employment context, consent is generally not relied upon due to imbalance of power; lawful bases are selected based on the specific processing purpose.</w:t>
      </w:r>
    </w:p>
    <w:p>
      <w:r>
        <w:rPr>
          <w:b/>
          <w:sz w:val="24"/>
        </w:rPr>
        <w:t>AIME approach</w:t>
      </w:r>
    </w:p>
    <w:p>
      <w:pPr>
        <w:pStyle w:val="ListBullet"/>
      </w:pPr>
      <w:r>
        <w:t>Primary lawful bases (typical):</w:t>
      </w:r>
    </w:p>
    <w:p>
      <w:pPr>
        <w:pStyle w:val="ListBullet"/>
      </w:pPr>
      <w:r>
        <w:t>• Article 6(1)(b) Contract (employment relationship) — where processing is necessary to administer agreed workplace processes (e.g., maintaining goal records, collaboration).</w:t>
      </w:r>
    </w:p>
    <w:p>
      <w:pPr>
        <w:pStyle w:val="ListBullet"/>
      </w:pPr>
      <w:r>
        <w:t>• Article 6(1)(f) Legitimate interests — where processing supports organisational planning, alignment, and execution visibility, balanced against employee rights.</w:t>
      </w:r>
    </w:p>
    <w:p>
      <w:pPr>
        <w:pStyle w:val="ListBullet"/>
      </w:pPr>
      <w:r>
        <w:t>• Article 6(1)(c) Legal obligation — only where specific records are required by law (if applicable).</w:t>
      </w:r>
    </w:p>
    <w:p>
      <w:pPr>
        <w:pStyle w:val="ListBullet"/>
      </w:pPr>
      <w:r>
        <w:t>Special category data (Article 9): AIME does not intend to process special category data. If any appears in free‑text (e.g., comments), policies and controls should limit use and apply safeguards.</w:t>
      </w:r>
    </w:p>
    <w:p>
      <w:r>
        <w:rPr>
          <w:b/>
          <w:sz w:val="24"/>
        </w:rPr>
        <w:t>Status</w:t>
      </w:r>
    </w:p>
    <w:p>
      <w:pPr>
        <w:pStyle w:val="ListBullet"/>
      </w:pPr>
      <w:r>
        <w:t>Current: AIME is positioned as an internal productivity and visibility tool; not intended for performance appraisal or profiling.</w:t>
      </w:r>
    </w:p>
    <w:p>
      <w:pPr>
        <w:pStyle w:val="ListBullet"/>
      </w:pPr>
      <w:r>
        <w:t>Planned: Document specific lawful basis per data category in a Record of Processing Activities (RoPA).</w:t>
      </w:r>
    </w:p>
    <w:p/>
    <w:p>
      <w:r>
        <w:rPr>
          <w:b/>
          <w:sz w:val="28"/>
        </w:rPr>
        <w:t>2) Transparency / privacy notice content</w:t>
      </w:r>
    </w:p>
    <w:p>
      <w:r>
        <w:t>AIME provides clear information to users about what data is processed, why, and how it is used, including AI-related processing.</w:t>
      </w:r>
    </w:p>
    <w:p>
      <w:r>
        <w:rPr>
          <w:b/>
          <w:sz w:val="24"/>
        </w:rPr>
        <w:t>AIME approach</w:t>
      </w:r>
    </w:p>
    <w:p>
      <w:pPr>
        <w:pStyle w:val="ListBullet"/>
      </w:pPr>
      <w:r>
        <w:t>Publish an internal Privacy Notice (and make it accessible from the app) that includes:</w:t>
      </w:r>
    </w:p>
    <w:p>
      <w:pPr>
        <w:pStyle w:val="ListBullet"/>
      </w:pPr>
      <w:r>
        <w:t>• Controller identity and contact (and DPO/contact if applicable).</w:t>
      </w:r>
    </w:p>
    <w:p>
      <w:pPr>
        <w:pStyle w:val="ListBullet"/>
      </w:pPr>
      <w:r>
        <w:t>• Purposes of processing (OKR management, collaboration, dashboards, integrations, AI assistance).</w:t>
      </w:r>
    </w:p>
    <w:p>
      <w:pPr>
        <w:pStyle w:val="ListBullet"/>
      </w:pPr>
      <w:r>
        <w:t>• Categories of personal data processed (identifiers, org role/team, OKR content, activity references).</w:t>
      </w:r>
    </w:p>
    <w:p>
      <w:pPr>
        <w:pStyle w:val="ListBullet"/>
      </w:pPr>
      <w:r>
        <w:t>• Lawful bases (per purpose).</w:t>
      </w:r>
    </w:p>
    <w:p>
      <w:pPr>
        <w:pStyle w:val="ListBullet"/>
      </w:pPr>
      <w:r>
        <w:t>• Recipients and processors (hosting, AI services, Atlassian/Jira, Microsoft, Snowflake, monitoring).</w:t>
      </w:r>
    </w:p>
    <w:p>
      <w:pPr>
        <w:pStyle w:val="ListBullet"/>
      </w:pPr>
      <w:r>
        <w:t>• International transfers and safeguards (SCCs/TRA where required).</w:t>
      </w:r>
    </w:p>
    <w:p>
      <w:pPr>
        <w:pStyle w:val="ListBullet"/>
      </w:pPr>
      <w:r>
        <w:t>• Retention periods.</w:t>
      </w:r>
    </w:p>
    <w:p>
      <w:pPr>
        <w:pStyle w:val="ListBullet"/>
      </w:pPr>
      <w:r>
        <w:t>• Data subject rights and how to exercise them.</w:t>
      </w:r>
    </w:p>
    <w:p>
      <w:pPr>
        <w:pStyle w:val="ListBullet"/>
      </w:pPr>
      <w:r>
        <w:t>• Automated decision‑making statement: AI provides drafts/summaries and proposed actions; no automated decisions with legal/similar effects; user approval required for changes.</w:t>
      </w:r>
    </w:p>
    <w:p>
      <w:pPr>
        <w:pStyle w:val="ListBullet"/>
      </w:pPr>
      <w:r>
        <w:t>• Security measures summary.</w:t>
      </w:r>
    </w:p>
    <w:p>
      <w:pPr>
        <w:pStyle w:val="ListBullet"/>
      </w:pPr>
      <w:r>
        <w:t>Provide AI transparency notices in‑product (e.g., label AI-generated drafts/summaries; “Includes AI Generated Content” for inspiration).</w:t>
      </w:r>
    </w:p>
    <w:p>
      <w:r>
        <w:rPr>
          <w:b/>
          <w:sz w:val="24"/>
        </w:rPr>
        <w:t>Status</w:t>
      </w:r>
    </w:p>
    <w:p>
      <w:pPr>
        <w:pStyle w:val="ListBullet"/>
      </w:pPr>
      <w:r>
        <w:t>Current: AI-generated inspiration is labelled; Accept/Reject pattern prevents autonomous writes.</w:t>
      </w:r>
    </w:p>
    <w:p>
      <w:pPr>
        <w:pStyle w:val="ListBullet"/>
      </w:pPr>
      <w:r>
        <w:t>Planned: Publish a full internal Privacy Notice covering AI features and integrations; include cookie policy where relevant.</w:t>
      </w:r>
    </w:p>
    <w:p/>
    <w:p>
      <w:r>
        <w:rPr>
          <w:b/>
          <w:sz w:val="28"/>
        </w:rPr>
        <w:t>3) Data minimisation &amp; purpose limitation</w:t>
      </w:r>
    </w:p>
    <w:p>
      <w:r>
        <w:t>AIME limits personal data to what is necessary for defined purposes and avoids re‑use for incompatible purposes (e.g., employee scoring).</w:t>
      </w:r>
    </w:p>
    <w:p>
      <w:r>
        <w:rPr>
          <w:b/>
          <w:sz w:val="24"/>
        </w:rPr>
        <w:t>AIME approach</w:t>
      </w:r>
    </w:p>
    <w:p>
      <w:pPr>
        <w:pStyle w:val="ListBullet"/>
      </w:pPr>
      <w:r>
        <w:t>Minimise identifiers shared with the AI assistant (prefer internal IDs and aggregates where possible).</w:t>
      </w:r>
    </w:p>
    <w:p>
      <w:pPr>
        <w:pStyle w:val="ListBullet"/>
      </w:pPr>
      <w:r>
        <w:t>Tool-based retrieval: retrieve only the sections of data needed for a specific user intent (avoid sending full trees).</w:t>
      </w:r>
    </w:p>
    <w:p>
      <w:pPr>
        <w:pStyle w:val="ListBullet"/>
      </w:pPr>
      <w:r>
        <w:t>Role-based scoping (self/team/org) enforced server-side for all retrieval and proposed actions.</w:t>
      </w:r>
    </w:p>
    <w:p>
      <w:pPr>
        <w:pStyle w:val="ListBullet"/>
      </w:pPr>
      <w:r>
        <w:t>Purpose limitation: prohibit use of AIME data for ranking or automated performance evaluation; provide manager guidance for fact-only summaries.</w:t>
      </w:r>
    </w:p>
    <w:p>
      <w:r>
        <w:rPr>
          <w:b/>
          <w:sz w:val="24"/>
        </w:rPr>
        <w:t>Status</w:t>
      </w:r>
    </w:p>
    <w:p>
      <w:pPr>
        <w:pStyle w:val="ListBullet"/>
      </w:pPr>
      <w:r>
        <w:t>Current: Design includes tool-based retrieval and human approval for actions; non-intended use excludes performance appraisal.</w:t>
      </w:r>
    </w:p>
    <w:p>
      <w:pPr>
        <w:pStyle w:val="ListBullet"/>
      </w:pPr>
      <w:r>
        <w:t>Planned: Implement explicit field allowlists/redaction rules for model inputs; add automated tests for minimisation.</w:t>
      </w:r>
    </w:p>
    <w:p/>
    <w:p>
      <w:r>
        <w:rPr>
          <w:b/>
          <w:sz w:val="28"/>
        </w:rPr>
        <w:t>4) Data subject rights (access, rectification, objection, etc.)</w:t>
      </w:r>
    </w:p>
    <w:p>
      <w:r>
        <w:t>AIME supports GDPR rights processes for EU users, recognising workplace constraints and the need for identity verification.</w:t>
      </w:r>
    </w:p>
    <w:p>
      <w:r>
        <w:rPr>
          <w:b/>
          <w:sz w:val="24"/>
        </w:rPr>
        <w:t>AIME approach</w:t>
      </w:r>
    </w:p>
    <w:p>
      <w:pPr>
        <w:pStyle w:val="ListBullet"/>
      </w:pPr>
      <w:r>
        <w:t>Access: provide an export of the user’s OKRs/OKRTs, comments, time blocks, and relevant activity logs within scope.</w:t>
      </w:r>
    </w:p>
    <w:p>
      <w:pPr>
        <w:pStyle w:val="ListBullet"/>
      </w:pPr>
      <w:r>
        <w:t>Rectification: allow users (or admins) to correct inaccurate personal data (e.g., name/email/team) and OKR records.</w:t>
      </w:r>
    </w:p>
    <w:p>
      <w:pPr>
        <w:pStyle w:val="ListBullet"/>
      </w:pPr>
      <w:r>
        <w:t>Erasure: apply where appropriate (note: some workplace records may be retained for legitimate interests or legal obligations).</w:t>
      </w:r>
    </w:p>
    <w:p>
      <w:pPr>
        <w:pStyle w:val="ListBullet"/>
      </w:pPr>
      <w:r>
        <w:t>Restriction/Objection: provide a channel to object to specific processing based on legitimate interests and assess on a case-by-case basis.</w:t>
      </w:r>
    </w:p>
    <w:p>
      <w:pPr>
        <w:pStyle w:val="ListBullet"/>
      </w:pPr>
      <w:r>
        <w:t>Portability: provide structured exports for the user’s own OKR content where applicable.</w:t>
      </w:r>
    </w:p>
    <w:p>
      <w:pPr>
        <w:pStyle w:val="ListBullet"/>
      </w:pPr>
      <w:r>
        <w:t>Process: define an internal request workflow, timelines, and escalation to privacy/legal.</w:t>
      </w:r>
    </w:p>
    <w:p>
      <w:r>
        <w:rPr>
          <w:b/>
          <w:sz w:val="24"/>
        </w:rPr>
        <w:t>Status</w:t>
      </w:r>
    </w:p>
    <w:p>
      <w:pPr>
        <w:pStyle w:val="ListBullet"/>
      </w:pPr>
      <w:r>
        <w:t>Current: Core CRUD supports correction of OKR data; admin can manage users/groups.</w:t>
      </w:r>
    </w:p>
    <w:p>
      <w:pPr>
        <w:pStyle w:val="ListBullet"/>
      </w:pPr>
      <w:r>
        <w:t>Planned: Add a formal DSAR workflow and export tooling; document response timelines and responsibilities.</w:t>
      </w:r>
    </w:p>
    <w:p/>
    <w:p>
      <w:r>
        <w:rPr>
          <w:b/>
          <w:sz w:val="28"/>
        </w:rPr>
        <w:t>5) DPIA requirement rationale (workplace monitoring-like processing)</w:t>
      </w:r>
    </w:p>
    <w:p>
      <w:r>
        <w:t>A Data Protection Impact Assessment (DPIA) is recommended where processing is likely to result in a high risk to individuals—particularly in workplace contexts, where systems can resemble monitoring or evaluation, and where new technologies (AI) are used at scale.</w:t>
      </w:r>
    </w:p>
    <w:p>
      <w:r>
        <w:rPr>
          <w:b/>
          <w:sz w:val="24"/>
        </w:rPr>
        <w:t>AIME DPIA rationale</w:t>
      </w:r>
    </w:p>
    <w:p>
      <w:pPr>
        <w:pStyle w:val="ListBullet"/>
      </w:pPr>
      <w:r>
        <w:t>Workplace context and power imbalance increases privacy risk.</w:t>
      </w:r>
    </w:p>
    <w:p>
      <w:pPr>
        <w:pStyle w:val="ListBullet"/>
      </w:pPr>
      <w:r>
        <w:t>Cross-source visibility (OKRs + KPIs + Jira activity) can enable inference about performance, even if not intended.</w:t>
      </w:r>
    </w:p>
    <w:p>
      <w:pPr>
        <w:pStyle w:val="ListBullet"/>
      </w:pPr>
      <w:r>
        <w:t>Use of AI to summarise employee activity and propose actions introduces risk of error, bias, or misuse.</w:t>
      </w:r>
    </w:p>
    <w:p>
      <w:pPr>
        <w:pStyle w:val="ListBullet"/>
      </w:pPr>
      <w:r>
        <w:t>Therefore, conducting a DPIA is prudent to document safeguards and demonstrate accountability.</w:t>
      </w:r>
    </w:p>
    <w:p>
      <w:r>
        <w:rPr>
          <w:b/>
          <w:sz w:val="24"/>
        </w:rPr>
        <w:t>Status</w:t>
      </w:r>
    </w:p>
    <w:p>
      <w:pPr>
        <w:pStyle w:val="ListBullet"/>
      </w:pPr>
      <w:r>
        <w:t>Current: DPIA not yet completed (recommended).</w:t>
      </w:r>
    </w:p>
    <w:p>
      <w:pPr>
        <w:pStyle w:val="ListBullet"/>
      </w:pPr>
      <w:r>
        <w:t>Planned: Perform DPIA covering AI features, dashboards, integrations, access controls, and international transfers; implement mitigations and track residual risk.</w:t>
      </w:r>
    </w:p>
    <w:p/>
    <w:p>
      <w:r>
        <w:rPr>
          <w:b/>
          <w:sz w:val="28"/>
        </w:rPr>
        <w:t>6) Data retention &amp; deletion</w:t>
      </w:r>
    </w:p>
    <w:p>
      <w:r>
        <w:t>AIME defines retention periods aligned to the 90‑day cycles and business needs, and supports deletion/archival workflows.</w:t>
      </w:r>
    </w:p>
    <w:p>
      <w:r>
        <w:rPr>
          <w:b/>
          <w:sz w:val="24"/>
        </w:rPr>
        <w:t>AIME approach</w:t>
      </w:r>
    </w:p>
    <w:p>
      <w:pPr>
        <w:pStyle w:val="ListBullet"/>
      </w:pPr>
      <w:r>
        <w:t>Define retention by data type: OKR history, comments, time blocks, audit logs, chat logs, and integration metadata.</w:t>
      </w:r>
    </w:p>
    <w:p>
      <w:pPr>
        <w:pStyle w:val="ListBullet"/>
      </w:pPr>
      <w:r>
        <w:t>Prefer archiving for historical OKR records (business continuity) with access controls rather than indefinite retention.</w:t>
      </w:r>
    </w:p>
    <w:p>
      <w:pPr>
        <w:pStyle w:val="ListBullet"/>
      </w:pPr>
      <w:r>
        <w:t>Define deletion rules for: revoked users, obsolete drafts, transient AI inputs, and debug traces.</w:t>
      </w:r>
    </w:p>
    <w:p>
      <w:pPr>
        <w:pStyle w:val="ListBullet"/>
      </w:pPr>
      <w:r>
        <w:t>Document retention in the Privacy Notice and RoPA.</w:t>
      </w:r>
    </w:p>
    <w:p>
      <w:r>
        <w:rPr>
          <w:b/>
          <w:sz w:val="24"/>
        </w:rPr>
        <w:t>Status</w:t>
      </w:r>
    </w:p>
    <w:p>
      <w:pPr>
        <w:pStyle w:val="ListBullet"/>
      </w:pPr>
      <w:r>
        <w:t>Current: Retention policy under consideration.</w:t>
      </w:r>
    </w:p>
    <w:p>
      <w:pPr>
        <w:pStyle w:val="ListBullet"/>
      </w:pPr>
      <w:r>
        <w:t>Planned: Adopt retention schedule (e.g., OKR history retained X years; audit logs retained Y months; chat logs retained Z months) and implement automated deletion/archival.</w:t>
      </w:r>
    </w:p>
    <w:p/>
    <w:p>
      <w:r>
        <w:rPr>
          <w:b/>
          <w:sz w:val="28"/>
        </w:rPr>
        <w:t>7) Security measures (technical &amp; organisational)</w:t>
      </w:r>
    </w:p>
    <w:p>
      <w:r>
        <w:t>AIME applies security controls appropriate to workplace personal data and integrated systems.</w:t>
      </w:r>
    </w:p>
    <w:p>
      <w:r>
        <w:rPr>
          <w:b/>
          <w:sz w:val="24"/>
        </w:rPr>
        <w:t>Technical measures</w:t>
      </w:r>
    </w:p>
    <w:p>
      <w:pPr>
        <w:pStyle w:val="ListBullet"/>
      </w:pPr>
      <w:r>
        <w:t>Authentication via Microsoft SSO (where enabled) and secure session management.</w:t>
      </w:r>
    </w:p>
    <w:p>
      <w:pPr>
        <w:pStyle w:val="ListBullet"/>
      </w:pPr>
      <w:r>
        <w:t>Role-based access control (RBAC) enforced server-side; least privilege by default.</w:t>
      </w:r>
    </w:p>
    <w:p>
      <w:pPr>
        <w:pStyle w:val="ListBullet"/>
      </w:pPr>
      <w:r>
        <w:t>Encryption in transit (TLS) and at rest (database/managed services).</w:t>
      </w:r>
    </w:p>
    <w:p>
      <w:pPr>
        <w:pStyle w:val="ListBullet"/>
      </w:pPr>
      <w:r>
        <w:t>Secure secrets management for API keys and OAuth credentials (Jira, Microsoft, Snowflake).</w:t>
      </w:r>
    </w:p>
    <w:p>
      <w:pPr>
        <w:pStyle w:val="ListBullet"/>
      </w:pPr>
      <w:r>
        <w:t>Input sanitisation and protections against XSS/prompt injection (especially for free-text comments and imported Jira content).</w:t>
      </w:r>
    </w:p>
    <w:p>
      <w:pPr>
        <w:pStyle w:val="ListBullet"/>
      </w:pPr>
      <w:r>
        <w:t>Audit logging of admin actions and AI-proposed actions (Accept/Reject).</w:t>
      </w:r>
    </w:p>
    <w:p>
      <w:r>
        <w:rPr>
          <w:b/>
          <w:sz w:val="24"/>
        </w:rPr>
        <w:t>Organisational measures</w:t>
      </w:r>
    </w:p>
    <w:p>
      <w:pPr>
        <w:pStyle w:val="ListBullet"/>
      </w:pPr>
      <w:r>
        <w:t>Access governance: role assignment approval, periodic access reviews, and joiner/mover/leaver process.</w:t>
      </w:r>
    </w:p>
    <w:p>
      <w:pPr>
        <w:pStyle w:val="ListBullet"/>
      </w:pPr>
      <w:r>
        <w:t>Security incident response procedures and escalation paths.</w:t>
      </w:r>
    </w:p>
    <w:p>
      <w:pPr>
        <w:pStyle w:val="ListBullet"/>
      </w:pPr>
      <w:r>
        <w:t>Developer change control for prompts/tools/models (review, versioning, rollback).</w:t>
      </w:r>
    </w:p>
    <w:p>
      <w:pPr>
        <w:pStyle w:val="ListBullet"/>
      </w:pPr>
      <w:r>
        <w:t>User training on safe use of AI features (AI literacy).</w:t>
      </w:r>
    </w:p>
    <w:p>
      <w:r>
        <w:rPr>
          <w:b/>
          <w:sz w:val="24"/>
        </w:rPr>
        <w:t>Status</w:t>
      </w:r>
    </w:p>
    <w:p>
      <w:pPr>
        <w:pStyle w:val="ListBullet"/>
      </w:pPr>
      <w:r>
        <w:t>Current: Accept/Reject pattern reduces execution risk; role-based roles are defined.</w:t>
      </w:r>
    </w:p>
    <w:p>
      <w:pPr>
        <w:pStyle w:val="ListBullet"/>
      </w:pPr>
      <w:r>
        <w:t>Planned: Implement comprehensive AI audit logging, monitoring alerts, and formal access review cadence.</w:t>
      </w:r>
    </w:p>
    <w:p/>
    <w:p>
      <w:r>
        <w:rPr>
          <w:b/>
          <w:sz w:val="28"/>
        </w:rPr>
        <w:t>8) Processors &amp; DPAs (OpenAI/Anthropic, Atlassian, Snowflake, hosting)</w:t>
      </w:r>
    </w:p>
    <w:p>
      <w:r>
        <w:t>AIME relies on multiple service providers that may act as processors/sub‑processors. Appropriate contracts (DPAs) and security reviews are required.</w:t>
      </w:r>
    </w:p>
    <w:p>
      <w:r>
        <w:rPr>
          <w:b/>
          <w:sz w:val="24"/>
        </w:rPr>
        <w:t>AIME approach</w:t>
      </w:r>
    </w:p>
    <w:p>
      <w:pPr>
        <w:pStyle w:val="ListBullet"/>
      </w:pPr>
      <w:r>
        <w:t>Maintain a vendor/sub‑processor register for: hosting/runtime (Vercel or AWS), database (Neon or AWS), AI inference (Amazon Bedrock / model provider), Atlassian (Jira), Microsoft, Snowflake, monitoring/analytics (if any).</w:t>
      </w:r>
    </w:p>
    <w:p>
      <w:pPr>
        <w:pStyle w:val="ListBullet"/>
      </w:pPr>
      <w:r>
        <w:t>Put in place Data Processing Agreements (DPAs) or equivalent contractual terms with relevant vendors.</w:t>
      </w:r>
    </w:p>
    <w:p>
      <w:pPr>
        <w:pStyle w:val="ListBullet"/>
      </w:pPr>
      <w:r>
        <w:t>Confirm data handling terms for AI services (e.g., whether prompts are used for model training, retention policies, and region controls).</w:t>
      </w:r>
    </w:p>
    <w:p>
      <w:pPr>
        <w:pStyle w:val="ListBullet"/>
      </w:pPr>
      <w:r>
        <w:t>Ensure processor instructions: AI is used to draft/summarise/propose; no profiling or performance evaluation.</w:t>
      </w:r>
    </w:p>
    <w:p>
      <w:r>
        <w:rPr>
          <w:b/>
          <w:sz w:val="24"/>
        </w:rPr>
        <w:t>Status</w:t>
      </w:r>
    </w:p>
    <w:p>
      <w:pPr>
        <w:pStyle w:val="ListBullet"/>
      </w:pPr>
      <w:r>
        <w:t>Current: Hosting uses Vercel and Neon (London); AI provider selection may move to Amazon Bedrock; Jira/Snowflake/Microsoft are enterprise systems.</w:t>
      </w:r>
    </w:p>
    <w:p>
      <w:pPr>
        <w:pStyle w:val="ListBullet"/>
      </w:pPr>
      <w:r>
        <w:t>Planned: Complete DPA review and vendor register; document responsibilities and security controls for each processor.</w:t>
      </w:r>
    </w:p>
    <w:p/>
    <w:p>
      <w:r>
        <w:rPr>
          <w:b/>
          <w:sz w:val="28"/>
        </w:rPr>
        <w:t>9) International transfers (if EU data accessed outside EU)</w:t>
      </w:r>
    </w:p>
    <w:p>
      <w:r>
        <w:t>If personal data of EU users is accessed or processed outside the EU/EEA (including in the UK, Sri Lanka, or other regions used by hosting/AI services), AIME documents the transfer mechanism and safeguards.</w:t>
      </w:r>
    </w:p>
    <w:p>
      <w:r>
        <w:rPr>
          <w:b/>
          <w:sz w:val="24"/>
        </w:rPr>
        <w:t>AIME approach</w:t>
      </w:r>
    </w:p>
    <w:p>
      <w:pPr>
        <w:pStyle w:val="ListBullet"/>
      </w:pPr>
      <w:r>
        <w:t>Map data flows and processing locations: database region, application runtime regions, AI inference region(s), and integration endpoints.</w:t>
      </w:r>
    </w:p>
    <w:p>
      <w:pPr>
        <w:pStyle w:val="ListBullet"/>
      </w:pPr>
      <w:r>
        <w:t>Where transfers occur, use appropriate safeguards (e.g., SCCs) and conduct a Transfer Risk Assessment (TRA).</w:t>
      </w:r>
    </w:p>
    <w:p>
      <w:pPr>
        <w:pStyle w:val="ListBullet"/>
      </w:pPr>
      <w:r>
        <w:t>Prefer configuring services to process within EU/EEA where feasible for EU users (e.g., EU regions for inference/hosting).</w:t>
      </w:r>
    </w:p>
    <w:p>
      <w:pPr>
        <w:pStyle w:val="ListBullet"/>
      </w:pPr>
      <w:r>
        <w:t>Limit the personal data sent to AI services (minimisation) to reduce transfer impact.</w:t>
      </w:r>
    </w:p>
    <w:p>
      <w:r>
        <w:rPr>
          <w:b/>
          <w:sz w:val="24"/>
        </w:rPr>
        <w:t>Status</w:t>
      </w:r>
    </w:p>
    <w:p>
      <w:pPr>
        <w:pStyle w:val="ListBullet"/>
      </w:pPr>
      <w:r>
        <w:t>Current: Neon database is hosted in London; Vercel region selection to be confirmed; Bedrock region/boundary to be selected.</w:t>
      </w:r>
    </w:p>
    <w:p>
      <w:pPr>
        <w:pStyle w:val="ListBullet"/>
      </w:pPr>
      <w:r>
        <w:t>Planned: Complete transfer mapping and TRA; implement SCCs where required; configure EU/UK boundaries as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