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Futuril — Recommended Tech Stack</w:t>
      </w:r>
    </w:p>
    <w:p>
      <w:pPr>
        <w:spacing w:after="200"/>
      </w:pPr>
      <w:r>
        <w:rPr>
          <w:i/>
          <w:iCs/>
          <w:color w:val="555555"/>
        </w:rPr>
        <w:t xml:space="preserve">Designed for the actual constraint that matters here: one person, first project, needs to ship and keep running costs near zero pre-revenue. Every choice below optimizes for fewer moving parts and generous free tiers over 'best in class for a funded team.'</w:t>
      </w:r>
    </w:p>
    <w:p>
      <w:pPr>
        <w:pStyle w:val="Heading1"/>
        <w:spacing w:after="150" w:before="300"/>
      </w:pPr>
      <w:r>
        <w:t xml:space="preserve">Guiding principles</w:t>
      </w:r>
    </w:p>
    <w:p>
      <w:pPr>
        <w:pStyle w:val="ListParagraph"/>
        <w:numPr>
          <w:ilvl w:val="0"/>
          <w:numId w:val="1"/>
        </w:numPr>
        <w:spacing w:after="60"/>
      </w:pPr>
      <w:r>
        <w:t xml:space="preserve">One language end-to-end (TypeScript) — less context-switching for a solo builder.</w:t>
      </w:r>
    </w:p>
    <w:p>
      <w:pPr>
        <w:pStyle w:val="ListParagraph"/>
        <w:numPr>
          <w:ilvl w:val="0"/>
          <w:numId w:val="1"/>
        </w:numPr>
        <w:spacing w:after="60"/>
      </w:pPr>
      <w:r>
        <w:t xml:space="preserve">Managed services over self-hosted infrastructure — no servers to patch, no Kubernetes to learn.</w:t>
      </w:r>
    </w:p>
    <w:p>
      <w:pPr>
        <w:pStyle w:val="ListParagraph"/>
        <w:numPr>
          <w:ilvl w:val="0"/>
          <w:numId w:val="1"/>
        </w:numPr>
        <w:spacing w:after="60"/>
      </w:pPr>
      <w:r>
        <w:t xml:space="preserve">Fewer vendors — Supabase covers DB, Auth, Storage, and vector search in one place instead of four separate bills and dashboards.</w:t>
      </w:r>
    </w:p>
    <w:p>
      <w:pPr>
        <w:pStyle w:val="ListParagraph"/>
        <w:numPr>
          <w:ilvl w:val="0"/>
          <w:numId w:val="1"/>
        </w:numPr>
        <w:spacing w:after="60"/>
      </w:pPr>
      <w:r>
        <w:t xml:space="preserve">AI cost control designed in from the start, not bolted on later — model tiering is a first-class architectural decision, not an optimization pass.</w:t>
      </w:r>
    </w:p>
    <w:p>
      <w:pPr>
        <w:pStyle w:val="ListParagraph"/>
        <w:numPr>
          <w:ilvl w:val="0"/>
          <w:numId w:val="1"/>
        </w:numPr>
        <w:spacing w:after="60"/>
      </w:pPr>
      <w:r>
        <w:t xml:space="preserve">Every 'expensive and hard to validate' feature (3D, voice, multilingual, premium) is deferred until the core loop is proven with real users — see the accompanying Development Phases document.</w:t>
      </w:r>
    </w:p>
    <w:p>
      <w:pPr>
        <w:pStyle w:val="Heading1"/>
        <w:spacing w:after="150" w:before="300"/>
      </w:pPr>
      <w:r>
        <w:t xml:space="preserve">Core Stack (MVP, Stages 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2F5D50" w:val="clear"/>
          </w:tcPr>
          <w:p>
            <w:r>
              <w:rPr>
                <w:b/>
                <w:bCs/>
                <w:color w:val="FFFFFF"/>
              </w:rPr>
              <w:t xml:space="preserve">Layer</w:t>
            </w:r>
          </w:p>
        </w:tc>
        <w:tc>
          <w:tcPr>
            <w:tcW w:type="pct" w:w="32%"/>
            <w:shd w:fill="2F5D50" w:val="clear"/>
          </w:tcPr>
          <w:p>
            <w:r>
              <w:rPr>
                <w:b/>
                <w:bCs/>
                <w:color w:val="FFFFFF"/>
              </w:rPr>
              <w:t xml:space="preserve">Choice</w:t>
            </w:r>
          </w:p>
        </w:tc>
        <w:tc>
          <w:tcPr>
            <w:tcW w:type="pct" w:w="48%"/>
            <w:shd w:fill="2F5D50" w:val="clear"/>
          </w:tcPr>
          <w:p>
            <w:r>
              <w:rPr>
                <w:b/>
                <w:bCs/>
                <w:color w:val="FFFFFF"/>
              </w:rPr>
              <w:t xml:space="preserve">Why</w:t>
            </w:r>
          </w:p>
        </w:tc>
      </w:tr>
      <w:tr>
        <w:tc>
          <w:tcPr>
            <w:tcW w:type="pct" w:w="20%"/>
          </w:tcPr>
          <w:p>
            <w:r>
              <w:rPr>
                <w:b w:val="false"/>
                <w:bCs w:val="false"/>
                <w:color w:val="000000"/>
              </w:rPr>
              <w:t xml:space="preserve">Frontend framework</w:t>
            </w:r>
          </w:p>
        </w:tc>
        <w:tc>
          <w:tcPr>
            <w:tcW w:type="pct" w:w="32%"/>
          </w:tcPr>
          <w:p>
            <w:r>
              <w:rPr>
                <w:b w:val="false"/>
                <w:bCs w:val="false"/>
                <w:color w:val="000000"/>
              </w:rPr>
              <w:t xml:space="preserve">Next.js (App Router) + TypeScript</w:t>
            </w:r>
          </w:p>
        </w:tc>
        <w:tc>
          <w:tcPr>
            <w:tcW w:type="pct" w:w="48%"/>
          </w:tcPr>
          <w:p>
            <w:r>
              <w:rPr>
                <w:b w:val="false"/>
                <w:bCs w:val="false"/>
                <w:color w:val="000000"/>
              </w:rPr>
              <w:t xml:space="preserve">One codebase for pages, API routes, and SSR. Huge community/AI-assist support, so you're rarely stuck without help.</w:t>
            </w:r>
          </w:p>
        </w:tc>
      </w:tr>
      <w:tr>
        <w:tc>
          <w:tcPr>
            <w:tcW w:type="pct" w:w="20%"/>
          </w:tcPr>
          <w:p>
            <w:r>
              <w:rPr>
                <w:b w:val="false"/>
                <w:bCs w:val="false"/>
                <w:color w:val="000000"/>
              </w:rPr>
              <w:t xml:space="preserve">Styling / UI</w:t>
            </w:r>
          </w:p>
        </w:tc>
        <w:tc>
          <w:tcPr>
            <w:tcW w:type="pct" w:w="32%"/>
          </w:tcPr>
          <w:p>
            <w:r>
              <w:rPr>
                <w:b w:val="false"/>
                <w:bCs w:val="false"/>
                <w:color w:val="000000"/>
              </w:rPr>
              <w:t xml:space="preserve">Tailwind CSS + shadcn/ui</w:t>
            </w:r>
          </w:p>
        </w:tc>
        <w:tc>
          <w:tcPr>
            <w:tcW w:type="pct" w:w="48%"/>
          </w:tcPr>
          <w:p>
            <w:r>
              <w:rPr>
                <w:b w:val="false"/>
                <w:bCs w:val="false"/>
                <w:color w:val="000000"/>
              </w:rPr>
              <w:t xml:space="preserve">Ship polished UI fast without hand-rolling a component library. Matches the 'professional x futuristic x human' direction without needing a design team.</w:t>
            </w:r>
          </w:p>
        </w:tc>
      </w:tr>
      <w:tr>
        <w:tc>
          <w:tcPr>
            <w:tcW w:type="pct" w:w="20%"/>
          </w:tcPr>
          <w:p>
            <w:r>
              <w:rPr>
                <w:b w:val="false"/>
                <w:bCs w:val="false"/>
                <w:color w:val="000000"/>
              </w:rPr>
              <w:t xml:space="preserve">Animation</w:t>
            </w:r>
          </w:p>
        </w:tc>
        <w:tc>
          <w:tcPr>
            <w:tcW w:type="pct" w:w="32%"/>
          </w:tcPr>
          <w:p>
            <w:r>
              <w:rPr>
                <w:b w:val="false"/>
                <w:bCs w:val="false"/>
                <w:color w:val="000000"/>
              </w:rPr>
              <w:t xml:space="preserve">Framer Motion</w:t>
            </w:r>
          </w:p>
        </w:tc>
        <w:tc>
          <w:tcPr>
            <w:tcW w:type="pct" w:w="48%"/>
          </w:tcPr>
          <w:p>
            <w:r>
              <w:rPr>
                <w:b w:val="false"/>
                <w:bCs w:val="false"/>
                <w:color w:val="000000"/>
              </w:rPr>
              <w:t xml:space="preserve">Covers micro-interactions and fluid transitions called for in the PRD without the cost of 3D.</w:t>
            </w:r>
          </w:p>
        </w:tc>
      </w:tr>
      <w:tr>
        <w:tc>
          <w:tcPr>
            <w:tcW w:type="pct" w:w="20%"/>
          </w:tcPr>
          <w:p>
            <w:r>
              <w:rPr>
                <w:b w:val="false"/>
                <w:bCs w:val="false"/>
                <w:color w:val="000000"/>
              </w:rPr>
              <w:t xml:space="preserve">Backend</w:t>
            </w:r>
          </w:p>
        </w:tc>
        <w:tc>
          <w:tcPr>
            <w:tcW w:type="pct" w:w="32%"/>
          </w:tcPr>
          <w:p>
            <w:r>
              <w:rPr>
                <w:b w:val="false"/>
                <w:bCs w:val="false"/>
                <w:color w:val="000000"/>
              </w:rPr>
              <w:t xml:space="preserve">Next.js API routes (monolith) to start</w:t>
            </w:r>
          </w:p>
        </w:tc>
        <w:tc>
          <w:tcPr>
            <w:tcW w:type="pct" w:w="48%"/>
          </w:tcPr>
          <w:p>
            <w:r>
              <w:rPr>
                <w:b w:val="false"/>
                <w:bCs w:val="false"/>
                <w:color w:val="000000"/>
              </w:rPr>
              <w:t xml:space="preserve">One deploy target, no separate backend service to run or pay for. Split into standalone services only if/when a specific feature (e.g. AI orchestration) needs to scale independently.</w:t>
            </w:r>
          </w:p>
        </w:tc>
      </w:tr>
      <w:tr>
        <w:tc>
          <w:tcPr>
            <w:tcW w:type="pct" w:w="20%"/>
          </w:tcPr>
          <w:p>
            <w:r>
              <w:rPr>
                <w:b w:val="false"/>
                <w:bCs w:val="false"/>
                <w:color w:val="000000"/>
              </w:rPr>
              <w:t xml:space="preserve">Database</w:t>
            </w:r>
          </w:p>
        </w:tc>
        <w:tc>
          <w:tcPr>
            <w:tcW w:type="pct" w:w="32%"/>
          </w:tcPr>
          <w:p>
            <w:r>
              <w:rPr>
                <w:b w:val="false"/>
                <w:bCs w:val="false"/>
                <w:color w:val="000000"/>
              </w:rPr>
              <w:t xml:space="preserve">Postgres via Supabase</w:t>
            </w:r>
          </w:p>
        </w:tc>
        <w:tc>
          <w:tcPr>
            <w:tcW w:type="pct" w:w="48%"/>
          </w:tcPr>
          <w:p>
            <w:r>
              <w:rPr>
                <w:b w:val="false"/>
                <w:bCs w:val="false"/>
                <w:color w:val="000000"/>
              </w:rPr>
              <w:t xml:space="preserve">Relational data (users, skills, pathways, projects) fits Postgres naturally. Supabase adds Auth, Storage, and Realtime on top of plain Postgres, so you're not stitching together four vendors.</w:t>
            </w:r>
          </w:p>
        </w:tc>
      </w:tr>
      <w:tr>
        <w:tc>
          <w:tcPr>
            <w:tcW w:type="pct" w:w="20%"/>
          </w:tcPr>
          <w:p>
            <w:r>
              <w:rPr>
                <w:b w:val="false"/>
                <w:bCs w:val="false"/>
                <w:color w:val="000000"/>
              </w:rPr>
              <w:t xml:space="preserve">Auth</w:t>
            </w:r>
          </w:p>
        </w:tc>
        <w:tc>
          <w:tcPr>
            <w:tcW w:type="pct" w:w="32%"/>
          </w:tcPr>
          <w:p>
            <w:r>
              <w:rPr>
                <w:b w:val="false"/>
                <w:bCs w:val="false"/>
                <w:color w:val="000000"/>
              </w:rPr>
              <w:t xml:space="preserve">Supabase Auth</w:t>
            </w:r>
          </w:p>
        </w:tc>
        <w:tc>
          <w:tcPr>
            <w:tcW w:type="pct" w:w="48%"/>
          </w:tcPr>
          <w:p>
            <w:r>
              <w:rPr>
                <w:b w:val="false"/>
                <w:bCs w:val="false"/>
                <w:color w:val="000000"/>
              </w:rPr>
              <w:t xml:space="preserve">Email/password + Google + GitHub OAuth out of the box — matches the onboarding options in the PRD exactly, with no auth code to maintain yourself.</w:t>
            </w:r>
          </w:p>
        </w:tc>
      </w:tr>
      <w:tr>
        <w:tc>
          <w:tcPr>
            <w:tcW w:type="pct" w:w="20%"/>
          </w:tcPr>
          <w:p>
            <w:r>
              <w:rPr>
                <w:b w:val="false"/>
                <w:bCs w:val="false"/>
                <w:color w:val="000000"/>
              </w:rPr>
              <w:t xml:space="preserve">Vector search / RAG</w:t>
            </w:r>
          </w:p>
        </w:tc>
        <w:tc>
          <w:tcPr>
            <w:tcW w:type="pct" w:w="32%"/>
          </w:tcPr>
          <w:p>
            <w:r>
              <w:rPr>
                <w:b w:val="false"/>
                <w:bCs w:val="false"/>
                <w:color w:val="000000"/>
              </w:rPr>
              <w:t xml:space="preserve">pgvector (Postgres extension, via Supabase)</w:t>
            </w:r>
          </w:p>
        </w:tc>
        <w:tc>
          <w:tcPr>
            <w:tcW w:type="pct" w:w="48%"/>
          </w:tcPr>
          <w:p>
            <w:r>
              <w:rPr>
                <w:b w:val="false"/>
                <w:bCs w:val="false"/>
                <w:color w:val="000000"/>
              </w:rPr>
              <w:t xml:space="preserve">Powers Learning Hub content Q&amp;A and Skill Graph similarity without standing up a separate vector DB (Pinecone etc.) and its own bill.</w:t>
            </w:r>
          </w:p>
        </w:tc>
      </w:tr>
      <w:tr>
        <w:tc>
          <w:tcPr>
            <w:tcW w:type="pct" w:w="20%"/>
          </w:tcPr>
          <w:p>
            <w:r>
              <w:rPr>
                <w:b w:val="false"/>
                <w:bCs w:val="false"/>
                <w:color w:val="000000"/>
              </w:rPr>
              <w:t xml:space="preserve">File storage</w:t>
            </w:r>
          </w:p>
        </w:tc>
        <w:tc>
          <w:tcPr>
            <w:tcW w:type="pct" w:w="32%"/>
          </w:tcPr>
          <w:p>
            <w:r>
              <w:rPr>
                <w:b w:val="false"/>
                <w:bCs w:val="false"/>
                <w:color w:val="000000"/>
              </w:rPr>
              <w:t xml:space="preserve">Supabase Storage</w:t>
            </w:r>
          </w:p>
        </w:tc>
        <w:tc>
          <w:tcPr>
            <w:tcW w:type="pct" w:w="48%"/>
          </w:tcPr>
          <w:p>
            <w:r>
              <w:rPr>
                <w:b w:val="false"/>
                <w:bCs w:val="false"/>
                <w:color w:val="000000"/>
              </w:rPr>
              <w:t xml:space="preserve">PDFs, uploaded learning material, resume exports — same vendor as DB and auth.</w:t>
            </w:r>
          </w:p>
        </w:tc>
      </w:tr>
      <w:tr>
        <w:tc>
          <w:tcPr>
            <w:tcW w:type="pct" w:w="20%"/>
          </w:tcPr>
          <w:p>
            <w:r>
              <w:rPr>
                <w:b w:val="false"/>
                <w:bCs w:val="false"/>
                <w:color w:val="000000"/>
              </w:rPr>
              <w:t xml:space="preserve">AI / LLM</w:t>
            </w:r>
          </w:p>
        </w:tc>
        <w:tc>
          <w:tcPr>
            <w:tcW w:type="pct" w:w="32%"/>
          </w:tcPr>
          <w:p>
            <w:r>
              <w:rPr>
                <w:b w:val="false"/>
                <w:bCs w:val="false"/>
                <w:color w:val="000000"/>
              </w:rPr>
              <w:t xml:space="preserve">Anthropic Claude API, tiered by task</w:t>
            </w:r>
          </w:p>
        </w:tc>
        <w:tc>
          <w:tcPr>
            <w:tcW w:type="pct" w:w="48%"/>
          </w:tcPr>
          <w:p>
            <w:r>
              <w:rPr>
                <w:b w:val="false"/>
                <w:bCs w:val="false"/>
                <w:color w:val="000000"/>
              </w:rPr>
              <w:t xml:space="preserve">Use a cheaper/faster model (e.g. Haiku-tier) for classification, quiz generation, and simple transforms; reserve the stronger model (Sonnet-tier) for Career DNA synthesis, pathway generation, and Kiki conversations. This is the single biggest cost lever in the whole product — build the tiering in from day one, not as a later optimization.</w:t>
            </w:r>
          </w:p>
        </w:tc>
      </w:tr>
      <w:tr>
        <w:tc>
          <w:tcPr>
            <w:tcW w:type="pct" w:w="20%"/>
          </w:tcPr>
          <w:p>
            <w:r>
              <w:rPr>
                <w:b w:val="false"/>
                <w:bCs w:val="false"/>
                <w:color w:val="000000"/>
              </w:rPr>
              <w:t xml:space="preserve">Background jobs</w:t>
            </w:r>
          </w:p>
        </w:tc>
        <w:tc>
          <w:tcPr>
            <w:tcW w:type="pct" w:w="32%"/>
          </w:tcPr>
          <w:p>
            <w:r>
              <w:rPr>
                <w:b w:val="false"/>
                <w:bCs w:val="false"/>
                <w:color w:val="000000"/>
              </w:rPr>
              <w:t xml:space="preserve">Vercel Cron / Supabase Edge Functions</w:t>
            </w:r>
          </w:p>
        </w:tc>
        <w:tc>
          <w:tcPr>
            <w:tcW w:type="pct" w:w="48%"/>
          </w:tcPr>
          <w:p>
            <w:r>
              <w:rPr>
                <w:b w:val="false"/>
                <w:bCs w:val="false"/>
                <w:color w:val="000000"/>
              </w:rPr>
              <w:t xml:space="preserve">Weekly Kiki check-ins, streak resets, roadmap re-evaluation — no separate queue infrastructure needed at this scale.</w:t>
            </w:r>
          </w:p>
        </w:tc>
      </w:tr>
      <w:tr>
        <w:tc>
          <w:tcPr>
            <w:tcW w:type="pct" w:w="20%"/>
          </w:tcPr>
          <w:p>
            <w:r>
              <w:rPr>
                <w:b w:val="false"/>
                <w:bCs w:val="false"/>
                <w:color w:val="000000"/>
              </w:rPr>
              <w:t xml:space="preserve">Hosting</w:t>
            </w:r>
          </w:p>
        </w:tc>
        <w:tc>
          <w:tcPr>
            <w:tcW w:type="pct" w:w="32%"/>
          </w:tcPr>
          <w:p>
            <w:r>
              <w:rPr>
                <w:b w:val="false"/>
                <w:bCs w:val="false"/>
                <w:color w:val="000000"/>
              </w:rPr>
              <w:t xml:space="preserve">Vercel (app) + Supabase Cloud (data)</w:t>
            </w:r>
          </w:p>
        </w:tc>
        <w:tc>
          <w:tcPr>
            <w:tcW w:type="pct" w:w="48%"/>
          </w:tcPr>
          <w:p>
            <w:r>
              <w:rPr>
                <w:b w:val="false"/>
                <w:bCs w:val="false"/>
                <w:color w:val="000000"/>
              </w:rPr>
              <w:t xml:space="preserve">Both have real free tiers, both deploy from a git push, neither requires you to manage a server.</w:t>
            </w:r>
          </w:p>
        </w:tc>
      </w:tr>
    </w:tbl>
    <w:p>
      <w:pPr>
        <w:spacing w:after="200"/>
      </w:pPr>
    </w:p>
    <w:p>
      <w:pPr>
        <w:pStyle w:val="Heading1"/>
        <w:spacing w:after="150" w:before="300"/>
      </w:pPr>
      <w:r>
        <w:t xml:space="preserve">Added Later (Post-MVP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2F5D50" w:val="clear"/>
          </w:tcPr>
          <w:p>
            <w:r>
              <w:rPr>
                <w:b/>
                <w:bCs/>
                <w:color w:val="FFFFFF"/>
              </w:rPr>
              <w:t xml:space="preserve">Layer</w:t>
            </w:r>
          </w:p>
        </w:tc>
        <w:tc>
          <w:tcPr>
            <w:tcW w:type="pct" w:w="40%"/>
            <w:shd w:fill="2F5D50" w:val="clear"/>
          </w:tcPr>
          <w:p>
            <w:r>
              <w:rPr>
                <w:b/>
                <w:bCs/>
                <w:color w:val="FFFFFF"/>
              </w:rPr>
              <w:t xml:space="preserve">Choice</w:t>
            </w:r>
          </w:p>
        </w:tc>
        <w:tc>
          <w:tcPr>
            <w:tcW w:type="pct" w:w="40%"/>
            <w:shd w:fill="2F5D50" w:val="clear"/>
          </w:tcPr>
          <w:p>
            <w:r>
              <w:rPr>
                <w:b/>
                <w:bCs/>
                <w:color w:val="FFFFFF"/>
              </w:rPr>
              <w:t xml:space="preserve">When</w:t>
            </w:r>
          </w:p>
        </w:tc>
      </w:tr>
      <w:tr>
        <w:tc>
          <w:tcPr>
            <w:tcW w:type="pct" w:w="20%"/>
          </w:tcPr>
          <w:p>
            <w:r>
              <w:rPr>
                <w:b w:val="false"/>
                <w:bCs w:val="false"/>
                <w:color w:val="000000"/>
              </w:rPr>
              <w:t xml:space="preserve">Payments</w:t>
            </w:r>
          </w:p>
        </w:tc>
        <w:tc>
          <w:tcPr>
            <w:tcW w:type="pct" w:w="40%"/>
          </w:tcPr>
          <w:p>
            <w:r>
              <w:rPr>
                <w:b w:val="false"/>
                <w:bCs w:val="false"/>
                <w:color w:val="000000"/>
              </w:rPr>
              <w:t xml:space="preserve">Razorpay (primary, India-first) + Stripe (international)</w:t>
            </w:r>
          </w:p>
        </w:tc>
        <w:tc>
          <w:tcPr>
            <w:tcW w:type="pct" w:w="40%"/>
          </w:tcPr>
          <w:p>
            <w:r>
              <w:rPr>
                <w:b w:val="false"/>
                <w:bCs w:val="false"/>
                <w:color w:val="000000"/>
              </w:rPr>
              <w:t xml:space="preserve">Stage O — Premium layer</w:t>
            </w:r>
          </w:p>
        </w:tc>
      </w:tr>
      <w:tr>
        <w:tc>
          <w:tcPr>
            <w:tcW w:type="pct" w:w="20%"/>
          </w:tcPr>
          <w:p>
            <w:r>
              <w:rPr>
                <w:b w:val="false"/>
                <w:bCs w:val="false"/>
                <w:color w:val="000000"/>
              </w:rPr>
              <w:t xml:space="preserve">Analytics</w:t>
            </w:r>
          </w:p>
        </w:tc>
        <w:tc>
          <w:tcPr>
            <w:tcW w:type="pct" w:w="40%"/>
          </w:tcPr>
          <w:p>
            <w:r>
              <w:rPr>
                <w:b w:val="false"/>
                <w:bCs w:val="false"/>
                <w:color w:val="000000"/>
              </w:rPr>
              <w:t xml:space="preserve">PostHog</w:t>
            </w:r>
          </w:p>
        </w:tc>
        <w:tc>
          <w:tcPr>
            <w:tcW w:type="pct" w:w="40%"/>
          </w:tcPr>
          <w:p>
            <w:r>
              <w:rPr>
                <w:b w:val="false"/>
                <w:bCs w:val="false"/>
                <w:color w:val="000000"/>
              </w:rPr>
              <w:t xml:space="preserve">Introduce once Stage F/G ship — the PRD's success metrics (activation, engagement, retention) need a funnel tool from first launch</w:t>
            </w:r>
          </w:p>
        </w:tc>
      </w:tr>
      <w:tr>
        <w:tc>
          <w:tcPr>
            <w:tcW w:type="pct" w:w="20%"/>
          </w:tcPr>
          <w:p>
            <w:r>
              <w:rPr>
                <w:b w:val="false"/>
                <w:bCs w:val="false"/>
                <w:color w:val="000000"/>
              </w:rPr>
              <w:t xml:space="preserve">Error monitoring</w:t>
            </w:r>
          </w:p>
        </w:tc>
        <w:tc>
          <w:tcPr>
            <w:tcW w:type="pct" w:w="40%"/>
          </w:tcPr>
          <w:p>
            <w:r>
              <w:rPr>
                <w:b w:val="false"/>
                <w:bCs w:val="false"/>
                <w:color w:val="000000"/>
              </w:rPr>
              <w:t xml:space="preserve">Sentry</w:t>
            </w:r>
          </w:p>
        </w:tc>
        <w:tc>
          <w:tcPr>
            <w:tcW w:type="pct" w:w="40%"/>
          </w:tcPr>
          <w:p>
            <w:r>
              <w:rPr>
                <w:b w:val="false"/>
                <w:bCs w:val="false"/>
                <w:color w:val="000000"/>
              </w:rPr>
              <w:t xml:space="preserve">Introduce at MVP launch — free tier is enough for a while</w:t>
            </w:r>
          </w:p>
        </w:tc>
      </w:tr>
      <w:tr>
        <w:tc>
          <w:tcPr>
            <w:tcW w:type="pct" w:w="20%"/>
          </w:tcPr>
          <w:p>
            <w:r>
              <w:rPr>
                <w:b w:val="false"/>
                <w:bCs w:val="false"/>
                <w:color w:val="000000"/>
              </w:rPr>
              <w:t xml:space="preserve">Resume/PDF generation</w:t>
            </w:r>
          </w:p>
        </w:tc>
        <w:tc>
          <w:tcPr>
            <w:tcW w:type="pct" w:w="40%"/>
          </w:tcPr>
          <w:p>
            <w:r>
              <w:rPr>
                <w:b w:val="false"/>
                <w:bCs w:val="false"/>
                <w:color w:val="000000"/>
              </w:rPr>
              <w:t xml:space="preserve">@react-pdf/renderer, or headless-browser HTML-to-PDF</w:t>
            </w:r>
          </w:p>
        </w:tc>
        <w:tc>
          <w:tcPr>
            <w:tcW w:type="pct" w:w="40%"/>
          </w:tcPr>
          <w:p>
            <w:r>
              <w:rPr>
                <w:b w:val="false"/>
                <w:bCs w:val="false"/>
                <w:color w:val="000000"/>
              </w:rPr>
              <w:t xml:space="preserve">Stage J — Resume Studio</w:t>
            </w:r>
          </w:p>
        </w:tc>
      </w:tr>
      <w:tr>
        <w:tc>
          <w:tcPr>
            <w:tcW w:type="pct" w:w="20%"/>
          </w:tcPr>
          <w:p>
            <w:r>
              <w:rPr>
                <w:b w:val="false"/>
                <w:bCs w:val="false"/>
                <w:color w:val="000000"/>
              </w:rPr>
              <w:t xml:space="preserve">Voice</w:t>
            </w:r>
          </w:p>
        </w:tc>
        <w:tc>
          <w:tcPr>
            <w:tcW w:type="pct" w:w="40%"/>
          </w:tcPr>
          <w:p>
            <w:r>
              <w:rPr>
                <w:b w:val="false"/>
                <w:bCs w:val="false"/>
                <w:color w:val="000000"/>
              </w:rPr>
              <w:t xml:space="preserve">Web Speech API to prototype, ElevenLabs for production voice</w:t>
            </w:r>
          </w:p>
        </w:tc>
        <w:tc>
          <w:tcPr>
            <w:tcW w:type="pct" w:w="40%"/>
          </w:tcPr>
          <w:p>
            <w:r>
              <w:rPr>
                <w:b w:val="false"/>
                <w:bCs w:val="false"/>
                <w:color w:val="000000"/>
              </w:rPr>
              <w:t xml:space="preserve">Stage L — after text-based Kiki is validated</w:t>
            </w:r>
          </w:p>
        </w:tc>
      </w:tr>
      <w:tr>
        <w:tc>
          <w:tcPr>
            <w:tcW w:type="pct" w:w="20%"/>
          </w:tcPr>
          <w:p>
            <w:r>
              <w:rPr>
                <w:b w:val="false"/>
                <w:bCs w:val="false"/>
                <w:color w:val="000000"/>
              </w:rPr>
              <w:t xml:space="preserve">i18n</w:t>
            </w:r>
          </w:p>
        </w:tc>
        <w:tc>
          <w:tcPr>
            <w:tcW w:type="pct" w:w="40%"/>
          </w:tcPr>
          <w:p>
            <w:r>
              <w:rPr>
                <w:b w:val="false"/>
                <w:bCs w:val="false"/>
                <w:color w:val="000000"/>
              </w:rPr>
              <w:t xml:space="preserve">next-intl / i18next for UI strings; LLM handles dynamic bilingual explanation at runtime</w:t>
            </w:r>
          </w:p>
        </w:tc>
        <w:tc>
          <w:tcPr>
            <w:tcW w:type="pct" w:w="40%"/>
          </w:tcPr>
          <w:p>
            <w:r>
              <w:rPr>
                <w:b w:val="false"/>
                <w:bCs w:val="false"/>
                <w:color w:val="000000"/>
              </w:rPr>
              <w:t xml:space="preserve">Stage M — Multilingual expansion</w:t>
            </w:r>
          </w:p>
        </w:tc>
      </w:tr>
      <w:tr>
        <w:tc>
          <w:tcPr>
            <w:tcW w:type="pct" w:w="20%"/>
          </w:tcPr>
          <w:p>
            <w:r>
              <w:rPr>
                <w:b w:val="false"/>
                <w:bCs w:val="false"/>
                <w:color w:val="000000"/>
              </w:rPr>
              <w:t xml:space="preserve">3D</w:t>
            </w:r>
          </w:p>
        </w:tc>
        <w:tc>
          <w:tcPr>
            <w:tcW w:type="pct" w:w="40%"/>
          </w:tcPr>
          <w:p>
            <w:r>
              <w:rPr>
                <w:b w:val="false"/>
                <w:bCs w:val="false"/>
                <w:color w:val="000000"/>
              </w:rPr>
              <w:t xml:space="preserve">React Three Fiber (Three.js for React)</w:t>
            </w:r>
          </w:p>
        </w:tc>
        <w:tc>
          <w:tcPr>
            <w:tcW w:type="pct" w:w="40%"/>
          </w:tcPr>
          <w:p>
            <w:r>
              <w:rPr>
                <w:b w:val="false"/>
                <w:bCs w:val="false"/>
                <w:color w:val="000000"/>
              </w:rPr>
              <w:t xml:space="preserve">Stage N — visual polish, once the core loop is proven</w:t>
            </w:r>
          </w:p>
        </w:tc>
      </w:tr>
    </w:tbl>
    <w:p>
      <w:pPr>
        <w:spacing w:after="200"/>
      </w:pPr>
    </w:p>
    <w:p>
      <w:pPr>
        <w:pStyle w:val="Heading1"/>
        <w:spacing w:after="150" w:before="300"/>
      </w:pPr>
      <w:r>
        <w:t xml:space="preserve">Deliberately Avoid For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2F5D50" w:val="clear"/>
          </w:tcPr>
          <w:p>
            <w:r>
              <w:rPr>
                <w:b/>
                <w:bCs/>
                <w:color w:val="FFFFFF"/>
              </w:rPr>
              <w:t xml:space="preserve">Avoid (for now)</w:t>
            </w:r>
          </w:p>
        </w:tc>
        <w:tc>
          <w:tcPr>
            <w:tcW w:type="pct" w:w="65%"/>
            <w:shd w:fill="2F5D50" w:val="clear"/>
          </w:tcPr>
          <w:p>
            <w:r>
              <w:rPr>
                <w:b/>
                <w:bCs/>
                <w:color w:val="FFFFFF"/>
              </w:rPr>
              <w:t xml:space="preserve">Why</w:t>
            </w:r>
          </w:p>
        </w:tc>
      </w:tr>
      <w:tr>
        <w:tc>
          <w:tcPr>
            <w:tcW w:type="pct" w:w="35%"/>
          </w:tcPr>
          <w:p>
            <w:r>
              <w:rPr>
                <w:b w:val="false"/>
                <w:bCs w:val="false"/>
                <w:color w:val="000000"/>
              </w:rPr>
              <w:t xml:space="preserve">Microservices / Kubernetes</w:t>
            </w:r>
          </w:p>
        </w:tc>
        <w:tc>
          <w:tcPr>
            <w:tcW w:type="pct" w:w="65%"/>
          </w:tcPr>
          <w:p>
            <w:r>
              <w:rPr>
                <w:b w:val="false"/>
                <w:bCs w:val="false"/>
                <w:color w:val="000000"/>
              </w:rPr>
              <w:t xml:space="preserve">Solves a scaling problem you don't have yet and adds a maintenance burden one person can't sustainably carry alone.</w:t>
            </w:r>
          </w:p>
        </w:tc>
      </w:tr>
      <w:tr>
        <w:tc>
          <w:tcPr>
            <w:tcW w:type="pct" w:w="35%"/>
          </w:tcPr>
          <w:p>
            <w:r>
              <w:rPr>
                <w:b w:val="false"/>
                <w:bCs w:val="false"/>
                <w:color w:val="000000"/>
              </w:rPr>
              <w:t xml:space="preserve">A dedicated vector DB (Pinecone, Weaviate, etc.)</w:t>
            </w:r>
          </w:p>
        </w:tc>
        <w:tc>
          <w:tcPr>
            <w:tcW w:type="pct" w:w="65%"/>
          </w:tcPr>
          <w:p>
            <w:r>
              <w:rPr>
                <w:b w:val="false"/>
                <w:bCs w:val="false"/>
                <w:color w:val="000000"/>
              </w:rPr>
              <w:t xml:space="preserve">pgvector inside Supabase covers your scale for a long time and avoids a third vendor and bill.</w:t>
            </w:r>
          </w:p>
        </w:tc>
      </w:tr>
      <w:tr>
        <w:tc>
          <w:tcPr>
            <w:tcW w:type="pct" w:w="35%"/>
          </w:tcPr>
          <w:p>
            <w:r>
              <w:rPr>
                <w:b w:val="false"/>
                <w:bCs w:val="false"/>
                <w:color w:val="000000"/>
              </w:rPr>
              <w:t xml:space="preserve">Rolling your own auth</w:t>
            </w:r>
          </w:p>
        </w:tc>
        <w:tc>
          <w:tcPr>
            <w:tcW w:type="pct" w:w="65%"/>
          </w:tcPr>
          <w:p>
            <w:r>
              <w:rPr>
                <w:b w:val="false"/>
                <w:bCs w:val="false"/>
                <w:color w:val="000000"/>
              </w:rPr>
              <w:t xml:space="preserve">Solved problem — Supabase Auth is free, secure, and matches your onboarding requirements directly.</w:t>
            </w:r>
          </w:p>
        </w:tc>
      </w:tr>
      <w:tr>
        <w:tc>
          <w:tcPr>
            <w:tcW w:type="pct" w:w="35%"/>
          </w:tcPr>
          <w:p>
            <w:r>
              <w:rPr>
                <w:b w:val="false"/>
                <w:bCs w:val="false"/>
                <w:color w:val="000000"/>
              </w:rPr>
              <w:t xml:space="preserve">Full 3D across every screen on day one</w:t>
            </w:r>
          </w:p>
        </w:tc>
        <w:tc>
          <w:tcPr>
            <w:tcW w:type="pct" w:w="65%"/>
          </w:tcPr>
          <w:p>
            <w:r>
              <w:rPr>
                <w:b w:val="false"/>
                <w:bCs w:val="false"/>
                <w:color w:val="000000"/>
              </w:rPr>
              <w:t xml:space="preserve">The PRD itself warns against this. Build it once the core loop has real users and you have time to spend on polish.</w:t>
            </w:r>
          </w:p>
        </w:tc>
      </w:tr>
      <w:tr>
        <w:tc>
          <w:tcPr>
            <w:tcW w:type="pct" w:w="35%"/>
          </w:tcPr>
          <w:p>
            <w:r>
              <w:rPr>
                <w:b w:val="false"/>
                <w:bCs w:val="false"/>
                <w:color w:val="000000"/>
              </w:rPr>
              <w:t xml:space="preserve">Real-time voice before text-based Kiki is validated</w:t>
            </w:r>
          </w:p>
        </w:tc>
        <w:tc>
          <w:tcPr>
            <w:tcW w:type="pct" w:w="65%"/>
          </w:tcPr>
          <w:p>
            <w:r>
              <w:rPr>
                <w:b w:val="false"/>
                <w:bCs w:val="false"/>
                <w:color w:val="000000"/>
              </w:rPr>
              <w:t xml:space="preserve">Voice infra is expensive and hard to iterate on. Prove the conversational value in text first.</w:t>
            </w:r>
          </w:p>
        </w:tc>
      </w:tr>
    </w:tbl>
    <w:p>
      <w:pPr>
        <w:spacing w:after="200"/>
      </w:pPr>
    </w:p>
    <w:p>
      <w:pPr>
        <w:pStyle w:val="Heading1"/>
        <w:spacing w:after="150" w:before="300"/>
      </w:pPr>
      <w:r>
        <w:t xml:space="preserve">A note on AI cost management</w:t>
      </w:r>
    </w:p>
    <w:p>
      <w:pPr>
        <w:spacing w:after="120"/>
      </w:pPr>
      <w:r>
        <w:t xml:space="preserve">This is worth calling out on its own because it's the part most PRDs (including this one) leave implicit. Every Career DNA generation, every Learning Hub 'teach me this,' every Kiki reply is a paid API call. Before public launch, put basic guardrails in place: per-user daily request caps, response caching for repeated content (e.g. common textbook chapters), and the cheap/expensive model split described above. This one decision affects whether the product can survive its own growth.</w:t>
      </w:r>
    </w:p>
    <w:p>
      <w:pPr>
        <w:pStyle w:val="Heading1"/>
        <w:spacing w:after="150" w:before="300"/>
      </w:pPr>
      <w:r>
        <w:t xml:space="preserve">Testing &amp; CI</w:t>
      </w:r>
    </w:p>
    <w:p>
      <w:pPr>
        <w:pStyle w:val="ListParagraph"/>
        <w:numPr>
          <w:ilvl w:val="0"/>
          <w:numId w:val="1"/>
        </w:numPr>
        <w:spacing w:after="60"/>
      </w:pPr>
      <w:r>
        <w:t xml:space="preserve">Playwright for end-to-end tests on the core loop (onboarding → Career DNA → Compass → Pathway)</w:t>
      </w:r>
    </w:p>
    <w:p>
      <w:pPr>
        <w:pStyle w:val="ListParagraph"/>
        <w:numPr>
          <w:ilvl w:val="0"/>
          <w:numId w:val="1"/>
        </w:numPr>
        <w:spacing w:after="60"/>
      </w:pPr>
      <w:r>
        <w:t xml:space="preserve">Vitest for unit tests</w:t>
      </w:r>
    </w:p>
    <w:p>
      <w:pPr>
        <w:pStyle w:val="ListParagraph"/>
        <w:numPr>
          <w:ilvl w:val="0"/>
          <w:numId w:val="1"/>
        </w:numPr>
        <w:spacing w:after="60"/>
      </w:pPr>
      <w:r>
        <w:t xml:space="preserve">GitHub Actions → Vercel auto-deploy on push to main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2026-07-19T17:57:06.576Z</dcterms:created>
  <dcterms:modified xsi:type="dcterms:W3CDTF">2026-07-19T17:57:06.576Z</dcterms:modified>
</cp:coreProperties>
</file>

<file path=docProps/custom.xml><?xml version="1.0" encoding="utf-8"?>
<Properties xmlns="http://schemas.openxmlformats.org/officeDocument/2006/custom-properties" xmlns:vt="http://schemas.openxmlformats.org/officeDocument/2006/docPropsVTypes"/>
</file>