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reporting package</w:t>
      </w:r>
    </w:p>
    <w:p>
      <w:r>
        <w:t>REVIEWED</w:t>
      </w:r>
    </w:p>
    <w:p>
      <w:r>
        <w:t>Entity | FICTIONAL synthetic entity</w:t>
      </w:r>
    </w:p>
    <w:p>
      <w:r>
        <w:t>Period | 2026-01-01 to 2026-12-31</w:t>
      </w:r>
    </w:p>
    <w:p>
      <w:r>
        <w:t>Currency | AED</w:t>
      </w:r>
    </w:p>
    <w:p>
      <w:r>
        <w:t>Run ID | 96b49c92-47da-4f57-b0ff-254aaf736981</w:t>
      </w:r>
    </w:p>
    <w:p>
      <w:r>
        <w:t>SHA-256 | ed7f6a89e4d2954649d821f4014fd2fd546381875129b63c51a2c129bfee59c1</w:t>
      </w:r>
    </w:p>
    <w:p>
      <w:r>
        <w:t>Methodology | auditos-ifrs/1.0</w:t>
      </w:r>
    </w:p>
    <w:p>
      <w:r>
        <w:t>Prepared by (user ID) | c988077b-3394-4963-9326-ca0dfb8aa069</w:t>
      </w:r>
    </w:p>
    <w:p>
      <w:r>
        <w:t>Prepared UTC | 2026-10-17 21:41:26.994963+00:00</w:t>
      </w:r>
    </w:p>
    <w:p>
      <w:r>
        <w:t>Reviewed by (user IDs) | d2e35700-86c6-479a-b30f-5267f18e3935, cf8ffb48-ad09-471a-9573-64fe9136c201</w:t>
      </w:r>
    </w:p>
    <w:p>
      <w:r>
        <w:t>Scope | Mapped full-IFRS general corporate statements; human classification, elections, disclosures and professional review required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ASSETS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Comparative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Cash</w:t>
            </w:r>
          </w:p>
        </w:tc>
        <w:tc>
          <w:tcPr>
            <w:tcW w:type="dxa" w:w="2160"/>
          </w:tcPr>
          <w:p>
            <w:r>
              <w:t>130.00</w:t>
            </w:r>
          </w:p>
        </w:tc>
        <w:tc>
          <w:tcPr>
            <w:tcW w:type="dxa" w:w="2160"/>
          </w:tcPr>
          <w:p>
            <w:r>
              <w:t>Not supplied</w:t>
            </w:r>
          </w:p>
        </w:tc>
        <w:tc>
          <w:tcPr>
            <w:tcW w:type="dxa" w:w="2160"/>
          </w:tcPr>
          <w:p>
            <w:r>
              <w:t>N1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EQUITY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Comparative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Capital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Not supplied</w:t>
            </w:r>
          </w:p>
        </w:tc>
        <w:tc>
          <w:tcPr>
            <w:tcW w:type="dxa" w:w="2160"/>
          </w:tcPr>
          <w:p>
            <w:r>
              <w:t>N1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INCOME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Comparative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  <w:tc>
          <w:tcPr>
            <w:tcW w:type="dxa" w:w="2160"/>
          </w:tcPr>
          <w:p>
            <w:r>
              <w:t>Not supplied</w:t>
            </w:r>
          </w:p>
        </w:tc>
        <w:tc>
          <w:tcPr>
            <w:tcW w:type="dxa" w:w="2160"/>
          </w:tcPr>
          <w:p>
            <w:r>
              <w:t>N1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EXPENSES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Comparative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Expense</w:t>
            </w:r>
          </w:p>
        </w:tc>
        <w:tc>
          <w:tcPr>
            <w:tcW w:type="dxa" w:w="2160"/>
          </w:tcPr>
          <w:p>
            <w:r>
              <w:t>20.00</w:t>
            </w:r>
          </w:p>
        </w:tc>
        <w:tc>
          <w:tcPr>
            <w:tcW w:type="dxa" w:w="2160"/>
          </w:tcPr>
          <w:p>
            <w:r>
              <w:t>Not supplied</w:t>
            </w:r>
          </w:p>
        </w:tc>
        <w:tc>
          <w:tcPr>
            <w:tcW w:type="dxa" w:w="2160"/>
          </w:tcPr>
          <w:p>
            <w:r>
              <w:t>N1</w:t>
            </w:r>
          </w:p>
        </w:tc>
      </w:tr>
    </w:tbl>
    <w:p>
      <w:pPr>
        <w:pStyle w:val="Heading1"/>
      </w:pPr>
      <w:r>
        <w:t>TOTALS</w:t>
      </w:r>
    </w:p>
    <w:p>
      <w:r>
        <w:t>oci | 0</w:t>
      </w:r>
    </w:p>
    <w:p>
      <w:r>
        <w:t>cash | 130.00000000</w:t>
      </w:r>
    </w:p>
    <w:p>
      <w:r>
        <w:t>assets | 130.00000000</w:t>
      </w:r>
    </w:p>
    <w:p>
      <w:r>
        <w:t>equity | 130.00000000</w:t>
      </w:r>
    </w:p>
    <w:p>
      <w:r>
        <w:t>profit | 30.00000000</w:t>
      </w:r>
    </w:p>
    <w:p>
      <w:r>
        <w:t>liabilities | 0</w:t>
      </w:r>
    </w:p>
    <w:p>
      <w:r>
        <w:t>total_comprehensive_income | 30.00000000</w:t>
      </w:r>
    </w:p>
    <w:p>
      <w:pPr>
        <w:pStyle w:val="Heading1"/>
      </w:pPr>
      <w:r>
        <w:t>CHANGES IN EQUITY</w:t>
      </w:r>
    </w:p>
    <w:p>
      <w:r>
        <w:t>oci | 0</w:t>
      </w:r>
    </w:p>
    <w:p>
      <w:r>
        <w:t>profit | 30.00000000</w:t>
      </w:r>
    </w:p>
    <w:p>
      <w:r>
        <w:t>closing | 130.00000000</w:t>
      </w:r>
    </w:p>
    <w:p>
      <w:r>
        <w:t>opening | 100.00000000</w:t>
      </w:r>
    </w:p>
    <w:p>
      <w:r>
        <w:t>direct_equity_movements | 0.00000000</w:t>
      </w:r>
    </w:p>
    <w:p>
      <w:pPr>
        <w:pStyle w:val="Heading1"/>
      </w:pPr>
      <w:r>
        <w:t>CASH FLOW</w:t>
      </w:r>
    </w:p>
    <w:p>
      <w:r>
        <w:t>method | indirect</w:t>
      </w:r>
    </w:p>
    <w:p>
      <w:r>
        <w:t>policy | Synthetic interest policy</w:t>
      </w:r>
    </w:p>
    <w:p>
      <w:r>
        <w:t>profit | 30.00000000</w:t>
      </w:r>
    </w:p>
    <w:p>
      <w:r>
        <w:t>closing | 130.00000000</w:t>
      </w:r>
    </w:p>
    <w:p>
      <w:r>
        <w:t>opening | 100.00000000</w:t>
      </w:r>
    </w:p>
    <w:p>
      <w:r>
        <w:t>financing | 0</w:t>
      </w:r>
    </w:p>
    <w:p>
      <w:r>
        <w:t>investing | 0</w:t>
      </w:r>
    </w:p>
    <w:p>
      <w:r>
        <w:t>operating | 30.00000000</w:t>
      </w:r>
    </w:p>
    <w:p>
      <w:r>
        <w:t>difference | 0.00000000</w:t>
      </w:r>
    </w:p>
    <w:p>
      <w:r>
        <w:t>source_cash | 130.00000000</w:t>
      </w:r>
    </w:p>
    <w:p>
      <w:r>
        <w:t>exchange_effect | 0</w:t>
      </w:r>
    </w:p>
    <w:p>
      <w:r>
        <w:t>working_capital | 0</w:t>
      </w:r>
    </w:p>
    <w:p>
      <w:r>
        <w:t>noncash_adjustments | 0</w:t>
      </w:r>
    </w:p>
    <w:p>
      <w:pPr>
        <w:pStyle w:val="Heading1"/>
      </w:pPr>
      <w:r>
        <w:t>VALIDATION</w:t>
      </w:r>
    </w:p>
    <w:p>
      <w:r>
        <w:t>ready | True</w:t>
      </w:r>
    </w:p>
    <w:p>
      <w:r>
        <w:t>checks | [{"code": "source_trial_balance", "passed": true}, {"code": "accounting_equation", "passed": true, "difference": "0.00000000"}, {"code": "adjusted_trial_balance", "passed": true}, {"code": "cash_flow_reconciliation", "passed": true}, {"code": "notes_reconciled", "passed": true, "missing": []}, {"code": "disclosures_assessed", "passed": true, "missing": []}, {"code": "single_cash_flow_policy", "passed": true}, {"code": "comparative_opening_consistency", "passed": true}, {"code": "comparative_source", "passed": true}]</w:t>
      </w:r>
    </w:p>
    <w:p>
      <w:r>
        <w:t>ifrs_compliance_certified | False</w:t>
      </w:r>
    </w:p>
    <w:p>
      <w:r>
        <w:t>Note N1 | Synthetic disclosure for testing only. Basis and judgments independently reviewed.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Note line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Comparative</w:t>
            </w:r>
          </w:p>
        </w:tc>
        <w:tc>
          <w:tcPr>
            <w:tcW w:type="dxa" w:w="2160"/>
          </w:tcPr>
          <w:p>
            <w:r>
              <w:t>Basis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130.00</w:t>
            </w:r>
          </w:p>
        </w:tc>
        <w:tc>
          <w:tcPr>
            <w:tcW w:type="dxa" w:w="2160"/>
          </w:tcPr>
          <w:p>
            <w:r>
              <w:t>Not supplied</w:t>
            </w:r>
          </w:p>
        </w:tc>
        <w:tc>
          <w:tcPr>
            <w:tcW w:type="dxa" w:w="2160"/>
          </w:tcPr>
          <w:p>
            <w:r>
              <w:t>Source signs</w:t>
            </w:r>
          </w:p>
        </w:tc>
      </w:tr>
      <w:tr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-100.00</w:t>
            </w:r>
          </w:p>
        </w:tc>
        <w:tc>
          <w:tcPr>
            <w:tcW w:type="dxa" w:w="2160"/>
          </w:tcPr>
          <w:p>
            <w:r>
              <w:t>Not supplied</w:t>
            </w:r>
          </w:p>
        </w:tc>
        <w:tc>
          <w:tcPr>
            <w:tcW w:type="dxa" w:w="2160"/>
          </w:tcPr>
          <w:p>
            <w:r>
              <w:t>Source signs</w:t>
            </w:r>
          </w:p>
        </w:tc>
      </w:tr>
      <w:tr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-50.00</w:t>
            </w:r>
          </w:p>
        </w:tc>
        <w:tc>
          <w:tcPr>
            <w:tcW w:type="dxa" w:w="2160"/>
          </w:tcPr>
          <w:p>
            <w:r>
              <w:t>Not supplied</w:t>
            </w:r>
          </w:p>
        </w:tc>
        <w:tc>
          <w:tcPr>
            <w:tcW w:type="dxa" w:w="2160"/>
          </w:tcPr>
          <w:p>
            <w:r>
              <w:t>Source signs</w:t>
            </w:r>
          </w:p>
        </w:tc>
      </w:tr>
      <w:tr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20.00</w:t>
            </w:r>
          </w:p>
        </w:tc>
        <w:tc>
          <w:tcPr>
            <w:tcW w:type="dxa" w:w="2160"/>
          </w:tcPr>
          <w:p>
            <w:r>
              <w:t>Not supplied</w:t>
            </w:r>
          </w:p>
        </w:tc>
        <w:tc>
          <w:tcPr>
            <w:tcW w:type="dxa" w:w="2160"/>
          </w:tcPr>
          <w:p>
            <w:r>
              <w:t>Source signs</w:t>
            </w:r>
          </w:p>
        </w:tc>
      </w:tr>
    </w:tbl>
    <w:p>
      <w:r>
        <w:t>Professional review | No IFRS compliance certification is made by this software.</w:t>
      </w:r>
    </w:p>
    <w:p>
      <w:pPr>
        <w:pStyle w:val="Heading1"/>
      </w:pPr>
      <w:r>
        <w:t>Source lineage</w:t>
      </w:r>
    </w:p>
    <w:p>
      <w:r>
        <w:t>[</w:t>
        <w:br/>
        <w:t xml:space="preserve">  {</w:t>
        <w:br/>
        <w:t xml:space="preserve">    "id": "cd1cfa27-d305-47c3-a261-04fa4afda602",</w:t>
        <w:br/>
        <w:t xml:space="preserve">    "status": "APPROVED",</w:t>
        <w:br/>
        <w:t xml:space="preserve">    "version": 3</w:t>
        <w:br/>
        <w:t xml:space="preserve">  },</w:t>
        <w:br/>
        <w:t xml:space="preserve">  {</w:t>
        <w:br/>
        <w:t xml:space="preserve">    "id": "f9447a9e-8d7c-45b1-8618-bb0be657bb48",</w:t>
        <w:br/>
        <w:t xml:space="preserve">    "status": "APPROVED",</w:t>
        <w:br/>
        <w:t xml:space="preserve">    "version": 3</w:t>
        <w:br/>
        <w:t xml:space="preserve">  },</w:t>
        <w:br/>
        <w:t xml:space="preserve">  {</w:t>
        <w:br/>
        <w:t xml:space="preserve">    "id": "ca1593f0-f03c-4174-9d63-19f6b5b72cb6",</w:t>
        <w:br/>
        <w:t xml:space="preserve">    "status": "APPROVED",</w:t>
        <w:br/>
        <w:t xml:space="preserve">    "version": 3</w:t>
        <w:br/>
        <w:t xml:space="preserve">  },</w:t>
        <w:br/>
        <w:t xml:space="preserve">  {</w:t>
        <w:br/>
        <w:t xml:space="preserve">    "id": "5739bb58-8ee7-4565-a7b4-4d8cf7b3c2e9",</w:t>
        <w:br/>
        <w:t xml:space="preserve">    "status": "APPROVED",</w:t>
        <w:br/>
        <w:t xml:space="preserve">    "version": 3</w:t>
        <w:br/>
        <w:t xml:space="preserve">  },</w:t>
        <w:br/>
        <w:t xml:space="preserve">  {</w:t>
        <w:br/>
        <w:t xml:space="preserve">    "id": "13de1983-05ad-44ef-83b0-9a94aca74bb3",</w:t>
        <w:br/>
        <w:t xml:space="preserve">    "status": "APPROVED",</w:t>
        <w:br/>
        <w:t xml:space="preserve">    "version": 3</w:t>
        <w:br/>
        <w:t xml:space="preserve">  },</w:t>
        <w:br/>
        <w:t xml:space="preserve">  {</w:t>
        <w:br/>
        <w:t xml:space="preserve">    "id": "a456e7d2-f16d-44e7-8027-9c0ea1fd0663",</w:t>
        <w:br/>
        <w:t xml:space="preserve">    "status": "APPROVED",</w:t>
        <w:br/>
        <w:t xml:space="preserve">    "version": 3</w:t>
        <w:br/>
        <w:t xml:space="preserve">  },</w:t>
        <w:br/>
        <w:t xml:space="preserve">  {</w:t>
        <w:br/>
        <w:t xml:space="preserve">    "id": "b5bb157a-e9cd-4c68-ab61-1ba4f2218dcc",</w:t>
        <w:br/>
        <w:t xml:space="preserve">    "status": "APPROVED",</w:t>
        <w:br/>
        <w:t xml:space="preserve">    "version": 3</w:t>
        <w:br/>
        <w:t xml:space="preserve">  },</w:t>
        <w:br/>
        <w:t xml:space="preserve">  {</w:t>
        <w:br/>
        <w:t xml:space="preserve">    "id": "7eb657c9-e2c0-4d84-98d2-fa1c224d8783",</w:t>
        <w:br/>
        <w:t xml:space="preserve">    "status": "APPROVED",</w:t>
        <w:br/>
        <w:t xml:space="preserve">    "version": 3</w:t>
        <w:br/>
        <w:t xml:space="preserve">  },</w:t>
        <w:br/>
        <w:t xml:space="preserve">  {</w:t>
        <w:br/>
        <w:t xml:space="preserve">    "id": "06aa1c70-0716-406e-bb7d-0b0e80ecbaf1",</w:t>
        <w:br/>
        <w:t xml:space="preserve">    "status": "APPROVED",</w:t>
        <w:br/>
        <w:t xml:space="preserve">    "version": 3</w:t>
        <w:br/>
        <w:t xml:space="preserve">  },</w:t>
        <w:br/>
        <w:t xml:space="preserve">  {</w:t>
        <w:br/>
        <w:t xml:space="preserve">    "id": "f22f29c7-fcb3-4cb0-ae7c-1fc3b98d2660",</w:t>
        <w:br/>
        <w:t xml:space="preserve">    "status": "APPROVED",</w:t>
        <w:br/>
        <w:t xml:space="preserve">    "version": 3</w:t>
        <w:br/>
        <w:t xml:space="preserve">  }</w:t>
        <w:br/>
        <w:t>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Immutable run 96b49c92-47da-4f57-b0ff-254aaf736981 | ed7f6a89e4d29546</w:t>
    </w:r>
    <w:r>
      <w:t xml:space="preserve">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AUDITOS UAE | Financial reporting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