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reporting package</w:t>
      </w:r>
    </w:p>
    <w:p>
      <w:r>
        <w:t>REVIEWED</w:t>
      </w:r>
    </w:p>
    <w:p>
      <w:r>
        <w:t>Entity | QA FICTIONAL workflow entity 1</w:t>
      </w:r>
    </w:p>
    <w:p>
      <w:r>
        <w:t>Period | 2026-01-01 to 2026-12-31</w:t>
      </w:r>
    </w:p>
    <w:p>
      <w:r>
        <w:t>Currency | AED</w:t>
      </w:r>
    </w:p>
    <w:p>
      <w:r>
        <w:t>Run ID | 322d567e-528d-4ae5-9fd5-922945e69504</w:t>
      </w:r>
    </w:p>
    <w:p>
      <w:r>
        <w:t>SHA-256 | 165206d8b350ca6230157254d48486c6ef40b4149c2032897db5edf458100d82</w:t>
      </w:r>
    </w:p>
    <w:p>
      <w:r>
        <w:t>Methodology | auditos-ifrs/1.0</w:t>
      </w:r>
    </w:p>
    <w:p>
      <w:r>
        <w:t>Prepared by (user ID) | 25bb296d-add9-5451-9cd4-a63a55794b6b</w:t>
      </w:r>
    </w:p>
    <w:p>
      <w:r>
        <w:t>Prepared UTC | 2026-10-18 07:13:50.455458+00:00</w:t>
      </w:r>
    </w:p>
    <w:p>
      <w:r>
        <w:t>Reviewed by (user IDs) | 1e06fd57-6f0d-512d-9c47-0c8e95a80893, 74738c29-d627-5b40-856f-84c73b5e0ac5</w:t>
      </w:r>
    </w:p>
    <w:p>
      <w:r>
        <w:t>Scope | Mapped full-IFRS general corporate statements; human classification, elections, disclosures and professional review required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ASSETS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Cash</w:t>
            </w:r>
          </w:p>
        </w:tc>
        <w:tc>
          <w:tcPr>
            <w:tcW w:type="dxa" w:w="2160"/>
          </w:tcPr>
          <w:p>
            <w:r>
              <w:t>130.00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N1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EQUITY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Capital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N1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INCOME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N1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EXPENSES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Expense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N1</w:t>
            </w:r>
          </w:p>
        </w:tc>
      </w:tr>
    </w:tbl>
    <w:p>
      <w:pPr>
        <w:pStyle w:val="Heading1"/>
      </w:pPr>
      <w:r>
        <w:t>TOTALS</w:t>
      </w:r>
    </w:p>
    <w:p>
      <w:r>
        <w:t>oci | 0</w:t>
      </w:r>
    </w:p>
    <w:p>
      <w:r>
        <w:t>cash | 130.00000000</w:t>
      </w:r>
    </w:p>
    <w:p>
      <w:r>
        <w:t>assets | 130.00000000</w:t>
      </w:r>
    </w:p>
    <w:p>
      <w:r>
        <w:t>equity | 130.00000000</w:t>
      </w:r>
    </w:p>
    <w:p>
      <w:r>
        <w:t>profit | 30.00000000</w:t>
      </w:r>
    </w:p>
    <w:p>
      <w:r>
        <w:t>liabilities | 0</w:t>
      </w:r>
    </w:p>
    <w:p>
      <w:r>
        <w:t>total_comprehensive_income | 30.00000000</w:t>
      </w:r>
    </w:p>
    <w:p>
      <w:pPr>
        <w:pStyle w:val="Heading1"/>
      </w:pPr>
      <w:r>
        <w:t>CHANGES IN EQUITY</w:t>
      </w:r>
    </w:p>
    <w:p>
      <w:r>
        <w:t>oci | 0</w:t>
      </w:r>
    </w:p>
    <w:p>
      <w:r>
        <w:t>profit | 30.00000000</w:t>
      </w:r>
    </w:p>
    <w:p>
      <w:r>
        <w:t>closing | 130.00000000</w:t>
      </w:r>
    </w:p>
    <w:p>
      <w:r>
        <w:t>opening | 100.00000000</w:t>
      </w:r>
    </w:p>
    <w:p>
      <w:r>
        <w:t>direct_equity_movements | 0.00000000</w:t>
      </w:r>
    </w:p>
    <w:p>
      <w:pPr>
        <w:pStyle w:val="Heading1"/>
      </w:pPr>
      <w:r>
        <w:t>CASH FLOW</w:t>
      </w:r>
    </w:p>
    <w:p>
      <w:r>
        <w:t>method | indirect</w:t>
      </w:r>
    </w:p>
    <w:p>
      <w:r>
        <w:t>policy | Synthetic interest policy</w:t>
      </w:r>
    </w:p>
    <w:p>
      <w:r>
        <w:t>profit | 30.00000000</w:t>
      </w:r>
    </w:p>
    <w:p>
      <w:r>
        <w:t>closing | 130.00000000</w:t>
      </w:r>
    </w:p>
    <w:p>
      <w:r>
        <w:t>opening | 100.00000000</w:t>
      </w:r>
    </w:p>
    <w:p>
      <w:r>
        <w:t>financing | 0</w:t>
      </w:r>
    </w:p>
    <w:p>
      <w:r>
        <w:t>investing | 0</w:t>
      </w:r>
    </w:p>
    <w:p>
      <w:r>
        <w:t>operating | 30.00000000</w:t>
      </w:r>
    </w:p>
    <w:p>
      <w:r>
        <w:t>difference | 0.00000000</w:t>
      </w:r>
    </w:p>
    <w:p>
      <w:r>
        <w:t>source_cash | 130.00000000</w:t>
      </w:r>
    </w:p>
    <w:p>
      <w:r>
        <w:t>exchange_effect | 0</w:t>
      </w:r>
    </w:p>
    <w:p>
      <w:r>
        <w:t>working_capital | 0</w:t>
      </w:r>
    </w:p>
    <w:p>
      <w:r>
        <w:t>noncash_adjustments | 0</w:t>
      </w:r>
    </w:p>
    <w:p>
      <w:pPr>
        <w:pStyle w:val="Heading1"/>
      </w:pPr>
      <w:r>
        <w:t>VALIDATION</w:t>
      </w:r>
    </w:p>
    <w:p>
      <w:r>
        <w:t>ready | True</w:t>
      </w:r>
    </w:p>
    <w:p>
      <w:r>
        <w:t>checks | [{"code": "source_trial_balance", "passed": true}, {"code": "accounting_equation", "passed": true, "difference": "0.00000000"}, {"code": "adjusted_trial_balance", "passed": true}, {"code": "cash_flow_reconciliation", "passed": true}, {"code": "notes_reconciled", "passed": true, "missing": []}, {"code": "disclosures_assessed", "passed": true, "missing": []}, {"code": "single_cash_flow_policy", "passed": true}, {"code": "comparative_opening_consistency", "passed": true}, {"code": "comparative_source", "passed": true}]</w:t>
      </w:r>
    </w:p>
    <w:p>
      <w:r>
        <w:t>ifrs_compliance_certified | False</w:t>
      </w:r>
    </w:p>
    <w:p>
      <w:r>
        <w:t>Note N1 | Synthetic disclosure for testing only. Basis and judgments independently reviewed.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Note line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Comparative</w:t>
            </w:r>
          </w:p>
        </w:tc>
        <w:tc>
          <w:tcPr>
            <w:tcW w:type="dxa" w:w="2160"/>
          </w:tcPr>
          <w:p>
            <w:r>
              <w:t>Basis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130.00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Source signs</w:t>
            </w:r>
          </w:p>
        </w:tc>
      </w:tr>
      <w:tr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-100.00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Source signs</w:t>
            </w:r>
          </w:p>
        </w:tc>
      </w:tr>
      <w:tr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-50.00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Source signs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Not supplied</w:t>
            </w:r>
          </w:p>
        </w:tc>
        <w:tc>
          <w:tcPr>
            <w:tcW w:type="dxa" w:w="2160"/>
          </w:tcPr>
          <w:p>
            <w:r>
              <w:t>Source signs</w:t>
            </w:r>
          </w:p>
        </w:tc>
      </w:tr>
    </w:tbl>
    <w:p>
      <w:r>
        <w:t>Professional review | No IFRS compliance certification is made by this software.</w:t>
      </w:r>
    </w:p>
    <w:p>
      <w:pPr>
        <w:pStyle w:val="Heading1"/>
      </w:pPr>
      <w:r>
        <w:t>Source lineage</w:t>
      </w:r>
    </w:p>
    <w:p>
      <w:r>
        <w:t>[</w:t>
        <w:br/>
        <w:t xml:space="preserve">  {</w:t>
        <w:br/>
        <w:t xml:space="preserve">    "id": "85770be5-ed0c-4d14-a695-e4259d968792",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"f4a226cf-ef69-483e-9970-6c91d2d22f6a",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"1ae3821e-4737-4f76-9c7e-2fd1c48bc35f",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"793e2f1b-0770-4e79-b1d5-e15c1092f135",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"e39204ce-7fba-43d3-b75d-162d943b4e93",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"d4b0e95e-1b89-40b4-af9a-2a5f1d985ffb",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"2d218eff-6bea-418a-8ba4-c2f89c1de16f",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"88e63930-4420-4057-9b9c-605f003ba2e8",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"6f1d1a5f-c4cc-4871-8ebb-fad46df9e103",</w:t>
        <w:br/>
        <w:t xml:space="preserve">    "status": "APPROVED",</w:t>
        <w:br/>
        <w:t xml:space="preserve">    "version": 3</w:t>
        <w:br/>
        <w:t xml:space="preserve">  },</w:t>
        <w:br/>
        <w:t xml:space="preserve">  {</w:t>
        <w:br/>
        <w:t xml:space="preserve">    "id": "dd7e3ef2-85f1-4cfa-b3bc-14f559c7e32f",</w:t>
        <w:br/>
        <w:t xml:space="preserve">    "status": "APPROVED",</w:t>
        <w:br/>
        <w:t xml:space="preserve">    "version": 3</w:t>
        <w:br/>
        <w:t xml:space="preserve">  }</w:t>
        <w:br/>
        <w:t>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Immutable run 322d567e-528d-4ae5-9fd5-922945e69504 | 165206d8b350ca62</w:t>
    </w:r>
    <w:r>
      <w:t xml:space="preserve">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AUDITOS UAE | Financial reporting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