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4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Á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cido-Base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Los estudiantes determinen que es un ácido y una base desde las teorías de Arrenius y Bronsted, además, utilizan indicadores ácido-base para la determinación experimental de estas propiedades, por último, identifican estas reacciones en medio acuoso y sustancias buffer. 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Analizan y argumentan sobre problemáticas relacionadas con ácidos y bases: lluvia ácida, ácidos estomacales y pH de la sangre, reforzando el concepto de la dieta y una vida saludable en el balance ácido base del cuerpo humano.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Concepto de ácido y base. Escala de pH y concepto de pH.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Interpretan datos sobre efecto de las reacciones ácido base.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reacciones químicas de la atmósfera.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evalúa el impacto del CO2 en 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Ejemplifican estas reacciones en el organismo humano.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Establecen relaciones entre la actividad industrial y reacciones ácido-base.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Utilizan un solución de repollo morado y registran en tablas los cambios que se ocasionan en las soluciones al agregar bases o ácidos.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Luego de explicar la relación cercana entre agua-ácidos y bases, se dialoga sobre la importancia del consumo del agua en el cuerpo y los efectos del balance de ácido en el cuerpo humano deshidratado.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Repollo morado.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MiniPimmer o Jugera.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Ácidos y bases naturales.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tablas y gráficos.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Formulan explicaciones sobre teorías ácido-base y su determinación matemática.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Teorías ácido-base de Arrenius,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La escala de pH y su relación con la constante del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Constantes de acidez y basicidad.</w:t>
            </w:r>
          </w:p>
        </w:tc>
        <w:tc>
          <w:tcPr>
            <w:tcW w:w="34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Clasifican ácidos y bases según la teoría de Arrhenius,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Determinan pH usando escalas de medición.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Interpretan escalas de pH y pOH.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 xml:space="preserve">Determinan el grado de acidez - basicidad a partir de sus constantes. 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Clasifican reactivos químicos en ácidos y bases de Arrenius, Bronsted y Lewis.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Elaboran tablas de clasificación.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Identifican bases y ácidos al analizar rx químicas.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Con papel pH identifican acidez y basicidad de distintos compuestos naturales (jugo de limón, agua, detergente).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Determinan si el agua es ácida o básica.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Calculan constante del agua.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Calculan pOH de las soluciones naturales determinadas por papel pH.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Papel pH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Ácidos y Bases naturales (jugo de limon, detergente, agua, etc)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de comparación.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conclusiones grupales.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Interpretan los fenómenos de la hidrólisis, neutralización y soluciones buffer.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Hidrólisis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Neutralización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Buffers y sus aplicaciones.</w:t>
            </w:r>
          </w:p>
        </w:tc>
        <w:tc>
          <w:tcPr>
            <w:tcW w:w="34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Caracterizan los ácidos y bases en fuertes y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Calculan el pH de soluciones de ácidos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Discuten las propiedades de soluciones salinas.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</w:t>
            </w:r>
            <w:r>
              <w:rPr/>
              <w:t>Describen como funcionan las soluciones buffer.</w:t>
            </w:r>
          </w:p>
        </w:tc>
        <w:tc>
          <w:tcPr>
            <w:tcW w:w="31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En una tabla de reacciones pueden identificar ácidos – bases fuertes y débiles.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Revisan tablas con bases y sus constantes, los ordenan según su fuerza y sacan conclusiones.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Calculan el porcentaje de ionización de distintos ácidos mediante su concentración acuosa y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Calculan pH y pOH a partir ácidos y bases y sus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Examinan con papel pH soluciones salinas y determinan porqué tienen distinto pH y su relación con la hidrólisis.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Explican la hidrólisis utilizando un modelo de plasticina.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 xml:space="preserve">Investigan que es un buffer y lo preparan. Comparan el pH de distintas soluciones en buffer o agua destilada. 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Papel pH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Plasticina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Palos de fosforo o de maquetas.</w:t>
            </w:r>
          </w:p>
        </w:tc>
        <w:tc>
          <w:tcPr>
            <w:tcW w:w="22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comparativas y ejercicios en cuaderno.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modelos 3D.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del experimento buffer.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>
        <w:rFonts w:ascii="Arial Narrow" w:hAnsi="Arial Narrow"/>
        <w:b/>
        <w:b/>
        <w:sz w:val="16"/>
        <w:szCs w:val="16"/>
      </w:rPr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2015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LibreOffice/5.0.3.2$Linux_x86 LibreOffice_project/00m0$Build-2</Application>
  <Paragraphs>72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2016-03-02T10:31:50Z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