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rFonts w:ascii="Bookman Old Style" w:hAnsi="Bookman Old Style" w:cs="Arial"/>
          <w:b/>
          <w:b/>
          <w:caps/>
          <w:sz w:val="20"/>
          <w:szCs w:val="20"/>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u w:val="single"/>
        </w:rPr>
      </w:pPr>
      <w:r>
        <w:rPr>
          <w:rFonts w:cs="Arial" w:ascii="Bookman Old Style" w:hAnsi="Bookman Old Style"/>
          <w:b/>
          <w:sz w:val="22"/>
          <w:szCs w:val="22"/>
          <w:u w:val="single"/>
        </w:rPr>
      </w:r>
    </w:p>
    <w:tbl>
      <w:tblPr>
        <w:tblW w:w="17990"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Química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2</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w:t>
            </w:r>
            <w:r>
              <w:rPr>
                <w:rFonts w:cs="Arial" w:ascii="Bookman Old Style" w:hAnsi="Bookman Old Style"/>
                <w:b w:val="false"/>
                <w:bCs w:val="false"/>
                <w:sz w:val="22"/>
                <w:szCs w:val="22"/>
              </w:rPr>
              <w:t>Popiedades generales de las soluciones.</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Los alumnos estudian las soluciones químicas y sus características generales, para luego analizarlas cualitativamente en cuanto a su concentración y cálculos estequiométricos.</w:t>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Look w:val="01e0" w:noVBand="0" w:noHBand="0" w:lastColumn="1" w:firstColumn="1" w:lastRow="1" w:firstRow="1"/>
      </w:tblPr>
      <w:tblGrid>
        <w:gridCol w:w="4218"/>
        <w:gridCol w:w="2977"/>
        <w:gridCol w:w="3403"/>
        <w:gridCol w:w="3117"/>
        <w:gridCol w:w="2127"/>
        <w:gridCol w:w="2209"/>
      </w:tblGrid>
      <w:tr>
        <w:trPr>
          <w:trHeight w:val="905" w:hRule="exact"/>
          <w:cantSplit w:val="true"/>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center"/>
              <w:rPr/>
            </w:pPr>
            <w:r>
              <w:rPr>
                <w:rFonts w:cs="Arial" w:ascii="Bookman Old Style" w:hAnsi="Bookman Old Style"/>
                <w:b/>
                <w:bCs/>
                <w:sz w:val="22"/>
                <w:szCs w:val="22"/>
              </w:rPr>
              <w:t>Aprendizaje esperado</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center"/>
              <w:rPr/>
            </w:pPr>
            <w:r>
              <w:rPr>
                <w:rFonts w:cs="Arial" w:ascii="Bookman Old Style" w:hAnsi="Bookman Old Style"/>
                <w:b/>
                <w:bCs/>
                <w:sz w:val="22"/>
                <w:szCs w:val="22"/>
              </w:rPr>
              <w:t>Contenidos</w:t>
            </w:r>
          </w:p>
        </w:tc>
        <w:tc>
          <w:tcPr>
            <w:tcW w:w="3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center"/>
              <w:rPr/>
            </w:pPr>
            <w:r>
              <w:rPr>
                <w:rFonts w:cs="Arial" w:ascii="Bookman Old Style" w:hAnsi="Bookman Old Style"/>
                <w:b/>
                <w:bCs/>
                <w:sz w:val="22"/>
                <w:szCs w:val="22"/>
              </w:rPr>
              <w:t>Indicadores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center"/>
              <w:rPr/>
            </w:pPr>
            <w:r>
              <w:rPr>
                <w:rFonts w:cs="Arial" w:ascii="Bookman Old Style" w:hAnsi="Bookman Old Style"/>
                <w:b/>
                <w:bCs/>
                <w:sz w:val="22"/>
                <w:szCs w:val="22"/>
              </w:rPr>
              <w:t>Recursos</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Fonts w:cs="Arial" w:ascii="Bookman Old Style" w:hAnsi="Bookman Old Style"/>
                <w:bCs/>
                <w:sz w:val="22"/>
                <w:szCs w:val="22"/>
              </w:rPr>
              <w:t>Explicar el concepto de solución y su formación, distinguiendo solutos y solventes</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Características de las soluciones, según sus propiedades generales: estado físico, solubilidad, concentración, conductividad eléctrica.</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Concentración de las soluciones, unidades de concentración de las soluciones.</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Preparación de soluciones a concentraciones</w:t>
            </w:r>
          </w:p>
          <w:p>
            <w:pPr>
              <w:pStyle w:val="Normal"/>
              <w:tabs>
                <w:tab w:val="left" w:pos="252" w:leader="none"/>
              </w:tabs>
              <w:jc w:val="both"/>
              <w:rPr/>
            </w:pPr>
            <w:r>
              <w:rPr>
                <w:rFonts w:cs="Arial" w:ascii="Bookman Old Style" w:hAnsi="Bookman Old Style"/>
                <w:bCs/>
                <w:sz w:val="22"/>
                <w:szCs w:val="22"/>
              </w:rPr>
              <w:t>definidas.</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Estequiometría de reacciones químicas en solución.</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Aplicaciones tecnológicas de las soluciones</w:t>
            </w:r>
          </w:p>
          <w:p>
            <w:pPr>
              <w:pStyle w:val="Normal"/>
              <w:tabs>
                <w:tab w:val="left" w:pos="252" w:leader="none"/>
              </w:tabs>
              <w:jc w:val="both"/>
              <w:rPr/>
            </w:pPr>
            <w:r>
              <w:rPr>
                <w:rFonts w:cs="Arial" w:ascii="Bookman Old Style" w:hAnsi="Bookman Old Style"/>
                <w:bCs/>
                <w:sz w:val="22"/>
                <w:szCs w:val="22"/>
              </w:rPr>
              <w:t>químicas.</w:t>
            </w:r>
          </w:p>
        </w:tc>
        <w:tc>
          <w:tcPr>
            <w:tcW w:w="3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 xml:space="preserve">› </w:t>
            </w:r>
            <w:r>
              <w:rPr>
                <w:rFonts w:cs="Arial" w:ascii="Bookman Old Style" w:hAnsi="Bookman Old Style"/>
                <w:bCs/>
                <w:sz w:val="22"/>
                <w:szCs w:val="22"/>
              </w:rPr>
              <w:tab/>
              <w:t xml:space="preserve"> Definen los conceptos de solución y disolución.</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w:t>
            </w:r>
            <w:r>
              <w:rPr>
                <w:rFonts w:cs="Arial" w:ascii="Bookman Old Style" w:hAnsi="Bookman Old Style"/>
                <w:bCs/>
                <w:sz w:val="22"/>
                <w:szCs w:val="22"/>
              </w:rPr>
              <w:tab/>
              <w:t xml:space="preserve"> Mencionan diversos ejemplos de soluciones que se encuentran en</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el entorno.</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w:t>
            </w:r>
            <w:r>
              <w:rPr>
                <w:rFonts w:cs="Arial" w:ascii="Bookman Old Style" w:hAnsi="Bookman Old Style"/>
                <w:bCs/>
                <w:sz w:val="22"/>
                <w:szCs w:val="22"/>
              </w:rPr>
              <w:tab/>
              <w:t xml:space="preserve"> Explican diferencias entre solución y sustancia pura.</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w:t>
            </w:r>
            <w:r>
              <w:rPr>
                <w:rFonts w:cs="Arial" w:ascii="Bookman Old Style" w:hAnsi="Bookman Old Style"/>
                <w:bCs/>
                <w:sz w:val="22"/>
                <w:szCs w:val="22"/>
              </w:rPr>
              <w:tab/>
              <w:t xml:space="preserve"> Señalan cuál es el soluto y cuál el solvente en determinadas soluciones,</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describiendo sus características.</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w:t>
            </w:r>
            <w:r>
              <w:rPr>
                <w:rFonts w:cs="Arial" w:ascii="Bookman Old Style" w:hAnsi="Bookman Old Style"/>
                <w:bCs/>
                <w:sz w:val="22"/>
                <w:szCs w:val="22"/>
              </w:rPr>
              <w:tab/>
              <w:t xml:space="preserve"> Preparan distintas disoluciones con diversos solutos y solventes, caracteri-</w:t>
            </w:r>
          </w:p>
          <w:p>
            <w:pPr>
              <w:pStyle w:val="Normal"/>
              <w:tabs>
                <w:tab w:val="left" w:pos="252" w:leader="none"/>
              </w:tabs>
              <w:jc w:val="both"/>
              <w:rPr>
                <w:rFonts w:ascii="Bookman Old Style" w:hAnsi="Bookman Old Style" w:cs="Arial"/>
                <w:bCs/>
                <w:sz w:val="22"/>
                <w:szCs w:val="22"/>
              </w:rPr>
            </w:pPr>
            <w:r>
              <w:rPr>
                <w:rFonts w:cs="Arial" w:ascii="Bookman Old Style" w:hAnsi="Bookman Old Style"/>
                <w:bCs/>
                <w:sz w:val="22"/>
                <w:szCs w:val="22"/>
              </w:rPr>
              <w:t>zando cada uno de ellos.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Fonts w:cs="Arial" w:ascii="Bookman Old Style" w:hAnsi="Bookman Old Style"/>
                <w:bCs/>
                <w:sz w:val="22"/>
                <w:szCs w:val="22"/>
              </w:rPr>
              <w:t>* Mezclan diferentes sustancias (por ejemplo, sal y agua, azúcar y agua, arena y agua, aceite y agua) y agitan en cada caso, intensamente. Observan y describen cada mezcla e indican diferencias y semejanzas que puedan percibir. El docente propone a los estudiantes que clasifiquen estas mezclas, de acuerdo a criterios que ellos determinan. Los guía para que, en estas mezclas, reconozcan soluto, solvente, mezclas homogéneas y heterogéneas y distingan una sustancia pura respecto de una mezcla.</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Construyen una tabla e indican variados ejemplos de soluciones, detallando en cada uno el soluto y el solvente que las constituye.</w:t>
            </w:r>
          </w:p>
          <w:p>
            <w:pPr>
              <w:pStyle w:val="Normal"/>
              <w:jc w:val="both"/>
              <w:rPr/>
            </w:pPr>
            <w:r>
              <w:rPr>
                <w:rFonts w:cs="Arial" w:ascii="Bookman Old Style" w:hAnsi="Bookman Old Style"/>
                <w:bCs/>
                <w:sz w:val="22"/>
                <w:szCs w:val="22"/>
              </w:rPr>
              <w:t>* Indagan sobre los conceptos de solución y disolución en diferentes fuentes y los contrastan con el de sustancia pura, establecen las diferencias entre ellas y las expresan en un escrito científico.</w:t>
            </w:r>
          </w:p>
          <w:p>
            <w:pPr>
              <w:pStyle w:val="Normal"/>
              <w:jc w:val="both"/>
              <w:rPr/>
            </w:pPr>
            <w:r>
              <w:rPr>
                <w:rFonts w:cs="Arial" w:ascii="Bookman Old Style" w:hAnsi="Bookman Old Style"/>
                <w:bCs/>
                <w:sz w:val="22"/>
                <w:szCs w:val="22"/>
              </w:rPr>
              <w:t>* Elaboran un mapa conceptual que contenga las siguientes proposiciones:</w:t>
            </w:r>
          </w:p>
          <w:p>
            <w:pPr>
              <w:pStyle w:val="Normal"/>
              <w:jc w:val="both"/>
              <w:rPr/>
            </w:pPr>
            <w:r>
              <w:rPr>
                <w:rFonts w:cs="Arial" w:ascii="Bookman Old Style" w:hAnsi="Bookman Old Style"/>
                <w:bCs/>
                <w:sz w:val="22"/>
                <w:szCs w:val="22"/>
              </w:rPr>
              <w:t>materia, sustancia pura, mezcla, mezcla homogénea, solución, disolución, solvente, soluto, soluto volátil y soluto no volátil; incluyen algunas características de las soluciones y ejemplos de ellas en el entorno.</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Fonts w:cs="Arial" w:ascii="Bookman Old Style" w:hAnsi="Bookman Old Style"/>
                <w:bCs/>
                <w:sz w:val="22"/>
                <w:szCs w:val="22"/>
              </w:rPr>
              <w:t>* Sal</w:t>
            </w:r>
          </w:p>
          <w:p>
            <w:pPr>
              <w:pStyle w:val="Normal"/>
              <w:jc w:val="both"/>
              <w:rPr/>
            </w:pPr>
            <w:r>
              <w:rPr>
                <w:rFonts w:cs="Arial" w:ascii="Bookman Old Style" w:hAnsi="Bookman Old Style"/>
                <w:bCs/>
                <w:sz w:val="22"/>
                <w:szCs w:val="22"/>
              </w:rPr>
              <w:t>* Agua</w:t>
            </w:r>
          </w:p>
          <w:p>
            <w:pPr>
              <w:pStyle w:val="Normal"/>
              <w:jc w:val="both"/>
              <w:rPr/>
            </w:pPr>
            <w:r>
              <w:rPr>
                <w:rFonts w:cs="Arial" w:ascii="Bookman Old Style" w:hAnsi="Bookman Old Style"/>
                <w:bCs/>
                <w:sz w:val="22"/>
                <w:szCs w:val="22"/>
              </w:rPr>
              <w:t>* Azulcar</w:t>
            </w:r>
          </w:p>
          <w:p>
            <w:pPr>
              <w:pStyle w:val="Normal"/>
              <w:jc w:val="both"/>
              <w:rPr/>
            </w:pPr>
            <w:r>
              <w:rPr>
                <w:rFonts w:cs="Arial" w:ascii="Bookman Old Style" w:hAnsi="Bookman Old Style"/>
                <w:bCs/>
                <w:sz w:val="22"/>
                <w:szCs w:val="22"/>
              </w:rPr>
              <w:t>* Aceite</w:t>
            </w:r>
          </w:p>
          <w:p>
            <w:pPr>
              <w:pStyle w:val="Normal"/>
              <w:jc w:val="both"/>
              <w:rPr/>
            </w:pPr>
            <w:r>
              <w:rPr>
                <w:rFonts w:cs="Arial" w:ascii="Bookman Old Style" w:hAnsi="Bookman Old Style"/>
                <w:bCs/>
                <w:sz w:val="22"/>
                <w:szCs w:val="22"/>
              </w:rPr>
              <w:t>* Harina</w:t>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Fonts w:cs="Arial" w:ascii="Bookman Old Style" w:hAnsi="Bookman Old Style"/>
                <w:bCs/>
                <w:sz w:val="22"/>
                <w:szCs w:val="22"/>
              </w:rPr>
              <w:t>Revisión de tablas y gráficos,</w:t>
            </w:r>
          </w:p>
          <w:p>
            <w:pPr>
              <w:pStyle w:val="Normal"/>
              <w:jc w:val="both"/>
              <w:rPr/>
            </w:pPr>
            <w:r>
              <w:rPr>
                <w:rFonts w:cs="Arial" w:ascii="Bookman Old Style" w:hAnsi="Bookman Old Style"/>
                <w:bCs/>
                <w:sz w:val="22"/>
                <w:szCs w:val="22"/>
              </w:rPr>
              <w:t>Revisión de documentos redactados en cuaderno.-</w:t>
            </w:r>
          </w:p>
          <w:p>
            <w:pPr>
              <w:pStyle w:val="Normal"/>
              <w:jc w:val="both"/>
              <w:rPr/>
            </w:pPr>
            <w:r>
              <w:rPr>
                <w:rFonts w:cs="Arial" w:ascii="Bookman Old Style" w:hAnsi="Bookman Old Style"/>
                <w:bCs/>
                <w:sz w:val="22"/>
                <w:szCs w:val="22"/>
              </w:rPr>
              <w:t>Revisión de ejercicios de cálculos matemáticos en cuaderno.</w:t>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Caracterizar diversas soluciones presentes en el entorno, según sus propiedades generales:</w:t>
            </w:r>
          </w:p>
          <w:p>
            <w:pPr>
              <w:pStyle w:val="Normal"/>
              <w:jc w:val="both"/>
              <w:rPr/>
            </w:pPr>
            <w:r>
              <w:rPr/>
              <w:t>* Estado físico</w:t>
            </w:r>
          </w:p>
          <w:p>
            <w:pPr>
              <w:pStyle w:val="Normal"/>
              <w:jc w:val="both"/>
              <w:rPr/>
            </w:pPr>
            <w:r>
              <w:rPr/>
              <w:t>* Solubilidad</w:t>
            </w:r>
          </w:p>
          <w:p>
            <w:pPr>
              <w:pStyle w:val="Normal"/>
              <w:jc w:val="both"/>
              <w:rPr/>
            </w:pPr>
            <w:r>
              <w:rPr/>
              <w:t>* Concentración</w:t>
            </w:r>
          </w:p>
          <w:p>
            <w:pPr>
              <w:pStyle w:val="Normal"/>
              <w:jc w:val="both"/>
              <w:rPr/>
            </w:pPr>
            <w:r>
              <w:rPr/>
              <w:t>* Conductividad eléctrica.</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r>
          </w:p>
        </w:tc>
        <w:tc>
          <w:tcPr>
            <w:tcW w:w="3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t xml:space="preserve">› </w:t>
            </w:r>
            <w:r>
              <w:rPr/>
              <w:tab/>
              <w:t xml:space="preserve"> Dan ejemplos de soluciones en los diferentes estados físicos.</w:t>
            </w:r>
          </w:p>
          <w:p>
            <w:pPr>
              <w:pStyle w:val="Normal"/>
              <w:tabs>
                <w:tab w:val="left" w:pos="252" w:leader="none"/>
              </w:tabs>
              <w:jc w:val="both"/>
              <w:rPr/>
            </w:pPr>
            <w:r>
              <w:rPr/>
              <w:t>›</w:t>
            </w:r>
            <w:r>
              <w:rPr/>
              <w:tab/>
              <w:t xml:space="preserve"> Definen el concepto de solubilidad argumentando con ejemplos.</w:t>
            </w:r>
          </w:p>
          <w:p>
            <w:pPr>
              <w:pStyle w:val="Normal"/>
              <w:tabs>
                <w:tab w:val="left" w:pos="252" w:leader="none"/>
              </w:tabs>
              <w:jc w:val="both"/>
              <w:rPr/>
            </w:pPr>
            <w:r>
              <w:rPr/>
              <w:t>›</w:t>
            </w:r>
            <w:r>
              <w:rPr/>
              <w:tab/>
              <w:t xml:space="preserve"> Clasifican en una tabla diversas soluciones según su grado de solubilidad</w:t>
            </w:r>
          </w:p>
          <w:p>
            <w:pPr>
              <w:pStyle w:val="Normal"/>
              <w:tabs>
                <w:tab w:val="left" w:pos="252" w:leader="none"/>
              </w:tabs>
              <w:jc w:val="both"/>
              <w:rPr/>
            </w:pPr>
            <w:r>
              <w:rPr/>
              <w:t>(insaturadas, saturadas y sobresaturadas).</w:t>
            </w:r>
          </w:p>
          <w:p>
            <w:pPr>
              <w:pStyle w:val="Normal"/>
              <w:tabs>
                <w:tab w:val="left" w:pos="252" w:leader="none"/>
              </w:tabs>
              <w:jc w:val="both"/>
              <w:rPr/>
            </w:pPr>
            <w:r>
              <w:rPr/>
              <w:t>›</w:t>
            </w:r>
            <w:r>
              <w:rPr/>
              <w:tab/>
              <w:t xml:space="preserve"> Verifican experimentalmente la influencia de la temperatura y la agitación</w:t>
            </w:r>
          </w:p>
          <w:p>
            <w:pPr>
              <w:pStyle w:val="Normal"/>
              <w:tabs>
                <w:tab w:val="left" w:pos="252" w:leader="none"/>
              </w:tabs>
              <w:jc w:val="both"/>
              <w:rPr/>
            </w:pPr>
            <w:r>
              <w:rPr/>
              <w:t>en la solubilidad.</w:t>
            </w:r>
          </w:p>
          <w:p>
            <w:pPr>
              <w:pStyle w:val="Normal"/>
              <w:tabs>
                <w:tab w:val="left" w:pos="252" w:leader="none"/>
              </w:tabs>
              <w:jc w:val="both"/>
              <w:rPr/>
            </w:pPr>
            <w:r>
              <w:rPr/>
              <w:t>›</w:t>
            </w:r>
            <w:r>
              <w:rPr/>
              <w:tab/>
              <w:t xml:space="preserve"> Describen cualitativamente el significado de “solución más o menos</w:t>
            </w:r>
          </w:p>
          <w:p>
            <w:pPr>
              <w:pStyle w:val="Normal"/>
              <w:tabs>
                <w:tab w:val="left" w:pos="252" w:leader="none"/>
              </w:tabs>
              <w:jc w:val="both"/>
              <w:rPr/>
            </w:pPr>
            <w:r>
              <w:rPr/>
              <w:t>concentrada”.</w:t>
            </w:r>
          </w:p>
          <w:p>
            <w:pPr>
              <w:pStyle w:val="Normal"/>
              <w:tabs>
                <w:tab w:val="left" w:pos="252" w:leader="none"/>
              </w:tabs>
              <w:jc w:val="both"/>
              <w:rPr/>
            </w:pPr>
            <w:r>
              <w:rPr/>
              <w:t>›</w:t>
            </w:r>
            <w:r>
              <w:rPr/>
              <w:tab/>
              <w:t xml:space="preserve"> Formulan conjeturas sobre la conductividad eléctrica de determinadas</w:t>
            </w:r>
          </w:p>
          <w:p>
            <w:pPr>
              <w:pStyle w:val="Normal"/>
              <w:tabs>
                <w:tab w:val="left" w:pos="252" w:leader="none"/>
              </w:tabs>
              <w:jc w:val="both"/>
              <w:rPr/>
            </w:pPr>
            <w:r>
              <w:rPr/>
              <w:t>soluciones, a partir de la naturaleza del soluto y del solvente.</w:t>
            </w:r>
          </w:p>
          <w:p>
            <w:pPr>
              <w:pStyle w:val="Normal"/>
              <w:tabs>
                <w:tab w:val="left" w:pos="252" w:leader="none"/>
              </w:tabs>
              <w:jc w:val="both"/>
              <w:rPr/>
            </w:pPr>
            <w:r>
              <w:rPr/>
              <w:t>›</w:t>
            </w:r>
            <w:r>
              <w:rPr/>
              <w:tab/>
              <w:t xml:space="preserve"> Explican los efectos en el medioambiente de la solubilidad de determinadas sustancias, por ejemplo, solubilidad de oxígeno en mares y lagos y su relación con la flora y fauna.</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 Diseñan un diagrama o tabla sobre diversas soluciones que se encuentren en el entorno y las clasifican en los estados físicos (sólido, líquido y gaseoso) en que se encuentren. Señalan el soluto y el solvente que las componen y el estado físico en que se encuentran antes de formar la solución.</w:t>
            </w:r>
          </w:p>
          <w:p>
            <w:pPr>
              <w:pStyle w:val="Normal"/>
              <w:jc w:val="both"/>
              <w:rPr/>
            </w:pPr>
            <w:r>
              <w:rPr/>
              <w:t>* Agregan un soluto (como sal de cocina (NaCl), azúcar, harina u otros) a diferentes solventes (como agua, aceite, vinagre, etc.) y observan si el soluto se disuelve sin intervención. Registran sus observaciones. Aplican agitación en cada caso y registran nuevamente sus observaciones. Describen el comportamiento del soluto en los diferentes solventes, de acuerdo a la solubilidad de este en cada solvente; plantean interrogantes (por ejemplo:</w:t>
            </w:r>
          </w:p>
          <w:p>
            <w:pPr>
              <w:pStyle w:val="Normal"/>
              <w:jc w:val="both"/>
              <w:rPr/>
            </w:pPr>
            <w:r>
              <w:rPr/>
              <w:t>¿cómo es la solubilidad del soluto en el solvente a medida que aumenta la cantidad de soluto?) y, a partir de esto, definen solubilidad, utilizando conceptos científicos propios del nivel.</w:t>
            </w:r>
          </w:p>
          <w:p>
            <w:pPr>
              <w:pStyle w:val="Normal"/>
              <w:jc w:val="both"/>
              <w:rPr/>
            </w:pPr>
            <w:r>
              <w:rPr/>
              <w:t>* Elaboran una tabla o diagrama para clasificar diversas soluciones, según su grado de solubilidad, en insaturadas, saturadas y sobresaturadas.</w:t>
            </w:r>
          </w:p>
          <w:p>
            <w:pPr>
              <w:pStyle w:val="Normal"/>
              <w:jc w:val="both"/>
              <w:rPr/>
            </w:pPr>
            <w:r>
              <w:rPr/>
              <w:t>* Exponen al curso los diferentes factores que alteran la solubilidad de las soluciones: temperatura, presión, agitación y estado de agregación. Apoyan con demostraciones experimentales simples y argumentos teóricos que las refuercen.</w:t>
            </w:r>
          </w:p>
          <w:p>
            <w:pPr>
              <w:pStyle w:val="Normal"/>
              <w:jc w:val="both"/>
              <w:rPr/>
            </w:pPr>
            <w:r>
              <w:rPr/>
              <w:t>* Discuten sobre la frase “solución más o menos concentrada”, a partir de la mezcla de jugo en polvo y agua en dos situaciones: con la mitad del “sobre” de jugo y con la totalidad del “sobre”. Registran sus observaciones, comparan la intensidad de color de la solución formada y argumentan. El docente plantea la pregunta: ¿qué determina que una solución pueda ser más o menos concentrada?</w:t>
            </w:r>
          </w:p>
          <w:p>
            <w:pPr>
              <w:pStyle w:val="Normal"/>
              <w:jc w:val="both"/>
              <w:rPr/>
            </w:pPr>
            <w:r>
              <w:rPr/>
              <w:t>* Averiguan y discuten qué ocurre con la solubilidad de los gases, como el oxígeno, al aumentar la temperatura de los mares, ríos o lagos, y su efecto sobre la flora y fauna en estos sistemas. (Biología)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Aplicar relaciones cuantitativas de los componentes de una solución expresada mediante unidades de concentración:</w:t>
            </w:r>
          </w:p>
          <w:p>
            <w:pPr>
              <w:pStyle w:val="Normal"/>
              <w:jc w:val="both"/>
              <w:rPr/>
            </w:pPr>
            <w:r>
              <w:rPr/>
              <w:t>* Unidades porcentuales:</w:t>
            </w:r>
          </w:p>
          <w:p>
            <w:pPr>
              <w:pStyle w:val="Normal"/>
              <w:jc w:val="both"/>
              <w:rPr/>
            </w:pPr>
            <w:r>
              <w:rPr/>
              <w:t>m/m, m/v, v/v</w:t>
            </w:r>
          </w:p>
          <w:p>
            <w:pPr>
              <w:pStyle w:val="Normal"/>
              <w:jc w:val="both"/>
              <w:rPr/>
            </w:pPr>
            <w:r>
              <w:rPr/>
              <w:t>* Concentración molar</w:t>
            </w:r>
          </w:p>
          <w:p>
            <w:pPr>
              <w:pStyle w:val="Normal"/>
              <w:jc w:val="both"/>
              <w:rPr/>
            </w:pPr>
            <w:r>
              <w:rPr/>
              <w:t>* Concentración molal</w:t>
            </w:r>
          </w:p>
          <w:p>
            <w:pPr>
              <w:pStyle w:val="Normal"/>
              <w:jc w:val="both"/>
              <w:rPr/>
            </w:pPr>
            <w:r>
              <w:rPr/>
              <w:t>*Fracción molar</w:t>
            </w:r>
          </w:p>
          <w:p>
            <w:pPr>
              <w:pStyle w:val="Normal"/>
              <w:jc w:val="both"/>
              <w:rPr/>
            </w:pPr>
            <w:r>
              <w:rPr/>
              <w:t>* Partes por millón</w:t>
            </w:r>
          </w:p>
          <w:p>
            <w:pPr>
              <w:pStyle w:val="Normal"/>
              <w:jc w:val="both"/>
              <w:rPr/>
            </w:pPr>
            <w:r>
              <w:rPr/>
              <w:t>* Dilución de soluciones.</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r>
          </w:p>
        </w:tc>
        <w:tc>
          <w:tcPr>
            <w:tcW w:w="3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t xml:space="preserve">› </w:t>
            </w:r>
            <w:r>
              <w:rPr/>
              <w:tab/>
              <w:t xml:space="preserve"> Explican el concepto de concentración de una solución.</w:t>
            </w:r>
          </w:p>
          <w:p>
            <w:pPr>
              <w:pStyle w:val="Normal"/>
              <w:tabs>
                <w:tab w:val="left" w:pos="252" w:leader="none"/>
              </w:tabs>
              <w:jc w:val="both"/>
              <w:rPr/>
            </w:pPr>
            <w:r>
              <w:rPr/>
              <w:t>›</w:t>
            </w:r>
            <w:r>
              <w:rPr/>
              <w:tab/>
              <w:t xml:space="preserve"> Fundamentan la utilidad de algunas unidades de concentración en determinados contextos de análisis, por ejemplo, partes por millón para indicar la concentración de esmog en el ambiente.</w:t>
            </w:r>
          </w:p>
          <w:p>
            <w:pPr>
              <w:pStyle w:val="Normal"/>
              <w:tabs>
                <w:tab w:val="left" w:pos="252" w:leader="none"/>
              </w:tabs>
              <w:jc w:val="both"/>
              <w:rPr/>
            </w:pPr>
            <w:r>
              <w:rPr/>
              <w:t>›</w:t>
            </w:r>
            <w:r>
              <w:rPr/>
              <w:tab/>
              <w:t xml:space="preserve"> Calculan concentraciones de diversas soluciones.</w:t>
            </w:r>
          </w:p>
          <w:p>
            <w:pPr>
              <w:pStyle w:val="Normal"/>
              <w:tabs>
                <w:tab w:val="left" w:pos="252" w:leader="none"/>
              </w:tabs>
              <w:jc w:val="both"/>
              <w:rPr/>
            </w:pPr>
            <w:r>
              <w:rPr/>
              <w:t>›</w:t>
            </w:r>
            <w:r>
              <w:rPr/>
              <w:tab/>
              <w:t xml:space="preserve"> Preparan soluciones químicas con distintas concentraciones.</w:t>
            </w:r>
          </w:p>
          <w:p>
            <w:pPr>
              <w:pStyle w:val="Normal"/>
              <w:tabs>
                <w:tab w:val="left" w:pos="252" w:leader="none"/>
              </w:tabs>
              <w:jc w:val="both"/>
              <w:rPr/>
            </w:pPr>
            <w:r>
              <w:rPr/>
              <w:t>›</w:t>
            </w:r>
            <w:r>
              <w:rPr/>
              <w:tab/>
              <w:t xml:space="preserve"> Aplican relaciones cuantitativas para diluir soluciones a partir de una concentración conocida.</w:t>
            </w:r>
          </w:p>
          <w:p>
            <w:pPr>
              <w:pStyle w:val="Normal"/>
              <w:tabs>
                <w:tab w:val="left" w:pos="252" w:leader="none"/>
              </w:tabs>
              <w:jc w:val="both"/>
              <w:rPr/>
            </w:pPr>
            <w:r>
              <w:rPr/>
              <w:t>›</w:t>
            </w:r>
            <w:r>
              <w:rPr/>
              <w:tab/>
              <w:t xml:space="preserve"> Describen las etapas y consideraciones requeridas para la preparación de soluciones a una concentración determinada</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 Preparan empíricamente soluciones de concentraciones conocidas y describen y registran, en un informe escrito, las etapas teóricas y procedimentales desarrolladas. Aplican la regla de dilución, para diluir la solución formada en una nueva concentración.</w:t>
            </w:r>
          </w:p>
          <w:p>
            <w:pPr>
              <w:pStyle w:val="Normal"/>
              <w:jc w:val="both"/>
              <w:rPr/>
            </w:pPr>
            <w:r>
              <w:rPr/>
              <w:t>* Calculan concentraciones de distintas soluciones y las representan en diversas unidades de concentración.</w:t>
            </w:r>
          </w:p>
          <w:p>
            <w:pPr>
              <w:pStyle w:val="Normal"/>
              <w:jc w:val="both"/>
              <w:rPr/>
            </w:pPr>
            <w:r>
              <w:rPr/>
              <w:t>* Analizan y reflexionan en torno a la cantidad de soluto que puede tene</w:t>
            </w:r>
            <w:r>
              <w:rPr/>
              <w:t xml:space="preserve">r </w:t>
            </w:r>
            <w:r>
              <w:rPr/>
              <w:t>una solución en diferentes concentraciones.</w:t>
            </w:r>
          </w:p>
          <w:p>
            <w:pPr>
              <w:pStyle w:val="Normal"/>
              <w:jc w:val="both"/>
              <w:rPr/>
            </w:pPr>
            <w:r>
              <w:rPr/>
              <w:t>* Escriben un ensayo o trabajo de investigación sobre la utilidad de las diferentes unidades de concentración en contextos diversos, discriminando unas respecto de otras, por ejemplo, la medición en partes por millón (ppm) de las partículas en suspensión en fenómenos de contaminación ambiental, como la contaminación en lagos y mares y la contaminación atmosférica. (Lenguaje y Comunicación)</w:t>
            </w:r>
          </w:p>
          <w:p>
            <w:pPr>
              <w:pStyle w:val="Normal"/>
              <w:jc w:val="both"/>
              <w:rPr/>
            </w:pPr>
            <w:r>
              <w:rPr/>
              <w:t>* Leen textos e indagan sobre el concepto de concentración de las soluciones en diferentes fuentes y construyen una definición con sus propias palabras, utilizando conceptos científicos. Explican las diferentes unidades para representar la concentración de las soluciones. (Lenguaje y Comunicación)</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r>
      <w:tr>
        <w:trPr>
          <w:trHeight w:val="960"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Explicar las relaciones estequiométricas de las reacciones químicas que ocurren en solución.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r>
          </w:p>
        </w:tc>
        <w:tc>
          <w:tcPr>
            <w:tcW w:w="3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t xml:space="preserve">› </w:t>
            </w:r>
            <w:r>
              <w:rPr/>
              <w:tab/>
              <w:t xml:space="preserve"> Formulan conjeturas sobre los productos que se formarán a partir de determinados reactivos presentados en soluciones.</w:t>
            </w:r>
          </w:p>
          <w:p>
            <w:pPr>
              <w:pStyle w:val="Normal"/>
              <w:tabs>
                <w:tab w:val="left" w:pos="252" w:leader="none"/>
              </w:tabs>
              <w:jc w:val="both"/>
              <w:rPr/>
            </w:pPr>
            <w:r>
              <w:rPr/>
              <w:t>›</w:t>
            </w:r>
            <w:r>
              <w:rPr/>
              <w:tab/>
              <w:t xml:space="preserve"> Resuelven diversos problemas estequiométricos de diferentes reacciones químicas en solución.</w:t>
            </w:r>
          </w:p>
          <w:p>
            <w:pPr>
              <w:pStyle w:val="Normal"/>
              <w:tabs>
                <w:tab w:val="left" w:pos="252" w:leader="none"/>
              </w:tabs>
              <w:jc w:val="both"/>
              <w:rPr/>
            </w:pPr>
            <w:r>
              <w:rPr/>
              <w:t>›</w:t>
            </w:r>
            <w:r>
              <w:rPr/>
              <w:tab/>
              <w:t xml:space="preserve"> Calculan la cantidad de sustancia y masa de las sustancias que intervienen en una reacción química, así como el volumen de las soluciones involucradas.</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 Calculan la cantidad de sustancia, la masa y/o el volumen de las diferentes sustancias que intervienen en una reacción química en solución; por ejemplo, si se hacen reaccionar 20g de zinc metálico con 3 litros de ácido clorhídrico (HCl), ¿cuántos gramos de hidrógeno gaseoso se formarán exactamente?, ¿qué tipo de productos quedarán después de terminar la reacción y en qué cantidad?</w:t>
            </w:r>
          </w:p>
          <w:p>
            <w:pPr>
              <w:pStyle w:val="Normal"/>
              <w:jc w:val="both"/>
              <w:rPr/>
            </w:pPr>
            <w:r>
              <w:rPr/>
              <w:t>* A partir de las siguientes reacciones en solución:</w:t>
            </w:r>
          </w:p>
          <w:p>
            <w:pPr>
              <w:pStyle w:val="Normal"/>
              <w:jc w:val="both"/>
              <w:rPr/>
            </w:pPr>
            <w:r>
              <w:rPr/>
              <w:t>HCl (ac) + NaOH (ac) NaCl (ac) + H2O (l)</w:t>
            </w:r>
          </w:p>
          <w:p>
            <w:pPr>
              <w:pStyle w:val="Normal"/>
              <w:jc w:val="both"/>
              <w:rPr/>
            </w:pPr>
            <w:r>
              <w:rPr/>
              <w:t>CaCl2 (ac) + Na2CO3 (ac) CaCO3 (s) + 2NaCl (ac)</w:t>
            </w:r>
          </w:p>
          <w:p>
            <w:pPr>
              <w:pStyle w:val="Normal"/>
              <w:jc w:val="both"/>
              <w:rPr/>
            </w:pPr>
            <w:r>
              <w:rPr/>
              <w:t>HCl (ac) + CaCO3 (ac) CO2 (g) + H2O (l) + CaCl2 (ac)</w:t>
            </w:r>
          </w:p>
          <w:p>
            <w:pPr>
              <w:pStyle w:val="Normal"/>
              <w:jc w:val="both"/>
              <w:rPr/>
            </w:pPr>
            <w:r>
              <w:rPr/>
              <w:t>escriben la ecuación iónica completa y la ecuación iónica neta de la reacción química en solución. Calculan la masa y la cantidad de sustancia de cada una de las especies involucradas en la reacción en solución. Determinan la concentración de ambas soluciones para un volumen de medio litro de solución. Discuten, a partir de la tercera ecuación química, sobre el efecto de ácidos (lluvia ácida) a nivel de la reacción química y las relaciones estequiométricas, sobre sustancias tales como el carbonato de calcio en algunas obras de arte o construcciones (mármol).</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r>
      <w:tr>
        <w:trPr>
          <w:trHeight w:val="2453" w:hRule="atLeast"/>
        </w:trPr>
        <w:tc>
          <w:tcPr>
            <w:tcW w:w="4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Explicar la importancia de la formación de las soluciones en diversas aplicaciones tecnológicas.</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r>
          </w:p>
        </w:tc>
        <w:tc>
          <w:tcPr>
            <w:tcW w:w="34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tabs>
                <w:tab w:val="left" w:pos="252" w:leader="none"/>
              </w:tabs>
              <w:jc w:val="both"/>
              <w:rPr/>
            </w:pPr>
            <w:r>
              <w:rPr/>
              <w:t xml:space="preserve">› </w:t>
            </w:r>
            <w:r>
              <w:rPr/>
              <w:tab/>
              <w:t xml:space="preserve"> Dan ejemplos de soluciones que se utilizan para satisfacer necesidades humanas, por ejemplo: suero fisiológico</w:t>
            </w:r>
          </w:p>
        </w:tc>
        <w:tc>
          <w:tcPr>
            <w:tcW w:w="3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t>* Preparan presentaciones a realizar en el aula, para explicar la utilidad de las soluciones en aplicaciones tecnológicas y de satisfacción de las necesidades humanas; por ejemplo: el suero fisiológico, la solución de ácido sulfúrico para baterías de automóviles, la solución de hidróxido de sodio para elaborar jabones, la solución de ácido oxálico para tratar manchas en vestimenta y los procesos de blanqueo.</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8" w:type="dxa"/>
            </w:tcMar>
          </w:tcPr>
          <w:p>
            <w:pPr>
              <w:pStyle w:val="Normal"/>
              <w:jc w:val="both"/>
              <w:rPr/>
            </w:pPr>
            <w:r>
              <w:rPr/>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9">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Application>LibreOffice/5.0.3.2$Linux_x86 LibreOffice_project/00m0$Build-2</Application>
  <Paragraphs>102</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2016-03-14T16:51:44Z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