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深圳市博商管理科学研究院股份有限公司 RAGFlow 平台远程代码执行漏洞 情况通报</w:t>
      </w:r>
    </w:p>
    <w:p>
      <w:pPr>
        <w:pStyle w:val="Heading1"/>
      </w:pPr>
      <w:r>
        <w:t>一、漏洞概述</w:t>
      </w:r>
    </w:p>
    <w:p>
      <w:r>
        <w:t>深圳市博商管理科学研究院股份有限公司对外提供的人工智能知识库平台（RAGFlow，https://47.107.71.225，公网可达，版本号 v0.18.0）存在远程代码执行漏洞。该平台所用开源 RAGFlow 软件（infiniflow/ragflow）在 v0.25.0 之前的版本中，Agent 画布的 Message 组件（v0.20+）与 Template 组件（v0.19 及更早）使用未启用沙箱的 jinja2 模板引擎渲染用户自定义消息内容，任何可登录用户（包括自助注册的普通访客）均可通过模板注入（SSTI）以服务进程身份（容器内 root）执行任意操作系统命令。该漏洞已由官方确认并修复，CVE 编号 CVE-2026-28797，官方修复版本 v0.25.0（commit 6fdca2d2，改用 jinja2.sandbox.SandboxedEnvironment）。目标单位部署版本低于修复版本，未打补丁。</w:t>
      </w:r>
    </w:p>
    <w:p>
      <w:pPr>
        <w:pStyle w:val="Heading1"/>
      </w:pPr>
      <w:r>
        <w:t>二、归属确认依据</w:t>
      </w:r>
    </w:p>
    <w:p>
      <w:r>
        <w:t>目标站点 TLS 证书为 *.bosum.com，博商学院官网（www.bosum.com）主办单位为深圳市博商管理科学研究院股份有限公司（新三板代码 836000），故确认该 IP 上运行系统归属上述单位。</w:t>
      </w:r>
    </w:p>
    <w:p>
      <w:pPr>
        <w:pStyle w:val="Heading1"/>
      </w:pPr>
      <w:r>
        <w:t>三、根因分析</w:t>
      </w:r>
    </w:p>
    <w:p>
      <w:r>
        <w:t>v0.24.0 agent/component/message.py 第 190 行：template = Jinja2Template(rand_cnt)，其中 rand_cnt 取自 Message 组件用户配置的 content 字段，随后 template.render(kwargs) 直接渲染，全链路无输入过滤、无模板沙箱；v0.18.0 agent/component/template.py 第 104 行同理。jinja2 模板可经对象继承链（cycler.__init__.__globals__.os）获得 os 模块并执行系统命令。CWE-94/CWE-1336。</w:t>
      </w:r>
    </w:p>
    <w:p>
      <w:pPr>
        <w:pStyle w:val="Heading1"/>
      </w:pPr>
      <w:r>
        <w:t>四、验证过程</w:t>
      </w:r>
    </w:p>
    <w:p>
      <w:r>
        <w:t>2026-10-05/06 实测：访问 https://47.107.71.225 的 /v1/system/config 确认开放自助注册（registerEnabled=1）；自助注册测试账号后创建 Agent 画布，在消息模板中依次插入探针并触发渲染：（1）result is {{7*7}} 回显 result is 49，确认模板注入；（2）SBX{{''.__class__}}SBX 回显 SBX&lt;class 'str'&gt;SBX，确认未启用沙箱；（3）{{ cycler.__init__.__globals__.os.popen('whoami').read() }} 回显 root，确认以 root 身份远程代码执行。验证后立即删除测试 Agent 并退出，全程仅执行 whoami 只读命令。</w:t>
      </w:r>
    </w:p>
    <w:p>
      <w:pPr>
        <w:pStyle w:val="Heading1"/>
      </w:pPr>
      <w:r>
        <w:t>五、影响范围与危害定级</w:t>
      </w:r>
    </w:p>
    <w:p>
      <w:r>
        <w:t>影响范围：该单位公网 RAGFlow 平台全部数据与内部网络。攻击者可读取知识库中的全部文档与对话数据、篡改或删除数据、以内网为跳板横向渗透。CVSS v3.1 评分 9.8（严重），向量 CVSS:3.1/AV:N/AC:L/PR:N/UI:N/S:C/C:H/I:H/A:H。同版本公网实例批量验证 12 个均成功，属通用型高危漏洞的事件型实例。</w:t>
      </w:r>
    </w:p>
    <w:p>
      <w:pPr>
        <w:pStyle w:val="Heading1"/>
      </w:pPr>
      <w:r>
        <w:t>六、复现步骤</w:t>
      </w:r>
    </w:p>
    <w:p>
      <w:r>
        <w:t>1. 访问 https://47.107.71.225 确认 RAGFlow 平台在线且 /v1/system/config 返回 registerEnabled=1；</w:t>
      </w:r>
    </w:p>
    <w:p>
      <w:r>
        <w:t>2. POST /v1/user/register 自助注册测试账号（密码用登录页内置 RSA 公钥加密）；</w:t>
      </w:r>
    </w:p>
    <w:p>
      <w:r>
        <w:t>3. 取响应头 Authorization 签名令牌；GET /v1/system/version 确认版本 ≤ v0.24.0；</w:t>
      </w:r>
    </w:p>
    <w:p>
      <w:r>
        <w:t>4. POST /v1/canvas/set 保存 Agent（Begin→Message 流，Message 的 content 填探针）；</w:t>
      </w:r>
    </w:p>
    <w:p>
      <w:r>
        <w:t>5. POST /v1/canvas/completion 触发渲染，观察 7*7 计算回显与 id 命令回显；</w:t>
      </w:r>
    </w:p>
    <w:p>
      <w:r>
        <w:t>6. POST /v1/canvas/rm 删除测试 Agent 清理现场。</w:t>
      </w:r>
    </w:p>
    <w:p>
      <w:pPr>
        <w:pStyle w:val="Heading1"/>
      </w:pPr>
      <w:r>
        <w:t>七、修复建议</w:t>
      </w:r>
    </w:p>
    <w:p>
      <w:r>
        <w:t>【临时缓解】1. 立即关闭公网自助注册（registerEnabled=false）；2. 网关限制 /v1/canvas/set、/v1/canvas/completion 仅允许可信来源；3. WAF 增加 {{、__globals__、popen( 等模板注入特征拦截。【根治修复】1. 升级 RAGFlow 至 v0.25.0 及以上；2. 无法升级时将组件渲染改为 jinja2.sandbox.SandboxedEnvironment；3. 排查平台知识库是否已被窃取或篡改。</w:t>
      </w:r>
    </w:p>
    <w:p>
      <w:pPr>
        <w:pStyle w:val="Heading1"/>
      </w:pPr>
      <w:r>
        <w:t>八、验证纪律声明</w:t>
      </w:r>
    </w:p>
    <w:p>
      <w:r>
        <w:t>本次验证由发现者本人执行：自助注册测试账号、仅执行 whoami 只读命令、验证后删除测试 Agent 并退出登录，未读取、下载或传播知识库业务数据，未执行任何修改、删除、批量操作。</w:t>
      </w:r>
    </w:p>
    <w:p>
      <w:pPr>
        <w:pStyle w:val="Heading1"/>
      </w:pPr>
      <w:r>
        <w:t>九、证据清单</w:t>
      </w:r>
    </w:p>
    <w:p>
      <w:r>
        <w:t>1. 复现录屏（注册→建 Agent→探针回显→whoami 回显→清理全步骤）；2. 验证请求/响应记录；3. 版本接口返回截图；4. TLS 证书归属佐证；5. 只读验证脚本（详见下节工具说明）。</w:t>
      </w:r>
    </w:p>
    <w:p>
      <w:pPr>
        <w:pStyle w:val="Heading1"/>
      </w:pPr>
      <w:r>
        <w:t>十、验证工具说明</w:t>
      </w:r>
    </w:p>
    <w:p>
      <w:r>
        <w:t>本次验证使用两个脚本，攻击链路完全相同（注册→建 Agent→SSTI 探针→whoami 只读验证→清理），仅交互方式不同：</w:t>
      </w:r>
    </w:p>
    <w:p>
      <w:r>
        <w:t>1. ragflow_attack.py（全自动验证版）：一条命令完成对目标的全部验证，自动注册测试账号、依次执行 {{7*7}} 探针、沙箱探测、whoami 只读命令，最后自动删除测试 Agent 并输出 JSON 验证结论；设置环境变量 USE_BURP=1 可全程经 Burp 代理逐包分析。用于快速批量验证与逐包复核。</w:t>
      </w:r>
    </w:p>
    <w:p>
      <w:r>
        <w:t>2. demo_record.py（录屏演示版）：与全自动版底层请求一致，但拆分为七个步骤，每步暂停等待人工确认后执行，并在终端逐步打印操作说明与回显结果，便于录制完整复现视频、供审核人员逐步核对。用于本次报送的复现录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