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广西工商职业技术学院 FastGPT 未授权访问漏洞 危害证明补充材料</w:t>
      </w:r>
    </w:p>
    <w:p>
      <w:r>
        <w:t>报送漏洞：FastGPT getHistories NoSQL 注入未授权读取聊天记录（CVE-2026-79483 同类）</w:t>
      </w:r>
    </w:p>
    <w:p>
      <w:r>
        <w:t>目标：https://ai.gxgsxy.edu.cn（广西工商职业技术学院）</w:t>
      </w:r>
    </w:p>
    <w:p>
      <w:r>
        <w:t>补充日期：2026-10-09    发现/验证人：indifference108</w:t>
      </w:r>
    </w:p>
    <w:p/>
    <w:p>
      <w:pPr>
        <w:pStyle w:val="Heading1"/>
      </w:pPr>
      <w:r>
        <w:t>补充说明</w:t>
      </w:r>
    </w:p>
    <w:p>
      <w:r>
        <w:t>【补充说明】</w:t>
      </w:r>
    </w:p>
    <w:p>
      <w:r>
        <w:t>经复测，该漏洞至今未修复，无需登录即可复现。向 ai.gxgsxy.edu.cn 的 /api/core/chat/getHistories 接口发送附带 MongoDB 查询操作符（$ne）的 JSON 请求体，服务端在无凭据情况下返回 total=373 条该校师生的 AI 助手聊天记录，涉及 5 个对外业务应用。</w:t>
      </w:r>
    </w:p>
    <w:p>
      <w:r>
        <w:t>这些记录的标题内容均为该校核心业务与学生个人信息，包括在校证明打印、请假、奖助学金（助学金/励志奖学金资格）、休学申请、宿舍报修分配、心理咨询（"中尧校区心理咨询处联系电话""我跟我家人关系不好，我该怎么办"）、舍友信息查询、校园网/喜鹊儿账号密码咨询等，其中多条属《个人信息保护法》项下敏感个人信息。利用返回的会话 ID（chatId）攻击者还可进一步读取任意对话全文，或向高频事务问答场景投毒操纵 AI 回答。同一系统版本低于 4.14.9.5，登录接口 NoSQL 注入（CVE-2026-40351）同样存在，叠加后可完全接管平台。</w:t>
      </w:r>
    </w:p>
    <w:p>
      <w:r>
        <w:t>需要说明的是：同一漏洞在政务场景（武汉市自然资源和城乡建设局，另案报送）已造成执法业务数据泄露并被受理，本案目标为高校、涉及在校生敏感个人信息且数据量级更大（373 条 vs 45 条），危害程度不属于较低情形，恳请重新评估。</w:t>
      </w:r>
    </w:p>
    <w:p>
      <w:r>
        <w:t>证明截图共 4 张：图1 为漏洞基本信息与可 1:1 复现的请求包；图2、图3 为未授权获取的 373 条聊天记录节选（含隐私样本标记）；图4 为危害说明与修复建议。随附取证页面源文件（gx_evidence.html）与原始响应数据（gx_data.json）供核验。</w:t>
      </w:r>
    </w:p>
    <w:p>
      <w:r>
        <w:t>发现/验证人：indifference</w:t>
        <w:br/>
        <w:t>取证时间：2026-10-09</w:t>
        <w:br/>
      </w:r>
    </w:p>
    <w:p/>
    <w:p>
      <w:r>
        <w:rPr>
          <w:b/>
        </w:rPr>
        <w:t>图1_漏洞基本信息与验证请求</w:t>
      </w:r>
    </w:p>
    <w:p>
      <w:r>
        <w:drawing>
          <wp:inline xmlns:a="http://schemas.openxmlformats.org/drawingml/2006/main" xmlns:pic="http://schemas.openxmlformats.org/drawingml/2006/picture">
            <wp:extent cx="5760720" cy="2462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漏洞基本信息与验证请求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22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图2_未授权获取373条聊天记录1-28</w:t>
      </w:r>
    </w:p>
    <w:p>
      <w:r>
        <w:drawing>
          <wp:inline xmlns:a="http://schemas.openxmlformats.org/drawingml/2006/main" xmlns:pic="http://schemas.openxmlformats.org/drawingml/2006/picture">
            <wp:extent cx="5760720" cy="4817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未授权获取373条聊天记录1-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7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图3_未授权获取373条聊天记录29-72</w:t>
      </w:r>
    </w:p>
    <w:p>
      <w:r>
        <w:drawing>
          <wp:inline xmlns:a="http://schemas.openxmlformats.org/drawingml/2006/main" xmlns:pic="http://schemas.openxmlformats.org/drawingml/2006/picture">
            <wp:extent cx="5760720" cy="69732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未授权获取373条聊天记录29-7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3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图4_危害说明与修复建议</w:t>
      </w:r>
    </w:p>
    <w:p>
      <w:r>
        <w:drawing>
          <wp:inline xmlns:a="http://schemas.openxmlformats.org/drawingml/2006/main" xmlns:pic="http://schemas.openxmlformats.org/drawingml/2006/picture">
            <wp:extent cx="5760720" cy="1797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危害说明与修复建议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9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