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安陆市政府_FastGPT登录NoSQLi_CVE-2026-40351</w:t>
        <w:br/>
        <w:t>危害说明</w:t>
      </w:r>
    </w:p>
    <w:p>
      <w:pPr>
        <w:pStyle w:val="Heading1"/>
      </w:pPr>
      <w:r>
        <w:rPr>
          <w:rFonts w:ascii="Times New Roman" w:hAnsi="Times New Roman" w:eastAsia="黑体"/>
          <w:b/>
          <w:color w:val="000000"/>
          <w:sz w:val="28"/>
        </w:rPr>
        <w:t>一、漏洞与受影响系统</w:t>
      </w:r>
    </w:p>
    <w:p>
      <w:r>
        <w:rPr>
          <w:rFonts w:ascii="Times New Roman" w:hAnsi="Times New Roman" w:eastAsia="宋体"/>
          <w:b w:val="0"/>
          <w:sz w:val="21"/>
        </w:rPr>
        <w:t>安陆市政府 AI 问答平台（msjx.anlu.gov.cn）（https://msjx.anlu.gov.cn:3002）基于开源 FastGPT 社区版（&lt;4.14.9.5）构建，其登录接口存在 NoSQL 注入（CVE-2026-40351）。任意互联网攻击者无需任何凭证，仅发送一个 HTTP 请求即可绕过身份认证，以平台超级管理员 root/Owner 身份登录（权限值 4294967295，全量权限），复测结果稳定。</w:t>
      </w:r>
    </w:p>
    <w:p>
      <w:pPr>
        <w:pStyle w:val="Heading1"/>
      </w:pPr>
      <w:r>
        <w:rPr>
          <w:rFonts w:ascii="Times New Roman" w:hAnsi="Times New Roman" w:eastAsia="黑体"/>
          <w:b/>
          <w:color w:val="000000"/>
          <w:sz w:val="28"/>
        </w:rPr>
        <w:t>二、危害分析</w:t>
      </w:r>
    </w:p>
    <w:p>
      <w:r>
        <w:rPr>
          <w:rFonts w:ascii="Times New Roman" w:hAnsi="Times New Roman" w:eastAsia="宋体"/>
          <w:b w:val="0"/>
          <w:sz w:val="21"/>
        </w:rPr>
        <w:t>1. 权限层面：root/Owner 是 FastGPT 平台最高权限角色，可控管全部用户账号（创建/删除/改密）、全部 AI 应用编排、全部知识库内容与 API 密钥。攻击者可创建隐蔽管理员账号实现长期驻留，即使漏洞修复后仍可维持控制。</w:t>
      </w:r>
    </w:p>
    <w:p>
      <w:r>
        <w:rPr>
          <w:rFonts w:ascii="Times New Roman" w:hAnsi="Times New Roman" w:eastAsia="宋体"/>
          <w:b w:val="0"/>
          <w:sz w:val="21"/>
        </w:rPr>
        <w:t>2. 数据层面：政务 AI 问答平台的知识库通常挂载本地政策文件、办事指南与业务问答数据，对话记录包含群众咨询信息。root 权限可直接导出全部知识库与对话数据，构成政务数据与公民个人信息泄露事件（《数据安全法》《个人信息保护法》口径）。</w:t>
      </w:r>
    </w:p>
    <w:p>
      <w:r>
        <w:rPr>
          <w:rFonts w:ascii="Times New Roman" w:hAnsi="Times New Roman" w:eastAsia="宋体"/>
          <w:b w:val="0"/>
          <w:sz w:val="21"/>
        </w:rPr>
        <w:t>3. 内容层面：攻击者篡改知识库后，系统将以官方名义向公众输出伪造的办事指南、虚假政策甚至钓鱼链接。群众对政府域名（gov.cn）天然信任，此类钓鱼的转化率远高于普通钓鱼网站，可能造成直接的群众财产损失并严重损害政府公信力。</w:t>
      </w:r>
    </w:p>
    <w:p>
      <w:r>
        <w:rPr>
          <w:rFonts w:ascii="Times New Roman" w:hAnsi="Times New Roman" w:eastAsia="宋体"/>
          <w:b w:val="0"/>
          <w:sz w:val="21"/>
        </w:rPr>
        <w:t>4. 攻击链层面：root 权限可读取平台配置的模型 API 密钥及与内网系统的连接信息，可作为跳板进一步渗透本单位其他系统或冒用本单位身份调用外部服务。</w:t>
      </w:r>
    </w:p>
    <w:p>
      <w:r>
        <w:rPr>
          <w:rFonts w:ascii="Times New Roman" w:hAnsi="Times New Roman" w:eastAsia="宋体"/>
          <w:b w:val="0"/>
          <w:sz w:val="21"/>
        </w:rPr>
        <w:t>5. 监管层面：该系统为政府对外服务系统，属关键信息基础设施相关范畴。身份认证绕过属等保 2.0 三级系统「身份鉴别」根本失效，且漏洞公开（CVE-2026-40351，CVSS 9.8）后有现成的公开利用方式，被批量扫描武器化的风险极高。</w:t>
      </w:r>
    </w:p>
    <w:p>
      <w:pPr>
        <w:pStyle w:val="Heading1"/>
      </w:pPr>
      <w:r>
        <w:rPr>
          <w:rFonts w:ascii="Times New Roman" w:hAnsi="Times New Roman" w:eastAsia="黑体"/>
          <w:b/>
          <w:color w:val="000000"/>
          <w:sz w:val="28"/>
        </w:rPr>
        <w:t>三、处置紧迫性</w:t>
      </w:r>
    </w:p>
    <w:p>
      <w:r>
        <w:rPr>
          <w:rFonts w:ascii="Times New Roman" w:hAnsi="Times New Roman" w:eastAsia="宋体"/>
          <w:b w:val="0"/>
          <w:sz w:val="21"/>
        </w:rPr>
        <w:t>漏洞利用难度极低（单请求、无交互、公开 POC）、影响权限最高（root）、暴露面为公网政务服务入口，且首验至复测（多日）期间未修复，说明该单位无有效监测能力，被恶意利用概率随时间递增。建议 24 小时内临时下线或加白名单，一周内完成升级修复，并排查历史日志确认是否已被利用。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