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上海丽蟾信息科技有限公司 Open WebUI 未授权访问漏洞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32"/>
        </w:rPr>
        <w:t>危害说明（CVE-2026-45397 事件型报送）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0"/>
        </w:rPr>
        <w:t>报送单位：CNVD　｜　出具日期：2026-10-12　｜　发现/验证人：indifference108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一、漏洞概述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目标系统 https://ds.chancloud.com 为上海丽蟾信息科技有限公司对外提供服务的 Open WebUI AI 平台（开源 LLM 前端应用，实测版本 0.5.10）。Open WebUI 在 0.9.5 版本以下，其检索（RAG）模块路由 GET /api/v1/retrieval/ 存在鉴权遗漏：同模块的 GET /api/v1/retrieval/config 带有管理员鉴权依赖，而 /api/v1/retrieval/ 未设置任何鉴权，属定向遗漏缺陷（CVE-2026-45397，CWE-306）。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远程攻击者无需任何凭证，直接请求 GET /api/v1/retrieval/ 即可读取该平台 RAG 检索管线的完整配置，包括：分块参数（chunk_size/chunk_overlap/embedding_batch_size）、embedding 引擎与模型、reranking 模型、提示词模板（template）、引擎连接配置等。2026-10-12 复测确认漏洞仍可复现（对照接口 /api/v1/retrieval/config 正确返回 403 未认证，证明鉴权体系存在、缺口仅在该路由）。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该平台对外提供 DeepSeek R1 671B 商业服务（ChanChat，NVIDIA 授权丽蟾 CGC）；其 HTTPS 证书已过期，属叠加的安全管理问题。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二、危害程度论证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未授权即读取内部系统配置，暴露攻击面。检索配置中的 embedding 引擎/模型与连接参数直接暴露平台内部组件构成与数据流，提示词模板泄露平台业务逻辑，攻击者可据此精确规划后续攻击（如针对内部端点的 SSRF、针对模型服务的未授权调用）。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配置泄露是进一步入侵的跳板而非终点。RAG 配置常与向量库、对象存储、模型 API 等内部服务连通，配置项中的内部端点信息（引擎连接配置）可引导攻击者探测内网；结合 Open WebUI 同版本其他已知缺陷（如姊妹漏洞 CVE-2026-34225 检索代理盲 SSRF），可形成组合攻击链。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同类漏洞已批量存在。本次针对 title="Open WebUI" 的国内实例抽样探测中 19/39 命中（49%），全部运行 0.9.5 以下版本，说明该缺陷在国内部署面广泛未被修复，属普遍性问题。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该平台为对外提供 DeepSeek R1 671B 商业大模型服务的商业平台（ChanChat），承载商业客户数据；且其 HTTPS 证书已过期，安全管理存在多处缺位。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三、修复建议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1. 立即将 Open WebUI 升级至 0.9.5 及以上版本；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2. 在路由层为 GET /api/v1/retrieval/ 补鉴权依赖（参照 /api/v1/retrieval/config 的 get_admin_user 写法）；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3. 临时缓解：网关/WAF 拦截对 /api/v1/retrieval/ 的未认证 GET 请求；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4. 排查平台运行日志，确认是否已有未授权读取行为；如配置中含内部端点，同步检查内网对应服务的访问日志。</w:t>
      </w:r>
    </w:p>
    <w:p>
      <w:pPr>
        <w:spacing w:after="120"/>
        <w:ind w:firstLine="480"/>
      </w:pPr>
      <w:r>
        <w:rPr>
          <w:rFonts w:ascii="Times New Roman" w:hAnsi="Times New Roman" w:eastAsia="宋体"/>
          <w:b w:val="0"/>
          <w:sz w:val="24"/>
        </w:rPr>
        <w:t>5. 更换已过期的 HTTPS 证书。</w:t>
      </w:r>
    </w:p>
    <w:p>
      <w:pPr>
        <w:pStyle w:val="Heading1"/>
        <w:spacing w:before="280" w:after="160"/>
      </w:pPr>
      <w:r>
        <w:rPr>
          <w:rFonts w:ascii="Times New Roman" w:hAnsi="Times New Roman" w:eastAsia="黑体"/>
          <w:b/>
          <w:color w:val="000000"/>
          <w:sz w:val="28"/>
        </w:rPr>
        <w:t>四、复测证据（2026-10-12 只读复验）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81"/>
            <w:shd w:val="clear" w:fill="EEF3F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检查项</w:t>
            </w:r>
          </w:p>
        </w:tc>
        <w:tc>
          <w:tcPr>
            <w:tcW w:type="dxa" w:w="6803"/>
            <w:shd w:val="clear" w:fill="EEF3F6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GET /api/version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200，版本 0.5.10（受影响区间 &lt;0.9.5）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GET /api/v1/retrieval/config（对照组）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403 {"detail":"Not authenticated"}，鉴权体系正常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GET /api/v1/retrieval/（漏洞接口）</w:t>
            </w:r>
          </w:p>
        </w:tc>
        <w:tc>
          <w:tcPr>
            <w:tcW w:type="dxa" w:w="6803"/>
          </w:tcPr>
          <w:p>
            <w:pPr>
              <w:spacing w:after="40"/>
            </w:pPr>
            <w:r>
              <w:rPr>
                <w:rFonts w:ascii="Times New Roman" w:hAnsi="Times New Roman" w:eastAsia="宋体"/>
                <w:sz w:val="21"/>
              </w:rPr>
              <w:t>200，返回 RAG 完整配置（8 个顶层键：status/chunk_size/chunk_overlap/template/embedding_engine/embedding_model/reranking_model/embedding_batch_size；配置值已脱敏存档）</w:t>
            </w:r>
          </w:p>
        </w:tc>
      </w:tr>
    </w:tbl>
    <w:p>
      <w:pPr>
        <w:spacing w:after="40"/>
      </w:pPr>
      <w:r>
        <w:rPr>
          <w:rFonts w:ascii="Times New Roman" w:hAnsi="Times New Roman" w:eastAsia="宋体"/>
          <w:b w:val="0"/>
          <w:sz w:val="20"/>
        </w:rPr>
        <w:t>验证过程仅执行只读 GET 请求获取配置键名与状态，未读取、保存或传播任何配置值内容。</w:t>
      </w:r>
    </w:p>
    <w:p>
      <w:pPr>
        <w:spacing w:after="120"/>
      </w:pPr>
      <w:r>
        <w:rPr>
          <w:rFonts w:ascii="Times New Roman" w:hAnsi="Times New Roman" w:eastAsia="宋体"/>
          <w:b w:val="0"/>
          <w:sz w:val="20"/>
        </w:rPr>
        <w:t>发现/验证人：indifference108　　取证时间：2026-10-09 首验 / 2026-10-12 复测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丽蟾科技 Open WebUI 未授权访问（CVE-2026-45397）危害说明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