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Paris-Est Créteil-Val De Marne</w:t>
      </w:r>
    </w:p>
    <w:p>
      <w:r>
        <w:t>MASTER ENERGIE PARCOURS INGÉNIERIE ÉNERGÉTIQUE DURABLE</w:t>
      </w:r>
    </w:p>
    <w:p>
      <w:pPr>
        <w:pStyle w:val="Heading3"/>
      </w:pPr>
      <w:r>
        <w:t>Etat : 5, Selectivité : 243 - 8600</w:t>
      </w:r>
    </w:p>
    <w:p>
      <w:r>
        <w:t>Débouché/Master : M2 - INGÉNIERIE ÉNERGÉTIQUE DURABLE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243 - 8600 €</w:t>
            </w:r>
          </w:p>
        </w:tc>
        <w:tc>
          <w:tcPr>
            <w:tcW w:type="dxa" w:w="2880"/>
          </w:tcPr>
          <w:p>
            <w:r>
              <w:t>Service formation continue</w:t>
              <w:br/>
              <w:t>Kania Lal Gurmes</w:t>
              <w:br/>
              <w:t>Tél : 01 45 17 13 02</w:t>
              <w:br/>
              <w:t>Mail : fc.sciences@u-pec.fr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M2 - INGÉNIERIE ÉNERGÉTIQUE DURABLE</w:t>
      </w:r>
    </w:p>
    <w:p>
      <w:r>
        <w:br/>
        <w:t>Lien vers la formation : https://www.u-pec.fr/fr/formation/master-energie-parcours-ingenierie-energetique-durable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-Développement durable, transition écologique, énergies renouvelables, Efficacité, rendement, analyse énergétique des systèmes énergétiques renouvelables</w:t>
              <w:br/>
              <w:t>-Méthodes numériques et outils de modélisation et de calcul : simulation/Optimisation</w:t>
              <w:br/>
              <w:t xml:space="preserve">-Systèmes et réseaux électriques ; particularités et adaptation aux énergies renouvelables ; smartgrids </w:t>
              <w:br/>
              <w:t>-Internet (des objets) de l'énergie</w:t>
              <w:br/>
              <w:t xml:space="preserve">-Energie de la biomasse ; production, extraction et combustion propres et efficaces, Energie hydraulique, Energie solaire thermique/PV, </w:t>
              <w:br/>
              <w:t>-Stockage d'énergie,  Matériaux pour l'énergie</w:t>
              <w:br/>
              <w:t>-Production thermodynamique de chaud et de froid ; échangeurs de chaleur</w:t>
              <w:br/>
            </w:r>
          </w:p>
        </w:tc>
        <w:tc>
          <w:tcPr>
            <w:tcW w:type="dxa" w:w="2880"/>
          </w:tcPr>
          <w:p>
            <w:r>
              <w:t>-Bac + 3, Bac + 4, [ Autre ]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 xml:space="preserve">Motivation : finalité professionnalisante,  diplômés intéressés par la recherche pourront poursuivre par une formation à la recherche appliquée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