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Université de Nantes - UFR de lettres et langages</w:t>
      </w:r>
    </w:p>
    <w:p>
      <w:r>
        <w:t>mention Arts, lettres et civilisations parcours Littérature Française et Comparée</w:t>
      </w:r>
    </w:p>
    <w:p>
      <w:pPr>
        <w:pStyle w:val="Heading3"/>
      </w:pPr>
      <w:r>
        <w:t>Classement : 3, Selectivité : 3</w:t>
      </w:r>
    </w:p>
    <w:p>
      <w:r>
        <w:t>Débouché/Master : mention Arts, lettres et civilisations parcours Littérature Française et Comparée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Françoise RUBELLIN, secretariat.lettres-classiques@univ-nantes.fr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t>Compétances : haut niveau de culture littéraire et de développer l’esprit critique. Construit dans une optique résolument généraliste, il offre aux étudiants une gamme de cours très diversifiée, du Moyen Âge à la littérature contemporaine et couvrant plusieurs aires culturelles.</w:t>
      </w:r>
    </w:p>
    <w:p>
      <w:r>
        <w:br/>
        <w:t>Lien vers la formation : https://lettreslangages.univ-nantes.fr/formations/licences-et-masters/master-arts-lettres-et-civilisations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-axe disciplinaire et théorique : maîtrise du champ disciplinaire (indispensable pour un doctorat et pour la préparation à l’agrégation externe de Lettres Classiques ou de Lettres Modernes), recours aux humanités numériques.</w:t>
              <w:br/>
              <w:t>- axe recherche : formation à la recherche et formation par la recherche grâce à un adossement étroit aux axes de recherche des laboratoires.</w:t>
              <w:br/>
              <w:t>- axe insertion professionnelle : acquisition de compétences transversales et stages.</w:t>
              <w:br/>
            </w:r>
          </w:p>
        </w:tc>
        <w:tc>
          <w:tcPr>
            <w:tcW w:type="dxa" w:w="2880"/>
          </w:tcPr>
          <w:p>
            <w:r>
              <w:t>-Bac +3</w:t>
              <w:br/>
              <w:t>-Bac +4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p>
      <w:r>
        <w:t>Motivation :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