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A0A0A"/>
          <w:sz w:val="48"/>
        </w:rPr>
        <w:t>Hook LeBron → AI</w:t>
      </w:r>
    </w:p>
    <w:p>
      <w:r>
        <w:rPr>
          <w:i/>
          <w:color w:val="666666"/>
          <w:sz w:val="22"/>
        </w:rPr>
        <w:t>Direct Response Copy — Post LinkedIn (personal brand)  |  26 luglio 2026</w:t>
      </w:r>
    </w:p>
    <w:p/>
    <w:p>
      <w:pPr>
        <w:spacing w:before="360" w:after="120"/>
      </w:pPr>
      <w:r>
        <w:rPr>
          <w:b/>
          <w:color w:val="0A0A0A"/>
          <w:sz w:val="28"/>
        </w:rPr>
        <w:t>BRIEF RECAP</w:t>
      </w:r>
    </w:p>
    <w:p>
      <w:pPr>
        <w:spacing w:after="60"/>
      </w:pPr>
      <w:r>
        <w:rPr>
          <w:b/>
          <w:sz w:val="21"/>
        </w:rPr>
        <w:t xml:space="preserve">Canale: </w:t>
      </w:r>
      <w:r>
        <w:rPr>
          <w:color w:val="333333"/>
          <w:sz w:val="21"/>
        </w:rPr>
        <w:t>LinkedIn — post organico, formato testo lungo (1.500 caratteri circa)</w:t>
      </w:r>
    </w:p>
    <w:p>
      <w:pPr>
        <w:spacing w:after="60"/>
      </w:pPr>
      <w:r>
        <w:rPr>
          <w:b/>
          <w:sz w:val="21"/>
        </w:rPr>
        <w:t xml:space="preserve">Obiettivo: </w:t>
      </w:r>
      <w:r>
        <w:rPr>
          <w:color w:val="333333"/>
          <w:sz w:val="21"/>
        </w:rPr>
        <w:t>Personal branding: autorevolezza sul tema AI + generazione di commenti qualificati</w:t>
      </w:r>
    </w:p>
    <w:p>
      <w:pPr>
        <w:spacing w:after="60"/>
      </w:pPr>
      <w:r>
        <w:rPr>
          <w:b/>
          <w:sz w:val="21"/>
        </w:rPr>
        <w:t xml:space="preserve">Target: </w:t>
      </w:r>
      <w:r>
        <w:rPr>
          <w:color w:val="333333"/>
          <w:sz w:val="21"/>
        </w:rPr>
        <w:t>Professionisti, imprenditori e manager 30-55 anni, esposti al dibattito sull'AI ma non tecnici</w:t>
      </w:r>
    </w:p>
    <w:p>
      <w:pPr>
        <w:spacing w:after="60"/>
      </w:pPr>
      <w:r>
        <w:rPr>
          <w:b/>
          <w:sz w:val="21"/>
        </w:rPr>
        <w:t xml:space="preserve">Consapevolezza (Schwartz): </w:t>
      </w:r>
      <w:r>
        <w:rPr>
          <w:color w:val="333333"/>
          <w:sz w:val="21"/>
        </w:rPr>
        <w:t>Problem-aware — sanno che l'AI cambia il loro lavoro, non sanno cosa farne</w:t>
      </w:r>
    </w:p>
    <w:p>
      <w:pPr>
        <w:spacing w:after="60"/>
      </w:pPr>
      <w:r>
        <w:rPr>
          <w:b/>
          <w:sz w:val="21"/>
        </w:rPr>
        <w:t xml:space="preserve">Tesi: </w:t>
      </w:r>
      <w:r>
        <w:rPr>
          <w:color w:val="333333"/>
          <w:sz w:val="21"/>
        </w:rPr>
        <w:t>Chi si adatta sopravvive — declinata sul cambio di ruolo, non sull'apprendimento dei tool</w:t>
      </w:r>
    </w:p>
    <w:p>
      <w:pPr>
        <w:spacing w:after="60"/>
      </w:pPr>
      <w:r>
        <w:rPr>
          <w:b/>
          <w:sz w:val="21"/>
        </w:rPr>
        <w:t xml:space="preserve">Tono: </w:t>
      </w:r>
      <w:r>
        <w:rPr>
          <w:color w:val="333333"/>
          <w:sz w:val="21"/>
        </w:rPr>
        <w:t>Peer-to-peer, asciutto, zero motivazionale</w:t>
      </w:r>
    </w:p>
    <w:p>
      <w:pPr>
        <w:spacing w:after="60"/>
      </w:pPr>
      <w:r>
        <w:rPr>
          <w:b/>
          <w:sz w:val="21"/>
        </w:rPr>
        <w:t xml:space="preserve">Framework: </w:t>
      </w:r>
      <w:r>
        <w:rPr>
          <w:color w:val="333333"/>
          <w:sz w:val="21"/>
        </w:rPr>
        <w:t>Hook-Story-Bridge + Pattern Interrupt in apertura</w:t>
      </w:r>
    </w:p>
    <w:p>
      <w:pPr>
        <w:spacing w:after="60"/>
      </w:pPr>
      <w:r>
        <w:rPr>
          <w:b/>
          <w:sz w:val="21"/>
        </w:rPr>
        <w:t xml:space="preserve">Proof: </w:t>
      </w:r>
      <w:r>
        <w:rPr>
          <w:color w:val="333333"/>
          <w:sz w:val="21"/>
        </w:rPr>
        <w:t>Fattuale: contratto LeBron-76ers, 24 luglio 2026 (ESPN) — 2 anni / 8 M$</w:t>
      </w:r>
    </w:p>
    <w:p>
      <w:r>
        <w:br w:type="page"/>
      </w:r>
    </w:p>
    <w:p>
      <w:pPr>
        <w:spacing w:before="0" w:after="120"/>
      </w:pPr>
      <w:r>
        <w:rPr>
          <w:b/>
          <w:color w:val="0A0A0A"/>
          <w:sz w:val="30"/>
        </w:rPr>
        <w:t>VARIANTE A — "Il contratto"</w:t>
      </w:r>
    </w:p>
    <w:p>
      <w:pPr>
        <w:spacing w:after="40"/>
      </w:pPr>
      <w:r>
        <w:rPr>
          <w:b/>
          <w:color w:val="005A8C"/>
          <w:sz w:val="21"/>
        </w:rPr>
        <w:t>Angolo strategico: Diretto / razionale / benefit-driven</w:t>
      </w:r>
    </w:p>
    <w:p>
      <w:pPr>
        <w:spacing w:after="80"/>
      </w:pPr>
      <w:r>
        <w:rPr>
          <w:i/>
          <w:color w:val="555555"/>
          <w:sz w:val="20"/>
        </w:rPr>
        <w:t>Apre con il dato nudo (8 milioni) come pattern interrupt numerico. Il numero fa tutto il lavoro di credibilità: è verificabile e stona con l'immagine di LeBron. Il pivot sull'AI è logico, non emotivo — costruito su un contrasto binario (chi negozia / chi sceglie). La CTA riprende letteralmente l'oggetto dell'hook (il contratto), chiudendo il cerchio: massima memorabilità.</w:t>
      </w:r>
    </w:p>
    <w:p>
      <w:pPr>
        <w:spacing w:after="200"/>
      </w:pPr>
      <w:r>
        <w:rPr>
          <w:color w:val="888888"/>
          <w:sz w:val="19"/>
        </w:rPr>
        <w:t>Lunghezza: 1558 caratteri (spazi inclusi)</w:t>
      </w:r>
    </w:p>
    <w:p>
      <w:pPr>
        <w:spacing w:before="80" w:after="80"/>
      </w:pPr>
      <w:r>
        <w:rPr>
          <w:b/>
          <w:color w:val="0A0A0A"/>
          <w:sz w:val="22"/>
        </w:rPr>
        <w:t>COPY</w:t>
      </w:r>
    </w:p>
    <w:p>
      <w:pPr>
        <w:spacing w:after="200"/>
      </w:pPr>
      <w:r>
        <w:rPr>
          <w:color w:val="1A1A1A"/>
          <w:sz w:val="22"/>
        </w:rPr>
        <w:t>8 milioni di dollari in due anni.</w:t>
      </w:r>
    </w:p>
    <w:p>
      <w:pPr>
        <w:spacing w:after="200"/>
      </w:pPr>
      <w:r>
        <w:rPr>
          <w:color w:val="1A1A1A"/>
          <w:sz w:val="22"/>
        </w:rPr>
        <w:t>È il contratto che LeBron James ha firmato venerdì con i Philadelphia 76ers. A 41 anni, dopo oltre vent'anni passati al vertice.</w:t>
      </w:r>
    </w:p>
    <w:p>
      <w:pPr>
        <w:spacing w:after="200"/>
      </w:pPr>
      <w:r>
        <w:rPr>
          <w:color w:val="1A1A1A"/>
          <w:sz w:val="22"/>
        </w:rPr>
        <w:t>Per capire il numero: sono cifre da comprimario. Da uno che entra dalla panchina.</w:t>
      </w:r>
    </w:p>
    <w:p>
      <w:pPr>
        <w:spacing w:after="200"/>
      </w:pPr>
      <w:r>
        <w:rPr>
          <w:color w:val="1A1A1A"/>
          <w:sz w:val="22"/>
        </w:rPr>
        <w:t>Eppure a corteggiarlo c'erano Miami, Cleveland e Golden State.</w:t>
      </w:r>
    </w:p>
    <w:p>
      <w:pPr>
        <w:spacing w:after="200"/>
      </w:pPr>
      <w:r>
        <w:rPr>
          <w:color w:val="1A1A1A"/>
          <w:sz w:val="22"/>
        </w:rPr>
        <w:t>Ha scelto Philadelphia. Cioè la squadra dove ci sono già Embiid, Jaylen Brown e Maxey. La squadra dove sarà meno centrale.</w:t>
      </w:r>
    </w:p>
    <w:p>
      <w:pPr>
        <w:spacing w:after="200"/>
      </w:pPr>
      <w:r>
        <w:rPr>
          <w:color w:val="1A1A1A"/>
          <w:sz w:val="22"/>
        </w:rPr>
        <w:t>E ha detto una frase sola: «Credo di poter aiutare questa squadra a vincere il titolo».</w:t>
      </w:r>
    </w:p>
    <w:p>
      <w:pPr>
        <w:spacing w:after="200"/>
      </w:pPr>
      <w:r>
        <w:rPr>
          <w:color w:val="1A1A1A"/>
          <w:sz w:val="22"/>
        </w:rPr>
        <w:t>Non "portarli". Aiutare.</w:t>
      </w:r>
    </w:p>
    <w:p>
      <w:pPr>
        <w:spacing w:after="200"/>
      </w:pPr>
      <w:r>
        <w:rPr>
          <w:color w:val="1A1A1A"/>
          <w:sz w:val="22"/>
        </w:rPr>
        <w:t>Ecco cosa è successo davvero: LeBron ha smesso di vendere quello che il mercato non gli comprava più — l'esplosività, i 30 punti a sera, il primo violino — e ha iniziato a vendere l'unica cosa che nessun ventenne può avere: la lettura del gioco.</w:t>
      </w:r>
    </w:p>
    <w:p>
      <w:pPr>
        <w:spacing w:after="200"/>
      </w:pPr>
      <w:r>
        <w:rPr>
          <w:color w:val="1A1A1A"/>
          <w:sz w:val="22"/>
        </w:rPr>
        <w:t>Non ha resistito al cambiamento. Si è ridefinito prima che il cambiamento ridefinisse lui.</w:t>
      </w:r>
    </w:p>
    <w:p>
      <w:pPr>
        <w:spacing w:after="200"/>
      </w:pPr>
      <w:r>
        <w:rPr>
          <w:color w:val="1A1A1A"/>
          <w:sz w:val="22"/>
        </w:rPr>
        <w:t>Ora guarda la tua professione.</w:t>
      </w:r>
    </w:p>
    <w:p>
      <w:pPr>
        <w:spacing w:after="200"/>
      </w:pPr>
      <w:r>
        <w:rPr>
          <w:color w:val="1A1A1A"/>
          <w:sz w:val="22"/>
        </w:rPr>
        <w:t>C'è chi sta provando a battere l'AI dove l'AI è imbattibile: velocità, volume, prima bozza. È come giocare a fare il ventenne a 41 anni. Qualche partita la vinci. La stagione no.</w:t>
      </w:r>
    </w:p>
    <w:p>
      <w:pPr>
        <w:spacing w:after="200"/>
      </w:pPr>
      <w:r>
        <w:rPr>
          <w:color w:val="1A1A1A"/>
          <w:sz w:val="22"/>
        </w:rPr>
        <w:t>E c'è chi ha cambiato mestiere restando nello stesso mestiere. Non produce più output. Decide quale output serve.</w:t>
      </w:r>
    </w:p>
    <w:p>
      <w:pPr>
        <w:spacing w:after="0"/>
      </w:pPr>
      <w:r>
        <w:rPr>
          <w:color w:val="1A1A1A"/>
          <w:sz w:val="22"/>
        </w:rPr>
        <w:t>Il primo gruppo negozia per non perdere il posto.</w:t>
      </w:r>
    </w:p>
    <w:p>
      <w:pPr>
        <w:spacing w:after="200"/>
      </w:pPr>
      <w:r>
        <w:rPr>
          <w:color w:val="1A1A1A"/>
          <w:sz w:val="22"/>
        </w:rPr>
        <w:t>Il secondo sceglie tra tre offerte.</w:t>
      </w:r>
    </w:p>
    <w:p>
      <w:pPr>
        <w:spacing w:after="200"/>
      </w:pPr>
      <w:r>
        <w:rPr>
          <w:color w:val="1A1A1A"/>
          <w:sz w:val="22"/>
        </w:rPr>
        <w:t>La differenza non è il talento. È aver capito in tempo per cosa vieni pagato adesso.</w:t>
      </w:r>
    </w:p>
    <w:p>
      <w:pPr>
        <w:spacing w:after="200"/>
      </w:pPr>
      <w:r>
        <w:rPr>
          <w:color w:val="1A1A1A"/>
          <w:sz w:val="22"/>
        </w:rPr>
        <w:t>Quindi la domanda vera è questa:</w:t>
      </w:r>
    </w:p>
    <w:p>
      <w:pPr>
        <w:spacing w:after="200"/>
      </w:pPr>
      <w:r>
        <w:rPr>
          <w:color w:val="1A1A1A"/>
          <w:sz w:val="22"/>
        </w:rPr>
        <w:t>se dovessi rifirmare il tuo contratto domani mattina — non quello di tre anni fa, quello di domani — per quale ruolo ti prenderebbero?</w:t>
      </w:r>
    </w:p>
    <w:p>
      <w:r>
        <w:br w:type="page"/>
      </w:r>
    </w:p>
    <w:p>
      <w:pPr>
        <w:spacing w:before="0" w:after="120"/>
      </w:pPr>
      <w:r>
        <w:rPr>
          <w:b/>
          <w:color w:val="0A0A0A"/>
          <w:sz w:val="30"/>
        </w:rPr>
        <w:t>VARIANTE B — "La parola"</w:t>
      </w:r>
    </w:p>
    <w:p>
      <w:pPr>
        <w:spacing w:after="40"/>
      </w:pPr>
      <w:r>
        <w:rPr>
          <w:b/>
          <w:color w:val="005A8C"/>
          <w:sz w:val="21"/>
        </w:rPr>
        <w:t>Angolo strategico: Emotivo / story-driven / pain-focused</w:t>
      </w:r>
    </w:p>
    <w:p>
      <w:pPr>
        <w:spacing w:after="80"/>
      </w:pPr>
      <w:r>
        <w:rPr>
          <w:i/>
          <w:color w:val="555555"/>
          <w:sz w:val="20"/>
        </w:rPr>
        <w:t>Apre con un'immagine (la foto del 2003) invece che con un dato: attiva il ricordo personale del lettore prima del ragionamento. Il fulcro è una singola parola — «aiutare» — usata come metafora isomorfica del ridimensionamento professionale. La CTA è la più intima delle tre: non chiede un'opinione, chiede di riconoscere una paura. Genera i commenti più lunghi, ma polarizza di più.</w:t>
      </w:r>
    </w:p>
    <w:p>
      <w:pPr>
        <w:spacing w:after="200"/>
      </w:pPr>
      <w:r>
        <w:rPr>
          <w:color w:val="888888"/>
          <w:sz w:val="19"/>
        </w:rPr>
        <w:t>Lunghezza: 1491 caratteri (spazi inclusi)</w:t>
      </w:r>
    </w:p>
    <w:p>
      <w:pPr>
        <w:spacing w:before="80" w:after="80"/>
      </w:pPr>
      <w:r>
        <w:rPr>
          <w:b/>
          <w:color w:val="0A0A0A"/>
          <w:sz w:val="22"/>
        </w:rPr>
        <w:t>COPY</w:t>
      </w:r>
    </w:p>
    <w:p>
      <w:pPr>
        <w:spacing w:after="200"/>
      </w:pPr>
      <w:r>
        <w:rPr>
          <w:color w:val="1A1A1A"/>
          <w:sz w:val="22"/>
        </w:rPr>
        <w:t>C'è una foto di LeBron James del 2003. Diciotto anni, completo bianco, il sorriso di chi sa che sta per prendersi tutto.</w:t>
      </w:r>
    </w:p>
    <w:p>
      <w:pPr>
        <w:spacing w:after="200"/>
      </w:pPr>
      <w:r>
        <w:rPr>
          <w:color w:val="1A1A1A"/>
          <w:sz w:val="22"/>
        </w:rPr>
        <w:t>Venerdì, a 41 anni, ha firmato con i Philadelphia 76ers.</w:t>
      </w:r>
    </w:p>
    <w:p>
      <w:pPr>
        <w:spacing w:after="200"/>
      </w:pPr>
      <w:r>
        <w:rPr>
          <w:color w:val="1A1A1A"/>
          <w:sz w:val="22"/>
        </w:rPr>
        <w:t>Due anni. Otto milioni di dollari.</w:t>
      </w:r>
    </w:p>
    <w:p>
      <w:pPr>
        <w:spacing w:after="200"/>
      </w:pPr>
      <w:r>
        <w:rPr>
          <w:color w:val="1A1A1A"/>
          <w:sz w:val="22"/>
        </w:rPr>
        <w:t>Fermati un secondo su quel numero. Otto milioni per due stagioni sono lo stipendio di un gregario. Di uno che entra a partita in corso.</w:t>
      </w:r>
    </w:p>
    <w:p>
      <w:pPr>
        <w:spacing w:after="200"/>
      </w:pPr>
      <w:r>
        <w:rPr>
          <w:color w:val="1A1A1A"/>
          <w:sz w:val="22"/>
        </w:rPr>
        <w:t>E non è che nessuno lo volesse: Miami, Cleveland e Golden State erano lì, con le offerte in mano.</w:t>
      </w:r>
    </w:p>
    <w:p>
      <w:pPr>
        <w:spacing w:after="200"/>
      </w:pPr>
      <w:r>
        <w:rPr>
          <w:color w:val="1A1A1A"/>
          <w:sz w:val="22"/>
        </w:rPr>
        <w:t>Ha scelto la squadra dove non sarà l'uomo copertina. Embiid, Brown, Maxey: il pallone passerà da loro.</w:t>
      </w:r>
    </w:p>
    <w:p>
      <w:pPr>
        <w:spacing w:after="200"/>
      </w:pPr>
      <w:r>
        <w:rPr>
          <w:color w:val="1A1A1A"/>
          <w:sz w:val="22"/>
        </w:rPr>
        <w:t>Ha detto: «Credo di poter aiutare questa squadra a vincere. Un'ultima volta».</w:t>
      </w:r>
    </w:p>
    <w:p>
      <w:pPr>
        <w:spacing w:after="200"/>
      </w:pPr>
      <w:r>
        <w:rPr>
          <w:color w:val="1A1A1A"/>
          <w:sz w:val="22"/>
        </w:rPr>
        <w:t>Aiutare.</w:t>
      </w:r>
    </w:p>
    <w:p>
      <w:pPr>
        <w:spacing w:after="200"/>
      </w:pPr>
      <w:r>
        <w:rPr>
          <w:color w:val="1A1A1A"/>
          <w:sz w:val="22"/>
        </w:rPr>
        <w:t>Prova a immaginare cosa costa, a uno che è stato il migliore del mondo per vent'anni, scrivere quella parola.</w:t>
      </w:r>
    </w:p>
    <w:p>
      <w:pPr>
        <w:spacing w:after="200"/>
      </w:pPr>
      <w:r>
        <w:rPr>
          <w:color w:val="1A1A1A"/>
          <w:sz w:val="22"/>
        </w:rPr>
        <w:t>Perché il punto non sono i soldi. Il punto è che LeBron ha guardato in faccia una cosa che quasi nessuno guarda in faccia: quello per cui ero il numero uno non è più quello per cui mi pagano.</w:t>
      </w:r>
    </w:p>
    <w:p>
      <w:pPr>
        <w:spacing w:after="200"/>
      </w:pPr>
      <w:r>
        <w:rPr>
          <w:color w:val="1A1A1A"/>
          <w:sz w:val="22"/>
        </w:rPr>
        <w:t>E invece di difenderlo, l'ha lasciato andare.</w:t>
      </w:r>
    </w:p>
    <w:p>
      <w:pPr>
        <w:spacing w:after="200"/>
      </w:pPr>
      <w:r>
        <w:rPr>
          <w:color w:val="1A1A1A"/>
          <w:sz w:val="22"/>
        </w:rPr>
        <w:t>Adesso pensa a quante persone conosci che stanno facendo l'esatto opposto con l'AI. Che difendono la parte del proprio lavoro che una macchina fa in nove secondi. La difendono con orgoglio, con competenza, spesso avendo ragione.</w:t>
      </w:r>
    </w:p>
    <w:p>
      <w:pPr>
        <w:spacing w:after="200"/>
      </w:pPr>
      <w:r>
        <w:rPr>
          <w:color w:val="1A1A1A"/>
          <w:sz w:val="22"/>
        </w:rPr>
        <w:t>E la perdono lo stesso.</w:t>
      </w:r>
    </w:p>
    <w:p>
      <w:pPr>
        <w:spacing w:after="200"/>
      </w:pPr>
      <w:r>
        <w:rPr>
          <w:color w:val="1A1A1A"/>
          <w:sz w:val="22"/>
        </w:rPr>
        <w:t>L'orgoglio non ha mai salvato una carriera. L'ha solo resa più dolorosa da chiudere.</w:t>
      </w:r>
    </w:p>
    <w:p>
      <w:pPr>
        <w:spacing w:after="200"/>
      </w:pPr>
      <w:r>
        <w:rPr>
          <w:color w:val="1A1A1A"/>
          <w:sz w:val="22"/>
        </w:rPr>
        <w:t>Una domanda, poi ti lascio:</w:t>
      </w:r>
    </w:p>
    <w:p>
      <w:pPr>
        <w:spacing w:after="200"/>
      </w:pPr>
      <w:r>
        <w:rPr>
          <w:color w:val="1A1A1A"/>
          <w:sz w:val="22"/>
        </w:rPr>
        <w:t>qual è la parte del tuo lavoro a cui sei più affezionato — e quanto, di quell'affetto, è paura di scoprire che non serve più?</w:t>
      </w:r>
    </w:p>
    <w:p>
      <w:r>
        <w:br w:type="page"/>
      </w:r>
    </w:p>
    <w:p>
      <w:pPr>
        <w:spacing w:before="0" w:after="120"/>
      </w:pPr>
      <w:r>
        <w:rPr>
          <w:b/>
          <w:color w:val="0A0A0A"/>
          <w:sz w:val="30"/>
        </w:rPr>
        <w:t>VARIANTE C — "Ha accettato di valere meno"</w:t>
      </w:r>
    </w:p>
    <w:p>
      <w:pPr>
        <w:spacing w:after="40"/>
      </w:pPr>
      <w:r>
        <w:rPr>
          <w:b/>
          <w:color w:val="005A8C"/>
          <w:sz w:val="21"/>
        </w:rPr>
        <w:t>Angolo strategico: Pattern interrupt / controintuitivo / curiosity-driven</w:t>
      </w:r>
    </w:p>
    <w:p>
      <w:pPr>
        <w:spacing w:after="80"/>
      </w:pPr>
      <w:r>
        <w:rPr>
          <w:i/>
          <w:color w:val="555555"/>
          <w:sz w:val="20"/>
        </w:rPr>
        <w:t>Apre negando la connessione che il lettore si aspetta («non si è adattato all'AI»): costringe a continuare per risolvere la dissonanza. È la variante più adatta a un pubblico saturo di post sull'adattamento, perché ribalta il cliché prima che il lettore possa etichettarlo. La CTA è un'accusa gentile in forma di domanda — la più efficace per far commentare chi normalmente legge e basta.</w:t>
      </w:r>
    </w:p>
    <w:p>
      <w:pPr>
        <w:spacing w:after="200"/>
      </w:pPr>
      <w:r>
        <w:rPr>
          <w:color w:val="888888"/>
          <w:sz w:val="19"/>
        </w:rPr>
        <w:t>Lunghezza: 1529 caratteri (spazi inclusi)</w:t>
      </w:r>
    </w:p>
    <w:p>
      <w:pPr>
        <w:spacing w:before="80" w:after="80"/>
      </w:pPr>
      <w:r>
        <w:rPr>
          <w:b/>
          <w:color w:val="0A0A0A"/>
          <w:sz w:val="22"/>
        </w:rPr>
        <w:t>COPY</w:t>
      </w:r>
    </w:p>
    <w:p>
      <w:pPr>
        <w:spacing w:after="200"/>
      </w:pPr>
      <w:r>
        <w:rPr>
          <w:color w:val="1A1A1A"/>
          <w:sz w:val="22"/>
        </w:rPr>
        <w:t>LeBron James non si è adattato all'AI. Probabilmente non sa nemmeno cosa sia un prompt.</w:t>
      </w:r>
    </w:p>
    <w:p>
      <w:pPr>
        <w:spacing w:after="200"/>
      </w:pPr>
      <w:r>
        <w:rPr>
          <w:color w:val="1A1A1A"/>
          <w:sz w:val="22"/>
        </w:rPr>
        <w:t>Ma venerdì ha fatto la cosa più intelligente che chiunque, in qualunque settore, possa fare nel 2026.</w:t>
      </w:r>
    </w:p>
    <w:p>
      <w:pPr>
        <w:spacing w:after="200"/>
      </w:pPr>
      <w:r>
        <w:rPr>
          <w:color w:val="1A1A1A"/>
          <w:sz w:val="22"/>
        </w:rPr>
        <w:t>Ha accettato di valere meno.</w:t>
      </w:r>
    </w:p>
    <w:p>
      <w:pPr>
        <w:spacing w:after="200"/>
      </w:pPr>
      <w:r>
        <w:rPr>
          <w:color w:val="1A1A1A"/>
          <w:sz w:val="22"/>
        </w:rPr>
        <w:t>Due anni, otto milioni con i 76ers. Per il giocatore che per vent'anni è stato il più pagato e il più decisivo del pianeta.</w:t>
      </w:r>
    </w:p>
    <w:p>
      <w:pPr>
        <w:spacing w:after="200"/>
      </w:pPr>
      <w:r>
        <w:rPr>
          <w:color w:val="1A1A1A"/>
          <w:sz w:val="22"/>
        </w:rPr>
        <w:t>E non era con le spalle al muro: Miami, Cleveland e Golden State lo volevano. Ha scelto Philadelphia, dove Embiid, Brown e Maxey hanno già il pallone in mano.</w:t>
      </w:r>
    </w:p>
    <w:p>
      <w:pPr>
        <w:spacing w:after="200"/>
      </w:pPr>
      <w:r>
        <w:rPr>
          <w:color w:val="1A1A1A"/>
          <w:sz w:val="22"/>
        </w:rPr>
        <w:t>Ha scelto di non essere più il protagonista.</w:t>
      </w:r>
    </w:p>
    <w:p>
      <w:pPr>
        <w:spacing w:after="200"/>
      </w:pPr>
      <w:r>
        <w:rPr>
          <w:color w:val="1A1A1A"/>
          <w:sz w:val="22"/>
        </w:rPr>
        <w:t>Ed è qui che quasi tutti leggono male la storia.</w:t>
      </w:r>
    </w:p>
    <w:p>
      <w:pPr>
        <w:spacing w:after="200"/>
      </w:pPr>
      <w:r>
        <w:rPr>
          <w:color w:val="1A1A1A"/>
          <w:sz w:val="22"/>
        </w:rPr>
        <w:t>Non è una parabola sul declino. È una lezione di posizionamento.</w:t>
      </w:r>
    </w:p>
    <w:p>
      <w:pPr>
        <w:spacing w:after="200"/>
      </w:pPr>
      <w:r>
        <w:rPr>
          <w:color w:val="1A1A1A"/>
          <w:sz w:val="22"/>
        </w:rPr>
        <w:t>LeBron ha capito quello che il mercato del lavoro sta urlando da due anni: il tuo valore non è quello che sai fare. È quello che serve, adesso, a chi ti paga.</w:t>
      </w:r>
    </w:p>
    <w:p>
      <w:pPr>
        <w:spacing w:after="0"/>
      </w:pPr>
      <w:r>
        <w:rPr>
          <w:color w:val="1A1A1A"/>
          <w:sz w:val="22"/>
        </w:rPr>
        <w:t>L'esplosività non serve più — a 41 anni non ce l'ha, e comunque i ventenni ce l'hanno migliore.</w:t>
      </w:r>
    </w:p>
    <w:p>
      <w:pPr>
        <w:spacing w:after="200"/>
      </w:pPr>
      <w:r>
        <w:rPr>
          <w:color w:val="1A1A1A"/>
          <w:sz w:val="22"/>
        </w:rPr>
        <w:t>La lettura del gioco sì. E quella non è in vendita da nessun'altra parte.</w:t>
      </w:r>
    </w:p>
    <w:p>
      <w:pPr>
        <w:spacing w:after="0"/>
      </w:pPr>
      <w:r>
        <w:rPr>
          <w:color w:val="1A1A1A"/>
          <w:sz w:val="22"/>
        </w:rPr>
        <w:t>Ora sostituisci "esplosività" con la parte del tuo lavoro che l'AI fa in nove secondi.</w:t>
      </w:r>
    </w:p>
    <w:p>
      <w:pPr>
        <w:spacing w:after="200"/>
      </w:pPr>
      <w:r>
        <w:rPr>
          <w:color w:val="1A1A1A"/>
          <w:sz w:val="22"/>
        </w:rPr>
        <w:t>E sostituisci "lettura del gioco" con la parte che nessun modello può fare al posto tuo: decidere cosa vale la pena fare.</w:t>
      </w:r>
    </w:p>
    <w:p>
      <w:pPr>
        <w:spacing w:after="0"/>
      </w:pPr>
      <w:r>
        <w:rPr>
          <w:color w:val="1A1A1A"/>
          <w:sz w:val="22"/>
        </w:rPr>
        <w:t>Chi si adatta non è chi impara i tool.</w:t>
      </w:r>
    </w:p>
    <w:p>
      <w:pPr>
        <w:spacing w:after="200"/>
      </w:pPr>
      <w:r>
        <w:rPr>
          <w:color w:val="1A1A1A"/>
          <w:sz w:val="22"/>
        </w:rPr>
        <w:t>Chi si adatta è chi accetta di perdere un pezzo della propria identità professionale prima che glielo tolgano.</w:t>
      </w:r>
    </w:p>
    <w:p>
      <w:pPr>
        <w:spacing w:after="200"/>
      </w:pPr>
      <w:r>
        <w:rPr>
          <w:color w:val="1A1A1A"/>
          <w:sz w:val="22"/>
        </w:rPr>
        <w:t>È scomodo. Ed è anche l'unica cosa che ha sempre funzionato.</w:t>
      </w:r>
    </w:p>
    <w:p>
      <w:pPr>
        <w:spacing w:after="200"/>
      </w:pPr>
      <w:r>
        <w:rPr>
          <w:color w:val="1A1A1A"/>
          <w:sz w:val="22"/>
        </w:rPr>
        <w:t>Quindi:</w:t>
      </w:r>
    </w:p>
    <w:p>
      <w:pPr>
        <w:spacing w:after="200"/>
      </w:pPr>
      <w:r>
        <w:rPr>
          <w:color w:val="1A1A1A"/>
          <w:sz w:val="22"/>
        </w:rPr>
        <w:t>cosa stai ancora facendo con le tue mani solo perché ti costa troppo ammettere che non serve più?</w:t>
      </w:r>
    </w:p>
    <w:p>
      <w:r>
        <w:br w:type="page"/>
      </w:r>
    </w:p>
    <w:p>
      <w:pPr>
        <w:spacing w:before="0" w:after="120"/>
      </w:pPr>
      <w:r>
        <w:rPr>
          <w:b/>
          <w:color w:val="0A0A0A"/>
          <w:sz w:val="30"/>
        </w:rPr>
        <w:t>NOTE TECNICHE</w:t>
      </w:r>
    </w:p>
    <w:p>
      <w:pPr>
        <w:spacing w:before="360" w:after="120"/>
      </w:pPr>
      <w:r>
        <w:rPr>
          <w:b/>
          <w:color w:val="1A1A1A"/>
          <w:sz w:val="24"/>
        </w:rPr>
        <w:t>Tecniche Erickson utilizzate</w:t>
      </w:r>
    </w:p>
    <w:p>
      <w:pPr>
        <w:pStyle w:val="ListBullet"/>
        <w:spacing w:after="80"/>
      </w:pPr>
      <w:r>
        <w:rPr>
          <w:b/>
          <w:sz w:val="21"/>
        </w:rPr>
        <w:t xml:space="preserve">Pattern Interrupt — </w:t>
      </w:r>
      <w:r>
        <w:rPr>
          <w:color w:val="333333"/>
          <w:sz w:val="21"/>
        </w:rPr>
        <w:t>A: apertura con dato nudo che stona («8 milioni»). C: negazione dell'aspettativa («non si è adattato all'AI»). Entrambe costringono a leggere la riga successiva per risolvere la dissonanza.</w:t>
      </w:r>
    </w:p>
    <w:p>
      <w:pPr>
        <w:pStyle w:val="ListBullet"/>
        <w:spacing w:after="80"/>
      </w:pPr>
      <w:r>
        <w:rPr>
          <w:b/>
          <w:sz w:val="21"/>
        </w:rPr>
        <w:t xml:space="preserve">Metafora isomorfica — </w:t>
      </w:r>
      <w:r>
        <w:rPr>
          <w:color w:val="333333"/>
          <w:sz w:val="21"/>
        </w:rPr>
        <w:t>Tutte e tre: la carriera di LeBron ha la stessa struttura del problema del lettore (competenza storica che perde valore di mercato). Il lettore assorbe la conclusione senza sentirsi giudicato — sta parlando di LeBron, non di sé.</w:t>
      </w:r>
    </w:p>
    <w:p>
      <w:pPr>
        <w:pStyle w:val="ListBullet"/>
        <w:spacing w:after="80"/>
      </w:pPr>
      <w:r>
        <w:rPr>
          <w:b/>
          <w:sz w:val="21"/>
        </w:rPr>
        <w:t xml:space="preserve">Pacing &amp; Leading — </w:t>
      </w:r>
      <w:r>
        <w:rPr>
          <w:color w:val="333333"/>
          <w:sz w:val="21"/>
        </w:rPr>
        <w:t>A: «C'è chi… e c'è chi…» valida entrambe le realtà prima di guidare verso la seconda. B: il pacing è emotivo («prova a immaginare cosa costa»).</w:t>
      </w:r>
    </w:p>
    <w:p>
      <w:pPr>
        <w:pStyle w:val="ListBullet"/>
        <w:spacing w:after="80"/>
      </w:pPr>
      <w:r>
        <w:rPr>
          <w:b/>
          <w:sz w:val="21"/>
        </w:rPr>
        <w:t xml:space="preserve">Presupposizione — </w:t>
      </w:r>
      <w:r>
        <w:rPr>
          <w:color w:val="333333"/>
          <w:sz w:val="21"/>
        </w:rPr>
        <w:t>La CTA di A («se dovessi rifirmare il tuo contratto domani») presuppone che il valore professionale sia già rinegoziabile. Il lettore, per rispondere, deve accettare la premessa.</w:t>
      </w:r>
    </w:p>
    <w:p>
      <w:pPr>
        <w:pStyle w:val="ListBullet"/>
        <w:spacing w:after="80"/>
      </w:pPr>
      <w:r>
        <w:rPr>
          <w:b/>
          <w:sz w:val="21"/>
        </w:rPr>
        <w:t xml:space="preserve">Embedded command — </w:t>
      </w:r>
      <w:r>
        <w:rPr>
          <w:color w:val="333333"/>
          <w:sz w:val="21"/>
        </w:rPr>
        <w:t>«Fermati un secondo su quel numero» (B), «Ora guarda la tua professione» (A), «Ora sostituisci» (C): comandi d'azione mimetizzati nel flusso narrativo.</w:t>
      </w:r>
    </w:p>
    <w:p>
      <w:pPr>
        <w:pStyle w:val="ListBullet"/>
        <w:spacing w:after="80"/>
      </w:pPr>
      <w:r>
        <w:rPr>
          <w:b/>
          <w:sz w:val="21"/>
        </w:rPr>
        <w:t xml:space="preserve">Double bind implicito — </w:t>
      </w:r>
      <w:r>
        <w:rPr>
          <w:color w:val="333333"/>
          <w:sz w:val="21"/>
        </w:rPr>
        <w:t>A: «Il primo gruppo negozia per non perdere il posto / il secondo sceglie tra tre offerte». Due opzioni apparenti, una sola desiderabile — il lettore si autoseleziona.</w:t>
      </w:r>
    </w:p>
    <w:p>
      <w:pPr>
        <w:spacing w:before="360" w:after="120"/>
      </w:pPr>
      <w:r>
        <w:rPr>
          <w:b/>
          <w:color w:val="1A1A1A"/>
          <w:sz w:val="24"/>
        </w:rPr>
        <w:t>Suggerimenti per l'A/B test</w:t>
      </w:r>
    </w:p>
    <w:p>
      <w:pPr>
        <w:pStyle w:val="ListBullet"/>
        <w:spacing w:after="60"/>
      </w:pPr>
      <w:r>
        <w:rPr>
          <w:color w:val="333333"/>
          <w:sz w:val="21"/>
        </w:rPr>
        <w:t>Non pubblicare le tre varianti a distanza ravvicinata: stesso hook + stesso pubblico = cannibalizzazione. Distanzia di almeno 3 settimane.</w:t>
      </w:r>
    </w:p>
    <w:p>
      <w:pPr>
        <w:pStyle w:val="ListBullet"/>
        <w:spacing w:after="60"/>
      </w:pPr>
      <w:r>
        <w:rPr>
          <w:color w:val="333333"/>
          <w:sz w:val="21"/>
        </w:rPr>
        <w:t>Se devi sceglierne una sola: A per un pubblico misto, B per un pubblico che ti segue già, C per un pubblico saturo di contenuti sull'AI.</w:t>
      </w:r>
    </w:p>
    <w:p>
      <w:pPr>
        <w:pStyle w:val="ListBullet"/>
        <w:spacing w:after="60"/>
      </w:pPr>
      <w:r>
        <w:rPr>
          <w:color w:val="333333"/>
          <w:sz w:val="21"/>
        </w:rPr>
        <w:t>Le prime 3 righe sono l'unica cosa visibile prima del «…altro». Il test più utile è sul solo hook, tenendo il corpo identico.</w:t>
      </w:r>
    </w:p>
    <w:p>
      <w:pPr>
        <w:pStyle w:val="ListBullet"/>
        <w:spacing w:after="60"/>
      </w:pPr>
      <w:r>
        <w:rPr>
          <w:color w:val="333333"/>
          <w:sz w:val="21"/>
        </w:rPr>
        <w:t>Testa la CTA separatamente: la domanda finale è la variabile che muove di più il volume dei commenti, a parità di corpo.</w:t>
      </w:r>
    </w:p>
    <w:p>
      <w:pPr>
        <w:pStyle w:val="ListBullet"/>
        <w:spacing w:after="60"/>
      </w:pPr>
      <w:r>
        <w:rPr>
          <w:color w:val="333333"/>
          <w:sz w:val="21"/>
        </w:rPr>
        <w:t>Nessun link nel post: su LinkedIn i link in-post deprimono la reach. Eventuale link nel primo commento.</w:t>
      </w:r>
    </w:p>
    <w:p>
      <w:pPr>
        <w:spacing w:before="360" w:after="120"/>
      </w:pPr>
      <w:r>
        <w:rPr>
          <w:b/>
          <w:color w:val="1A1A1A"/>
          <w:sz w:val="24"/>
        </w:rPr>
        <w:t>Metriche da monitorare</w:t>
      </w:r>
    </w:p>
    <w:p>
      <w:pPr>
        <w:pStyle w:val="ListBullet"/>
        <w:spacing w:after="60"/>
      </w:pPr>
      <w:r>
        <w:rPr>
          <w:color w:val="333333"/>
          <w:sz w:val="21"/>
        </w:rPr>
        <w:t>Tasso di espansione («…altro»): misura la sola tenuta dell'hook. È la metrica primaria per confrontare A / B / C.</w:t>
      </w:r>
    </w:p>
    <w:p>
      <w:pPr>
        <w:pStyle w:val="ListBullet"/>
        <w:spacing w:after="60"/>
      </w:pPr>
      <w:r>
        <w:rPr>
          <w:color w:val="333333"/>
          <w:sz w:val="21"/>
        </w:rPr>
        <w:t>Commenti / impression: obiettivo reale del post. Una domanda psicologica che funziona sta sopra lo 0,5%.</w:t>
      </w:r>
    </w:p>
    <w:p>
      <w:pPr>
        <w:pStyle w:val="ListBullet"/>
        <w:spacing w:after="60"/>
      </w:pPr>
      <w:r>
        <w:rPr>
          <w:color w:val="333333"/>
          <w:sz w:val="21"/>
        </w:rPr>
        <w:t>Lunghezza media dei commenti: proxy della profondità. B dovrebbe generare i commenti più lunghi, C i più numerosi.</w:t>
      </w:r>
    </w:p>
    <w:p>
      <w:pPr>
        <w:pStyle w:val="ListBullet"/>
        <w:spacing w:after="60"/>
      </w:pPr>
      <w:r>
        <w:rPr>
          <w:color w:val="333333"/>
          <w:sz w:val="21"/>
        </w:rPr>
        <w:t>Visite al profilo nelle 48h: è la metrica che collega il post al personal branding, non alla vanity reach.</w:t>
      </w:r>
    </w:p>
    <w:p>
      <w:pPr>
        <w:pStyle w:val="ListBullet"/>
        <w:spacing w:after="60"/>
      </w:pPr>
      <w:r>
        <w:rPr>
          <w:color w:val="333333"/>
          <w:sz w:val="21"/>
        </w:rPr>
        <w:t>Rapporto reazioni/commenti: se molto alto, il post piace ma non interroga — la CTA va resa più scomoda.</w:t>
      </w:r>
    </w:p>
    <w:p>
      <w:pPr>
        <w:spacing w:before="360" w:after="120"/>
      </w:pPr>
      <w:r>
        <w:rPr>
          <w:b/>
          <w:color w:val="1A1A1A"/>
          <w:sz w:val="24"/>
        </w:rPr>
        <w:t>Nota di accuratezza</w:t>
      </w:r>
    </w:p>
    <w:p>
      <w:pPr>
        <w:spacing w:after="120"/>
      </w:pPr>
      <w:r>
        <w:rPr>
          <w:i w:val="0"/>
          <w:color w:val="333333"/>
          <w:sz w:val="21"/>
        </w:rPr>
        <w:t>I dati sportivi citati sono verificati: LeBron James ha firmato con i Philadelphia 76ers un biennale da 8 milioni di dollari (annuncio del 24 luglio 2026, fonte ESPN), scegliendo Philadelphia — dove giocano Joel Embiid, Jaylen Brown e Tyrese Maxey — davanti a Miami Heat, Cleveland Cavaliers e Golden State Warriors. La citazione riportata è una parafrasi fedele della sua dichiarazione ufficiale. Su LinkedIn il dato verificabile è ciò che regge il post: se una cifra è sbagliata, il primo commento la corregge e l'intero ragionamento perde autorevolezza.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