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56"/>
          <w:szCs w:val="56"/>
        </w:rPr>
        <w:t xml:space="preserve">REPORT INCROCIATO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2E5C8A"/>
          <w:sz w:val="56"/>
          <w:szCs w:val="56"/>
        </w:rPr>
        <w:t xml:space="preserve">Google Ads × Niino</w:t>
      </w:r>
    </w:p>
    <w:p>
      <w:pPr>
        <w:pBdr>
          <w:bottom w:val="single" w:color="1F3864" w:sz="18" w:space="10"/>
        </w:pBdr>
        <w:spacing w:after="200"/>
      </w:pPr>
      <w:r>
        <w:rPr>
          <w:rFonts w:ascii="Calibri" w:cs="Calibri" w:eastAsia="Calibri" w:hAnsi="Calibri"/>
          <w:b/>
          <w:bCs/>
          <w:i w:val="false"/>
          <w:iCs w:val="false"/>
          <w:color w:val="2E5C8A"/>
          <w:sz w:val="30"/>
          <w:szCs w:val="30"/>
        </w:rPr>
        <w:t xml:space="preserve">Luglio 2026</w:t>
      </w:r>
    </w:p>
    <w:p>
      <w:pPr>
        <w:spacing w:after="8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0"/>
          <w:szCs w:val="20"/>
        </w:rPr>
        <w:t xml:space="preserve">Fonte 1: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Niino Advertising Performance Report — 1/07 → 31/07/2026</w:t>
      </w:r>
    </w:p>
    <w:p>
      <w:pPr>
        <w:spacing w:after="8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0"/>
          <w:szCs w:val="20"/>
        </w:rPr>
        <w:t xml:space="preserve">Fonte 2: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Google Ads, export campagne — 1–24 luglio e 1 luglio – 9 agosto 2026</w:t>
      </w:r>
    </w:p>
    <w:p>
      <w:pPr>
        <w:spacing w:after="8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0"/>
          <w:szCs w:val="20"/>
        </w:rPr>
        <w:t xml:space="preserve">Valuta: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EUR</w:t>
      </w:r>
    </w:p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2E5C8A"/>
          <w:sz w:val="19"/>
          <w:szCs w:val="19"/>
        </w:rPr>
        <w:t xml:space="preserve">AVVERTENZA SUI PERIODI</w:t>
      </w:r>
    </w:p>
    <w:tbl>
      <w:tblPr>
        <w:tblW w:type="dxa" w:w="9026"/>
        <w:tblBorders>
          <w:top w:val="single" w:color="BFC7D6" w:sz="4"/>
          <w:left w:val="none" w:color="FFFFFF" w:sz="0"/>
          <w:bottom w:val="single" w:color="BFC7D6" w:sz="4"/>
          <w:right w:val="none" w:color="FFFFFF" w:sz="0"/>
          <w:insideH w:val="single" w:color="D6DCE7" w:sz="2"/>
          <w:insideV w:val="none" w:color="FFFFFF" w:sz="0"/>
        </w:tblBorders>
      </w:tblPr>
      <w:tblGrid>
        <w:gridCol w:w="4874"/>
        <w:gridCol w:w="2708"/>
        <w:gridCol w:w="1444"/>
      </w:tblGrid>
      <w:tr>
        <w:trPr>
          <w:tblHeader/>
        </w:trPr>
        <w:tc>
          <w:tcPr>
            <w:tcW w:type="dxa" w:w="487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Fonte</w:t>
            </w:r>
          </w:p>
        </w:tc>
        <w:tc>
          <w:tcPr>
            <w:tcW w:type="dxa" w:w="2708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Periodo</w:t>
            </w:r>
          </w:p>
        </w:tc>
        <w:tc>
          <w:tcPr>
            <w:tcW w:type="dxa" w:w="144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Giorni</w:t>
            </w:r>
          </w:p>
        </w:tc>
      </w:tr>
      <w:tr>
        <w:trPr>
          <w:tblHeader w:val="false"/>
        </w:trPr>
        <w:tc>
          <w:tcPr>
            <w:tcW w:type="dxa" w:w="487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PDF Niino</w:t>
            </w:r>
          </w:p>
        </w:tc>
        <w:tc>
          <w:tcPr>
            <w:tcW w:type="dxa" w:w="270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 – 31 luglio 2026</w:t>
            </w:r>
          </w:p>
        </w:tc>
        <w:tc>
          <w:tcPr>
            <w:tcW w:type="dxa" w:w="144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31</w:t>
            </w:r>
          </w:p>
        </w:tc>
      </w:tr>
      <w:tr>
        <w:trPr>
          <w:tblHeader w:val="false"/>
        </w:trPr>
        <w:tc>
          <w:tcPr>
            <w:tcW w:type="dxa" w:w="487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CSV Google Ads (primo export)</w:t>
            </w:r>
          </w:p>
        </w:tc>
        <w:tc>
          <w:tcPr>
            <w:tcW w:type="dxa" w:w="2708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 – 24 luglio 2026</w:t>
            </w:r>
          </w:p>
        </w:tc>
        <w:tc>
          <w:tcPr>
            <w:tcW w:type="dxa" w:w="144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24</w:t>
            </w:r>
          </w:p>
        </w:tc>
      </w:tr>
      <w:tr>
        <w:trPr>
          <w:tblHeader w:val="false"/>
        </w:trPr>
        <w:tc>
          <w:tcPr>
            <w:tcW w:type="dxa" w:w="487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CSV Google Ads (PMax e Search)</w:t>
            </w:r>
          </w:p>
        </w:tc>
        <w:tc>
          <w:tcPr>
            <w:tcW w:type="dxa" w:w="270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 luglio – 9 agosto 2026</w:t>
            </w:r>
          </w:p>
        </w:tc>
        <w:tc>
          <w:tcPr>
            <w:tcW w:type="dxa" w:w="144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200" w:before="120" w:line="252"/>
        <w:ind w:left="200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19"/>
          <w:szCs w:val="19"/>
        </w:rPr>
        <w:t xml:space="preserve">Dove il confronto richiede una riproporzione, è indicata esplicitamente. I confronti esatti — quelli che non richiedono stime — sono segnalati come tali e sono la spina dorsale del report.</w:t>
      </w:r>
    </w:p>
    <w:p>
      <w:r>
        <w:br w:type="page"/>
      </w:r>
    </w:p>
    <w:p>
      <w:pPr>
        <w:pStyle w:val="Heading1"/>
        <w:pBdr>
          <w:bottom w:val="single" w:color="1F3864" w:sz="12" w:space="6"/>
        </w:pBdr>
        <w:spacing w:after="60" w:before="4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1. SINTESI ESECUTIVA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Il report Niino contiene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il dato che mancava in tutti e tre gli export Google Ads: il costo per campagna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 Con quello, e con i ricavi reali, tre domande rimaste aperte si chiudono tutte insieme — e la risposta ribalta la lettura fatta finora.</w:t>
      </w:r>
    </w:p>
    <w:p>
      <w:pPr>
        <w:pStyle w:val="Heading2"/>
        <w:spacing w:after="100" w:before="28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E5C8A"/>
          <w:sz w:val="24"/>
          <w:szCs w:val="24"/>
        </w:rPr>
        <w:t xml:space="preserve">Le tre risposte</w:t>
      </w:r>
    </w:p>
    <w:tbl>
      <w:tblPr>
        <w:tblW w:type="dxa" w:w="9026"/>
        <w:tblBorders>
          <w:top w:val="single" w:color="BFC7D6" w:sz="4"/>
          <w:left w:val="none" w:color="FFFFFF" w:sz="0"/>
          <w:bottom w:val="single" w:color="BFC7D6" w:sz="4"/>
          <w:right w:val="none" w:color="FFFFFF" w:sz="0"/>
          <w:insideH w:val="single" w:color="D6DCE7" w:sz="2"/>
          <w:insideV w:val="none" w:color="FFFFFF" w:sz="0"/>
        </w:tblBorders>
      </w:tblPr>
      <w:tblGrid>
        <w:gridCol w:w="3430"/>
        <w:gridCol w:w="5596"/>
      </w:tblGrid>
      <w:tr>
        <w:trPr>
          <w:tblHeader/>
        </w:trPr>
        <w:tc>
          <w:tcPr>
            <w:tcW w:type="dxa" w:w="343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Domanda aperta</w:t>
            </w:r>
          </w:p>
        </w:tc>
        <w:tc>
          <w:tcPr>
            <w:tcW w:type="dxa" w:w="559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Risposta dai dati Niino</w:t>
            </w:r>
          </w:p>
        </w:tc>
      </w:tr>
      <w:tr>
        <w:trPr>
          <w:tblHeader w:val="false"/>
        </w:trPr>
        <w:tc>
          <w:tcPr>
            <w:tcW w:type="dxa" w:w="343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Quanto vale davvero una chiamata?</w:t>
            </w:r>
          </w:p>
        </w:tc>
        <w:tc>
          <w:tcPr>
            <w:tcW w:type="dxa" w:w="559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€ 3,36 di fee netta. Ne costa € 19,03. Serve 5,7× il valore attuale per il pareggio</w:t>
            </w:r>
          </w:p>
        </w:tc>
      </w:tr>
      <w:tr>
        <w:trPr>
          <w:tblHeader w:val="false"/>
        </w:trPr>
        <w:tc>
          <w:tcPr>
            <w:tcW w:type="dxa" w:w="3430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Click-to-call e Calls from ads si sovrappongono?</w:t>
            </w:r>
          </w:p>
        </w:tc>
        <w:tc>
          <w:tcPr>
            <w:tcW w:type="dxa" w:w="559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Sì, quasi integralmente. Google Ads conta +59,6% di chiamate rispetto a quelle reali</w:t>
            </w:r>
          </w:p>
        </w:tc>
      </w:tr>
      <w:tr>
        <w:trPr>
          <w:tblHeader w:val="false"/>
        </w:trPr>
        <w:tc>
          <w:tcPr>
            <w:tcW w:type="dxa" w:w="343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Qual è il ROAS per campagna?</w:t>
            </w:r>
          </w:p>
        </w:tc>
        <w:tc>
          <w:tcPr>
            <w:tcW w:type="dxa" w:w="559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Una sola campagna su 22 è in profitto: PMAX | ITALIA | AMBULANZA (+€1.474). Tutte le altre perdono</w:t>
            </w:r>
          </w:p>
        </w:tc>
      </w:tr>
    </w:tbl>
    <w:p>
      <w:pPr>
        <w:pStyle w:val="Heading2"/>
        <w:spacing w:after="100" w:before="28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E5C8A"/>
          <w:sz w:val="24"/>
          <w:szCs w:val="24"/>
        </w:rPr>
        <w:t xml:space="preserve">Il quadro reale di luglio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Niino non incassa il GMV: incassa la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fee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(take rate 10,95%). L'unico ROAS che descrive il business è quello sulla fee.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6"/>
        <w:tblBorders>
          <w:top w:val="single" w:color="BFC7D6" w:sz="4"/>
          <w:left w:val="none" w:color="FFFFFF" w:sz="0"/>
          <w:bottom w:val="single" w:color="BFC7D6" w:sz="4"/>
          <w:right w:val="none" w:color="FFFFFF" w:sz="0"/>
          <w:insideH w:val="single" w:color="D6DCE7" w:sz="2"/>
          <w:insideV w:val="none" w:color="FFFFFF" w:sz="0"/>
        </w:tblBorders>
      </w:tblPr>
      <w:tblGrid>
        <w:gridCol w:w="5596"/>
        <w:gridCol w:w="3430"/>
      </w:tblGrid>
      <w:tr>
        <w:trPr>
          <w:tblHeader/>
        </w:trPr>
        <w:tc>
          <w:tcPr>
            <w:tcW w:type="dxa" w:w="559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Metrica</w:t>
            </w:r>
          </w:p>
        </w:tc>
        <w:tc>
          <w:tcPr>
            <w:tcW w:type="dxa" w:w="343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Valore</w:t>
            </w:r>
          </w:p>
        </w:tc>
      </w:tr>
      <w:tr>
        <w:trPr>
          <w:tblHeader w:val="false"/>
        </w:trPr>
        <w:tc>
          <w:tcPr>
            <w:tcW w:type="dxa" w:w="559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Spesa performance</w:t>
            </w:r>
          </w:p>
        </w:tc>
        <w:tc>
          <w:tcPr>
            <w:tcW w:type="dxa" w:w="343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€ 13.938</w:t>
            </w:r>
          </w:p>
        </w:tc>
      </w:tr>
      <w:tr>
        <w:trPr>
          <w:tblHeader w:val="false"/>
        </w:trPr>
        <w:tc>
          <w:tcPr>
            <w:tcW w:type="dxa" w:w="559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GMV net booked</w:t>
            </w:r>
          </w:p>
        </w:tc>
        <w:tc>
          <w:tcPr>
            <w:tcW w:type="dxa" w:w="3430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€ 63.969</w:t>
            </w:r>
          </w:p>
        </w:tc>
      </w:tr>
      <w:tr>
        <w:trPr>
          <w:tblHeader w:val="false"/>
        </w:trPr>
        <w:tc>
          <w:tcPr>
            <w:tcW w:type="dxa" w:w="559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ROAS GMV</w:t>
            </w:r>
          </w:p>
        </w:tc>
        <w:tc>
          <w:tcPr>
            <w:tcW w:type="dxa" w:w="343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26A00"/>
                <w:sz w:val="19"/>
                <w:szCs w:val="19"/>
              </w:rPr>
              <w:t xml:space="preserve">4,59×</w:t>
            </w:r>
          </w:p>
        </w:tc>
      </w:tr>
      <w:tr>
        <w:trPr>
          <w:tblHeader w:val="false"/>
        </w:trPr>
        <w:tc>
          <w:tcPr>
            <w:tcW w:type="dxa" w:w="559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Fee Niino netta</w:t>
            </w:r>
          </w:p>
        </w:tc>
        <w:tc>
          <w:tcPr>
            <w:tcW w:type="dxa" w:w="3430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€ 7.007</w:t>
            </w:r>
          </w:p>
        </w:tc>
      </w:tr>
      <w:tr>
        <w:trPr>
          <w:tblHeader w:val="false"/>
        </w:trPr>
        <w:tc>
          <w:tcPr>
            <w:tcW w:type="dxa" w:w="559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ROAS Fee</w:t>
            </w:r>
          </w:p>
        </w:tc>
        <w:tc>
          <w:tcPr>
            <w:tcW w:type="dxa" w:w="343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0,53×</w:t>
            </w:r>
          </w:p>
        </w:tc>
      </w:tr>
      <w:tr>
        <w:trPr>
          <w:tblHeader w:val="false"/>
        </w:trPr>
        <w:tc>
          <w:tcPr>
            <w:tcW w:type="dxa" w:w="5596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Margine netto</w:t>
            </w:r>
          </w:p>
        </w:tc>
        <w:tc>
          <w:tcPr>
            <w:tcW w:type="dxa" w:w="3430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−€ 6.931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Il ROAS GMV di 4,59× è una metrica di vanità: misura il transato dei fornitori, non il ricavo di Niino.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Sul ricavo reale l'account è a 0,53×, cioè perde 47 centesimi per ogni euro speso.</w:t>
      </w:r>
    </w:p>
    <w:p>
      <w:pPr>
        <w:pStyle w:val="Heading2"/>
        <w:spacing w:after="100" w:before="28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E5C8A"/>
          <w:sz w:val="24"/>
          <w:szCs w:val="24"/>
        </w:rPr>
        <w:t xml:space="preserve">Dove si concentra la perdita</w:t>
      </w:r>
    </w:p>
    <w:tbl>
      <w:tblPr>
        <w:tblW w:type="dxa" w:w="9026"/>
        <w:tblBorders>
          <w:top w:val="single" w:color="BFC7D6" w:sz="4"/>
          <w:left w:val="none" w:color="FFFFFF" w:sz="0"/>
          <w:bottom w:val="single" w:color="BFC7D6" w:sz="4"/>
          <w:right w:val="none" w:color="FFFFFF" w:sz="0"/>
          <w:insideH w:val="single" w:color="D6DCE7" w:sz="2"/>
          <w:insideV w:val="none" w:color="FFFFFF" w:sz="0"/>
        </w:tblBorders>
      </w:tblPr>
      <w:tblGrid>
        <w:gridCol w:w="2708"/>
        <w:gridCol w:w="1264"/>
        <w:gridCol w:w="993"/>
        <w:gridCol w:w="1173"/>
        <w:gridCol w:w="1083"/>
        <w:gridCol w:w="1805"/>
      </w:tblGrid>
      <w:tr>
        <w:trPr>
          <w:tblHeader/>
        </w:trPr>
        <w:tc>
          <w:tcPr>
            <w:tcW w:type="dxa" w:w="2708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Gruppo</w:t>
            </w:r>
          </w:p>
        </w:tc>
        <w:tc>
          <w:tcPr>
            <w:tcW w:type="dxa" w:w="126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Spesa</w:t>
            </w:r>
          </w:p>
        </w:tc>
        <w:tc>
          <w:tcPr>
            <w:tcW w:type="dxa" w:w="99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% spesa</w:t>
            </w:r>
          </w:p>
        </w:tc>
        <w:tc>
          <w:tcPr>
            <w:tcW w:type="dxa" w:w="117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Fee netta</w:t>
            </w:r>
          </w:p>
        </w:tc>
        <w:tc>
          <w:tcPr>
            <w:tcW w:type="dxa" w:w="108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ROAS Fee</w:t>
            </w:r>
          </w:p>
        </w:tc>
        <w:tc>
          <w:tcPr>
            <w:tcW w:type="dxa" w:w="1805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Margine</w:t>
            </w:r>
          </w:p>
        </w:tc>
      </w:tr>
      <w:tr>
        <w:trPr>
          <w:tblHeader w:val="false"/>
        </w:trPr>
        <w:tc>
          <w:tcPr>
            <w:tcW w:type="dxa" w:w="270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Search Chiamata (12 campagne)</w:t>
            </w:r>
          </w:p>
        </w:tc>
        <w:tc>
          <w:tcPr>
            <w:tcW w:type="dxa" w:w="126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€ 7.670</w:t>
            </w:r>
          </w:p>
        </w:tc>
        <w:tc>
          <w:tcPr>
            <w:tcW w:type="dxa" w:w="99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50,9%</w:t>
            </w:r>
          </w:p>
        </w:tc>
        <w:tc>
          <w:tcPr>
            <w:tcW w:type="dxa" w:w="117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€ 1.356</w:t>
            </w:r>
          </w:p>
        </w:tc>
        <w:tc>
          <w:tcPr>
            <w:tcW w:type="dxa" w:w="108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0,18×</w:t>
            </w:r>
          </w:p>
        </w:tc>
        <w:tc>
          <w:tcPr>
            <w:tcW w:type="dxa" w:w="180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−€ 6.314</w:t>
            </w:r>
          </w:p>
        </w:tc>
      </w:tr>
      <w:tr>
        <w:trPr>
          <w:tblHeader w:val="false"/>
        </w:trPr>
        <w:tc>
          <w:tcPr>
            <w:tcW w:type="dxa" w:w="2708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Performance Max (4 campagne)</w:t>
            </w:r>
          </w:p>
        </w:tc>
        <w:tc>
          <w:tcPr>
            <w:tcW w:type="dxa" w:w="126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€ 4.845</w:t>
            </w:r>
          </w:p>
        </w:tc>
        <w:tc>
          <w:tcPr>
            <w:tcW w:type="dxa" w:w="99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32,1%</w:t>
            </w:r>
          </w:p>
        </w:tc>
        <w:tc>
          <w:tcPr>
            <w:tcW w:type="dxa" w:w="117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€ 4.653</w:t>
            </w:r>
          </w:p>
        </w:tc>
        <w:tc>
          <w:tcPr>
            <w:tcW w:type="dxa" w:w="108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26A00"/>
                <w:sz w:val="19"/>
                <w:szCs w:val="19"/>
              </w:rPr>
              <w:t xml:space="preserve">0,96×</w:t>
            </w:r>
          </w:p>
        </w:tc>
        <w:tc>
          <w:tcPr>
            <w:tcW w:type="dxa" w:w="1805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26A00"/>
                <w:sz w:val="19"/>
                <w:szCs w:val="19"/>
              </w:rPr>
              <w:t xml:space="preserve">−€ 192</w:t>
            </w:r>
          </w:p>
        </w:tc>
      </w:tr>
      <w:tr>
        <w:trPr>
          <w:tblHeader w:val="false"/>
        </w:trPr>
        <w:tc>
          <w:tcPr>
            <w:tcW w:type="dxa" w:w="270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Search Purchase (3 campagne)</w:t>
            </w:r>
          </w:p>
        </w:tc>
        <w:tc>
          <w:tcPr>
            <w:tcW w:type="dxa" w:w="126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€ 1.422</w:t>
            </w:r>
          </w:p>
        </w:tc>
        <w:tc>
          <w:tcPr>
            <w:tcW w:type="dxa" w:w="99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9,4%</w:t>
            </w:r>
          </w:p>
        </w:tc>
        <w:tc>
          <w:tcPr>
            <w:tcW w:type="dxa" w:w="117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€ 647</w:t>
            </w:r>
          </w:p>
        </w:tc>
        <w:tc>
          <w:tcPr>
            <w:tcW w:type="dxa" w:w="108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0,45×</w:t>
            </w:r>
          </w:p>
        </w:tc>
        <w:tc>
          <w:tcPr>
            <w:tcW w:type="dxa" w:w="180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−€ 775</w:t>
            </w:r>
          </w:p>
        </w:tc>
      </w:tr>
      <w:tr>
        <w:trPr>
          <w:tblHeader w:val="false"/>
        </w:trPr>
        <w:tc>
          <w:tcPr>
            <w:tcW w:type="dxa" w:w="2708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Brand (2 campagne)</w:t>
            </w:r>
          </w:p>
        </w:tc>
        <w:tc>
          <w:tcPr>
            <w:tcW w:type="dxa" w:w="126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€ 944</w:t>
            </w:r>
          </w:p>
        </w:tc>
        <w:tc>
          <w:tcPr>
            <w:tcW w:type="dxa" w:w="99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6,3%</w:t>
            </w:r>
          </w:p>
        </w:tc>
        <w:tc>
          <w:tcPr>
            <w:tcW w:type="dxa" w:w="117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€ 100</w:t>
            </w:r>
          </w:p>
        </w:tc>
        <w:tc>
          <w:tcPr>
            <w:tcW w:type="dxa" w:w="108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0,11×</w:t>
            </w:r>
          </w:p>
        </w:tc>
        <w:tc>
          <w:tcPr>
            <w:tcW w:type="dxa" w:w="1805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−€ 844</w:t>
            </w:r>
          </w:p>
        </w:tc>
      </w:tr>
      <w:tr>
        <w:trPr>
          <w:tblHeader w:val="false"/>
        </w:trPr>
        <w:tc>
          <w:tcPr>
            <w:tcW w:type="dxa" w:w="270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Partner (1 campagna)</w:t>
            </w:r>
          </w:p>
        </w:tc>
        <w:tc>
          <w:tcPr>
            <w:tcW w:type="dxa" w:w="126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€ 195</w:t>
            </w:r>
          </w:p>
        </w:tc>
        <w:tc>
          <w:tcPr>
            <w:tcW w:type="dxa" w:w="99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1,3%</w:t>
            </w:r>
          </w:p>
        </w:tc>
        <w:tc>
          <w:tcPr>
            <w:tcW w:type="dxa" w:w="117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€ 28</w:t>
            </w:r>
          </w:p>
        </w:tc>
        <w:tc>
          <w:tcPr>
            <w:tcW w:type="dxa" w:w="108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0,14×</w:t>
            </w:r>
          </w:p>
        </w:tc>
        <w:tc>
          <w:tcPr>
            <w:tcW w:type="dxa" w:w="180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−€ 167</w:t>
            </w:r>
          </w:p>
        </w:tc>
      </w:tr>
      <w:tr>
        <w:trPr>
          <w:tblHeader w:val="false"/>
        </w:trPr>
        <w:tc>
          <w:tcPr>
            <w:tcW w:type="dxa" w:w="2708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Totale campagne con spesa</w:t>
            </w:r>
          </w:p>
        </w:tc>
        <w:tc>
          <w:tcPr>
            <w:tcW w:type="dxa" w:w="1264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€ 15.076</w:t>
            </w:r>
          </w:p>
        </w:tc>
        <w:tc>
          <w:tcPr>
            <w:tcW w:type="dxa" w:w="993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100%</w:t>
            </w:r>
          </w:p>
        </w:tc>
        <w:tc>
          <w:tcPr>
            <w:tcW w:type="dxa" w:w="1173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€ 6.784</w:t>
            </w:r>
          </w:p>
        </w:tc>
        <w:tc>
          <w:tcPr>
            <w:tcW w:type="dxa" w:w="1083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0,45×</w:t>
            </w:r>
          </w:p>
        </w:tc>
        <w:tc>
          <w:tcPr>
            <w:tcW w:type="dxa" w:w="1805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−€ 8.292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Il gruppo Search Chiamata assorbe il 50,9% della spesa e produce il 76% della perdita.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Performance Max, con un terzo della spesa, è sostanzialmente in pareggio.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Questa è la conferma — con i dati reali — di quello che i tre report su Google Ads avevano indicato lavorando solo sui proxy: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il budget è sul canale sbagliato.</w:t>
      </w:r>
    </w:p>
    <w:p>
      <w:pPr>
        <w:pStyle w:val="Heading1"/>
        <w:pBdr>
          <w:bottom w:val="single" w:color="1F3864" w:sz="12" w:space="6"/>
        </w:pBdr>
        <w:spacing w:after="60" w:before="4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2. VERIFICA DI ATTENDIBILITÀ: LE DUE FONTI COINCIDONO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Prima di incrociare i numeri, va verificato che descrivano la stessa realtà. Il test più netto disponibile è la spesa sui 24 giorni coperti da entrambe le fonti.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6"/>
        <w:tblBorders>
          <w:top w:val="single" w:color="BFC7D6" w:sz="4"/>
          <w:left w:val="none" w:color="FFFFFF" w:sz="0"/>
          <w:bottom w:val="single" w:color="BFC7D6" w:sz="4"/>
          <w:right w:val="none" w:color="FFFFFF" w:sz="0"/>
          <w:insideH w:val="single" w:color="D6DCE7" w:sz="2"/>
          <w:insideV w:val="none" w:color="FFFFFF" w:sz="0"/>
        </w:tblBorders>
      </w:tblPr>
      <w:tblGrid>
        <w:gridCol w:w="5596"/>
        <w:gridCol w:w="3430"/>
      </w:tblGrid>
      <w:tr>
        <w:trPr>
          <w:tblHeader/>
        </w:trPr>
        <w:tc>
          <w:tcPr>
            <w:tcW w:type="dxa" w:w="559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Fonte</w:t>
            </w:r>
          </w:p>
        </w:tc>
        <w:tc>
          <w:tcPr>
            <w:tcW w:type="dxa" w:w="343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Spesa Google 1–24 luglio</w:t>
            </w:r>
          </w:p>
        </w:tc>
      </w:tr>
      <w:tr>
        <w:trPr>
          <w:tblHeader w:val="false"/>
        </w:trPr>
        <w:tc>
          <w:tcPr>
            <w:tcW w:type="dxa" w:w="559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PDF Niino (somma del trend giornaliero)</w:t>
            </w:r>
          </w:p>
        </w:tc>
        <w:tc>
          <w:tcPr>
            <w:tcW w:type="dxa" w:w="343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€ 9.968,02</w:t>
            </w:r>
          </w:p>
        </w:tc>
      </w:tr>
      <w:tr>
        <w:trPr>
          <w:tblHeader w:val="false"/>
        </w:trPr>
        <w:tc>
          <w:tcPr>
            <w:tcW w:type="dxa" w:w="559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CSV Google Ads (totale account)</w:t>
            </w:r>
          </w:p>
        </w:tc>
        <w:tc>
          <w:tcPr>
            <w:tcW w:type="dxa" w:w="3430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€ 9.969,35</w:t>
            </w:r>
          </w:p>
        </w:tc>
      </w:tr>
      <w:tr>
        <w:trPr>
          <w:tblHeader w:val="false"/>
        </w:trPr>
        <w:tc>
          <w:tcPr>
            <w:tcW w:type="dxa" w:w="5596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Scarto</w:t>
            </w:r>
          </w:p>
        </w:tc>
        <w:tc>
          <w:tcPr>
            <w:tcW w:type="dxa" w:w="3430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€ 1,33 — 0,01%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Le due fonti coincidono praticamente al centesimo.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Questo è il risultato più importante del capitolo, perché stabilisce che tutto ciò che segue è un confronto reale e non un artefatto di dati disallineati.</w:t>
      </w:r>
    </w:p>
    <w:p>
      <w:pPr>
        <w:spacing w:after="1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Corollario diretto: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 problemi che emergono nel resto del report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non sono problemi di raccolta dati.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La spesa passa correttamente; è la configurazione delle conversioni dentro Google Ads a essere incompleta. È una differenza importante, perché indica dove intervenire.</w:t>
      </w:r>
    </w:p>
    <w:p>
      <w:pPr>
        <w:pStyle w:val="Heading2"/>
        <w:spacing w:after="100" w:before="28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E5C8A"/>
          <w:sz w:val="24"/>
          <w:szCs w:val="24"/>
        </w:rPr>
        <w:t xml:space="preserve">Conferma dell'accelerazione di spesa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Il trend giornaliero del PDF conferma — e supera — quanto rilevato nel report PMax: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6"/>
        <w:tblBorders>
          <w:top w:val="single" w:color="BFC7D6" w:sz="4"/>
          <w:left w:val="none" w:color="FFFFFF" w:sz="0"/>
          <w:bottom w:val="single" w:color="BFC7D6" w:sz="4"/>
          <w:right w:val="none" w:color="FFFFFF" w:sz="0"/>
          <w:insideH w:val="single" w:color="D6DCE7" w:sz="2"/>
          <w:insideV w:val="none" w:color="FFFFFF" w:sz="0"/>
        </w:tblBorders>
      </w:tblPr>
      <w:tblGrid>
        <w:gridCol w:w="5596"/>
        <w:gridCol w:w="3430"/>
      </w:tblGrid>
      <w:tr>
        <w:trPr>
          <w:tblHeader/>
        </w:trPr>
        <w:tc>
          <w:tcPr>
            <w:tcW w:type="dxa" w:w="559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Periodo</w:t>
            </w:r>
          </w:p>
        </w:tc>
        <w:tc>
          <w:tcPr>
            <w:tcW w:type="dxa" w:w="343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Spesa Google/giorno</w:t>
            </w:r>
          </w:p>
        </w:tc>
      </w:tr>
      <w:tr>
        <w:trPr>
          <w:tblHeader w:val="false"/>
        </w:trPr>
        <w:tc>
          <w:tcPr>
            <w:tcW w:type="dxa" w:w="559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 – 15 luglio</w:t>
            </w:r>
          </w:p>
        </w:tc>
        <w:tc>
          <w:tcPr>
            <w:tcW w:type="dxa" w:w="343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€ 392,99</w:t>
            </w:r>
          </w:p>
        </w:tc>
      </w:tr>
      <w:tr>
        <w:trPr>
          <w:tblHeader w:val="false"/>
        </w:trPr>
        <w:tc>
          <w:tcPr>
            <w:tcW w:type="dxa" w:w="559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16 – 31 luglio</w:t>
            </w:r>
          </w:p>
        </w:tc>
        <w:tc>
          <w:tcPr>
            <w:tcW w:type="dxa" w:w="3430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€ 523,23</w:t>
            </w:r>
          </w:p>
        </w:tc>
      </w:tr>
      <w:tr>
        <w:trPr>
          <w:tblHeader w:val="false"/>
        </w:trPr>
        <w:tc>
          <w:tcPr>
            <w:tcW w:type="dxa" w:w="559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 – 24 luglio</w:t>
            </w:r>
          </w:p>
        </w:tc>
        <w:tc>
          <w:tcPr>
            <w:tcW w:type="dxa" w:w="343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€ 415,33</w:t>
            </w:r>
          </w:p>
        </w:tc>
      </w:tr>
      <w:tr>
        <w:trPr>
          <w:tblHeader w:val="false"/>
        </w:trPr>
        <w:tc>
          <w:tcPr>
            <w:tcW w:type="dxa" w:w="5596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25 – 31 luglio</w:t>
            </w:r>
          </w:p>
        </w:tc>
        <w:tc>
          <w:tcPr>
            <w:tcW w:type="dxa" w:w="3430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€ 614,07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L'ultima settimana di luglio gira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+47,9%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al giorno rispetto alle prime tre. Il report PMax stimava €567/giorno per la finestra 25/7–9/8: il dato reale sulla sola coda di luglio è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€614,07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 L'accelerazione è stata più forte di quanto stimato.</w:t>
      </w:r>
    </w:p>
    <w:p>
      <w:r>
        <w:br w:type="page"/>
      </w:r>
    </w:p>
    <w:p>
      <w:pPr>
        <w:pStyle w:val="Heading1"/>
        <w:pBdr>
          <w:bottom w:val="single" w:color="1F3864" w:sz="12" w:space="6"/>
        </w:pBdr>
        <w:spacing w:after="60" w:before="4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3. IL RIBALTAMENTO: ROAS REALE PER CAMPAGNA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 il costo per campagna finalmente disponibile, ecco il quadro che i tre report precedenti non potevano calcolare. Ordinato per margine (fee netta − spesa).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6"/>
        <w:tblBorders>
          <w:top w:val="single" w:color="BFC7D6" w:sz="4"/>
          <w:left w:val="none" w:color="FFFFFF" w:sz="0"/>
          <w:bottom w:val="single" w:color="BFC7D6" w:sz="4"/>
          <w:right w:val="none" w:color="FFFFFF" w:sz="0"/>
          <w:insideH w:val="single" w:color="D6DCE7" w:sz="2"/>
          <w:insideV w:val="none" w:color="FFFFFF" w:sz="0"/>
        </w:tblBorders>
      </w:tblPr>
      <w:tblGrid>
        <w:gridCol w:w="3249"/>
        <w:gridCol w:w="1173"/>
        <w:gridCol w:w="993"/>
        <w:gridCol w:w="903"/>
        <w:gridCol w:w="903"/>
        <w:gridCol w:w="812"/>
        <w:gridCol w:w="993"/>
      </w:tblGrid>
      <w:tr>
        <w:trPr>
          <w:tblHeader/>
        </w:trPr>
        <w:tc>
          <w:tcPr>
            <w:tcW w:type="dxa" w:w="3249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Campagna</w:t>
            </w:r>
          </w:p>
        </w:tc>
        <w:tc>
          <w:tcPr>
            <w:tcW w:type="dxa" w:w="117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Gruppo</w:t>
            </w:r>
          </w:p>
        </w:tc>
        <w:tc>
          <w:tcPr>
            <w:tcW w:type="dxa" w:w="99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Spesa</w:t>
            </w:r>
          </w:p>
        </w:tc>
        <w:tc>
          <w:tcPr>
            <w:tcW w:type="dxa" w:w="90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Pren. nette</w:t>
            </w:r>
          </w:p>
        </w:tc>
        <w:tc>
          <w:tcPr>
            <w:tcW w:type="dxa" w:w="90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Fee netta</w:t>
            </w:r>
          </w:p>
        </w:tc>
        <w:tc>
          <w:tcPr>
            <w:tcW w:type="dxa" w:w="81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ROAS Fee</w:t>
            </w:r>
          </w:p>
        </w:tc>
        <w:tc>
          <w:tcPr>
            <w:tcW w:type="dxa" w:w="99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Margine</w:t>
            </w:r>
          </w:p>
        </w:tc>
      </w:tr>
      <w:tr>
        <w:trPr>
          <w:tblHeader w:val="false"/>
        </w:trPr>
        <w:tc>
          <w:tcPr>
            <w:tcW w:type="dxa" w:w="324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PMAX | ITALIA | AMBULANZA | PURCHASE | APP</w:t>
            </w:r>
          </w:p>
        </w:tc>
        <w:tc>
          <w:tcPr>
            <w:tcW w:type="dxa" w:w="117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PMax</w:t>
            </w:r>
          </w:p>
        </w:tc>
        <w:tc>
          <w:tcPr>
            <w:tcW w:type="dxa" w:w="99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€ 1.729</w:t>
            </w:r>
          </w:p>
        </w:tc>
        <w:tc>
          <w:tcPr>
            <w:tcW w:type="dxa" w:w="90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90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€ 3.203</w:t>
            </w:r>
          </w:p>
        </w:tc>
        <w:tc>
          <w:tcPr>
            <w:tcW w:type="dxa" w:w="81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1,85×</w:t>
            </w:r>
          </w:p>
        </w:tc>
        <w:tc>
          <w:tcPr>
            <w:tcW w:type="dxa" w:w="99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+€ 1.474</w:t>
            </w:r>
          </w:p>
        </w:tc>
      </w:tr>
      <w:tr>
        <w:trPr>
          <w:tblHeader w:val="false"/>
        </w:trPr>
        <w:tc>
          <w:tcPr>
            <w:tcW w:type="dxa" w:w="3249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SEARCH | ANZIANI | MILANO | PURCHASE</w:t>
            </w:r>
          </w:p>
        </w:tc>
        <w:tc>
          <w:tcPr>
            <w:tcW w:type="dxa" w:w="117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S. Purchase</w:t>
            </w:r>
          </w:p>
        </w:tc>
        <w:tc>
          <w:tcPr>
            <w:tcW w:type="dxa" w:w="99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€ 91</w:t>
            </w:r>
          </w:p>
        </w:tc>
        <w:tc>
          <w:tcPr>
            <w:tcW w:type="dxa" w:w="90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90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€ 47</w:t>
            </w:r>
          </w:p>
        </w:tc>
        <w:tc>
          <w:tcPr>
            <w:tcW w:type="dxa" w:w="812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0,52×</w:t>
            </w:r>
          </w:p>
        </w:tc>
        <w:tc>
          <w:tcPr>
            <w:tcW w:type="dxa" w:w="99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−€ 44</w:t>
            </w:r>
          </w:p>
        </w:tc>
      </w:tr>
      <w:tr>
        <w:trPr>
          <w:tblHeader w:val="false"/>
        </w:trPr>
        <w:tc>
          <w:tcPr>
            <w:tcW w:type="dxa" w:w="324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SEARCH | AMBULANZA | CHIAMATA | VARESE 2</w:t>
            </w:r>
          </w:p>
        </w:tc>
        <w:tc>
          <w:tcPr>
            <w:tcW w:type="dxa" w:w="117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S. Chiamata</w:t>
            </w:r>
          </w:p>
        </w:tc>
        <w:tc>
          <w:tcPr>
            <w:tcW w:type="dxa" w:w="99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€ 158</w:t>
            </w:r>
          </w:p>
        </w:tc>
        <w:tc>
          <w:tcPr>
            <w:tcW w:type="dxa" w:w="90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90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€ 21</w:t>
            </w:r>
          </w:p>
        </w:tc>
        <w:tc>
          <w:tcPr>
            <w:tcW w:type="dxa" w:w="81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0,13×</w:t>
            </w:r>
          </w:p>
        </w:tc>
        <w:tc>
          <w:tcPr>
            <w:tcW w:type="dxa" w:w="99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−€ 137</w:t>
            </w:r>
          </w:p>
        </w:tc>
      </w:tr>
      <w:tr>
        <w:trPr>
          <w:tblHeader w:val="false"/>
        </w:trPr>
        <w:tc>
          <w:tcPr>
            <w:tcW w:type="dxa" w:w="3249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SEARCH | AMBULANZA | CHIAMATA | PALERMO</w:t>
            </w:r>
          </w:p>
        </w:tc>
        <w:tc>
          <w:tcPr>
            <w:tcW w:type="dxa" w:w="117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S. Chiamata</w:t>
            </w:r>
          </w:p>
        </w:tc>
        <w:tc>
          <w:tcPr>
            <w:tcW w:type="dxa" w:w="99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€ 298</w:t>
            </w:r>
          </w:p>
        </w:tc>
        <w:tc>
          <w:tcPr>
            <w:tcW w:type="dxa" w:w="90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90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€ 149</w:t>
            </w:r>
          </w:p>
        </w:tc>
        <w:tc>
          <w:tcPr>
            <w:tcW w:type="dxa" w:w="812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0,50×</w:t>
            </w:r>
          </w:p>
        </w:tc>
        <w:tc>
          <w:tcPr>
            <w:tcW w:type="dxa" w:w="99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−€ 149</w:t>
            </w:r>
          </w:p>
        </w:tc>
      </w:tr>
      <w:tr>
        <w:trPr>
          <w:tblHeader w:val="false"/>
        </w:trPr>
        <w:tc>
          <w:tcPr>
            <w:tcW w:type="dxa" w:w="324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SEARCH | AMBULANZA | CHIAMATA | BARI</w:t>
            </w:r>
          </w:p>
        </w:tc>
        <w:tc>
          <w:tcPr>
            <w:tcW w:type="dxa" w:w="117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S. Chiamata</w:t>
            </w:r>
          </w:p>
        </w:tc>
        <w:tc>
          <w:tcPr>
            <w:tcW w:type="dxa" w:w="99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€ 182</w:t>
            </w:r>
          </w:p>
        </w:tc>
        <w:tc>
          <w:tcPr>
            <w:tcW w:type="dxa" w:w="90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90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€ 23</w:t>
            </w:r>
          </w:p>
        </w:tc>
        <w:tc>
          <w:tcPr>
            <w:tcW w:type="dxa" w:w="81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0,13×</w:t>
            </w:r>
          </w:p>
        </w:tc>
        <w:tc>
          <w:tcPr>
            <w:tcW w:type="dxa" w:w="99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−€ 159</w:t>
            </w:r>
          </w:p>
        </w:tc>
      </w:tr>
      <w:tr>
        <w:trPr>
          <w:tblHeader w:val="false"/>
        </w:trPr>
        <w:tc>
          <w:tcPr>
            <w:tcW w:type="dxa" w:w="3249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SEARCH | AMBULANZA | PURCHASE | ROMA</w:t>
            </w:r>
          </w:p>
        </w:tc>
        <w:tc>
          <w:tcPr>
            <w:tcW w:type="dxa" w:w="117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S. Purchase</w:t>
            </w:r>
          </w:p>
        </w:tc>
        <w:tc>
          <w:tcPr>
            <w:tcW w:type="dxa" w:w="99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€ 434</w:t>
            </w:r>
          </w:p>
        </w:tc>
        <w:tc>
          <w:tcPr>
            <w:tcW w:type="dxa" w:w="90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90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€ 268</w:t>
            </w:r>
          </w:p>
        </w:tc>
        <w:tc>
          <w:tcPr>
            <w:tcW w:type="dxa" w:w="812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0,62×</w:t>
            </w:r>
          </w:p>
        </w:tc>
        <w:tc>
          <w:tcPr>
            <w:tcW w:type="dxa" w:w="99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−€ 166</w:t>
            </w:r>
          </w:p>
        </w:tc>
      </w:tr>
      <w:tr>
        <w:trPr>
          <w:tblHeader w:val="false"/>
        </w:trPr>
        <w:tc>
          <w:tcPr>
            <w:tcW w:type="dxa" w:w="324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sconto-doctorapp (Partnership)</w:t>
            </w:r>
          </w:p>
        </w:tc>
        <w:tc>
          <w:tcPr>
            <w:tcW w:type="dxa" w:w="117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Partner</w:t>
            </w:r>
          </w:p>
        </w:tc>
        <w:tc>
          <w:tcPr>
            <w:tcW w:type="dxa" w:w="99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€ 195</w:t>
            </w:r>
          </w:p>
        </w:tc>
        <w:tc>
          <w:tcPr>
            <w:tcW w:type="dxa" w:w="90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90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€ 28</w:t>
            </w:r>
          </w:p>
        </w:tc>
        <w:tc>
          <w:tcPr>
            <w:tcW w:type="dxa" w:w="81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0,14×</w:t>
            </w:r>
          </w:p>
        </w:tc>
        <w:tc>
          <w:tcPr>
            <w:tcW w:type="dxa" w:w="99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−€ 167</w:t>
            </w:r>
          </w:p>
        </w:tc>
      </w:tr>
      <w:tr>
        <w:trPr>
          <w:tblHeader w:val="false"/>
        </w:trPr>
        <w:tc>
          <w:tcPr>
            <w:tcW w:type="dxa" w:w="3249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SEARCH | MILANO | DIMISSIONI | CHIAMATA</w:t>
            </w:r>
          </w:p>
        </w:tc>
        <w:tc>
          <w:tcPr>
            <w:tcW w:type="dxa" w:w="117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S. Chiamata</w:t>
            </w:r>
          </w:p>
        </w:tc>
        <w:tc>
          <w:tcPr>
            <w:tcW w:type="dxa" w:w="99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€ 588</w:t>
            </w:r>
          </w:p>
        </w:tc>
        <w:tc>
          <w:tcPr>
            <w:tcW w:type="dxa" w:w="90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90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€ 420</w:t>
            </w:r>
          </w:p>
        </w:tc>
        <w:tc>
          <w:tcPr>
            <w:tcW w:type="dxa" w:w="812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0,71×</w:t>
            </w:r>
          </w:p>
        </w:tc>
        <w:tc>
          <w:tcPr>
            <w:tcW w:type="dxa" w:w="99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−€ 168</w:t>
            </w:r>
          </w:p>
        </w:tc>
      </w:tr>
      <w:tr>
        <w:trPr>
          <w:tblHeader w:val="false"/>
        </w:trPr>
        <w:tc>
          <w:tcPr>
            <w:tcW w:type="dxa" w:w="324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PMAX | PIEMONTE | AMBULANZA | PURCHASE | APP</w:t>
            </w:r>
          </w:p>
        </w:tc>
        <w:tc>
          <w:tcPr>
            <w:tcW w:type="dxa" w:w="117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PMax</w:t>
            </w:r>
          </w:p>
        </w:tc>
        <w:tc>
          <w:tcPr>
            <w:tcW w:type="dxa" w:w="99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€ 1.246</w:t>
            </w:r>
          </w:p>
        </w:tc>
        <w:tc>
          <w:tcPr>
            <w:tcW w:type="dxa" w:w="90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90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€ 1.035</w:t>
            </w:r>
          </w:p>
        </w:tc>
        <w:tc>
          <w:tcPr>
            <w:tcW w:type="dxa" w:w="81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0,83×</w:t>
            </w:r>
          </w:p>
        </w:tc>
        <w:tc>
          <w:tcPr>
            <w:tcW w:type="dxa" w:w="99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−€ 211</w:t>
            </w:r>
          </w:p>
        </w:tc>
      </w:tr>
      <w:tr>
        <w:trPr>
          <w:tblHeader w:val="false"/>
        </w:trPr>
        <w:tc>
          <w:tcPr>
            <w:tcW w:type="dxa" w:w="3249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SEARCH | AMBULANZA | CHIAMATA | AGRIGENTO</w:t>
            </w:r>
          </w:p>
        </w:tc>
        <w:tc>
          <w:tcPr>
            <w:tcW w:type="dxa" w:w="117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S. Chiamata</w:t>
            </w:r>
          </w:p>
        </w:tc>
        <w:tc>
          <w:tcPr>
            <w:tcW w:type="dxa" w:w="99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€ 228</w:t>
            </w:r>
          </w:p>
        </w:tc>
        <w:tc>
          <w:tcPr>
            <w:tcW w:type="dxa" w:w="90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90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€ 13</w:t>
            </w:r>
          </w:p>
        </w:tc>
        <w:tc>
          <w:tcPr>
            <w:tcW w:type="dxa" w:w="812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0,06×</w:t>
            </w:r>
          </w:p>
        </w:tc>
        <w:tc>
          <w:tcPr>
            <w:tcW w:type="dxa" w:w="99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−€ 215</w:t>
            </w:r>
          </w:p>
        </w:tc>
      </w:tr>
      <w:tr>
        <w:trPr>
          <w:tblHeader w:val="false"/>
        </w:trPr>
        <w:tc>
          <w:tcPr>
            <w:tcW w:type="dxa" w:w="324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SN - 1225 - Brand</w:t>
            </w:r>
          </w:p>
        </w:tc>
        <w:tc>
          <w:tcPr>
            <w:tcW w:type="dxa" w:w="117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Brand</w:t>
            </w:r>
          </w:p>
        </w:tc>
        <w:tc>
          <w:tcPr>
            <w:tcW w:type="dxa" w:w="99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€ 329</w:t>
            </w:r>
          </w:p>
        </w:tc>
        <w:tc>
          <w:tcPr>
            <w:tcW w:type="dxa" w:w="90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90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€ 100</w:t>
            </w:r>
          </w:p>
        </w:tc>
        <w:tc>
          <w:tcPr>
            <w:tcW w:type="dxa" w:w="81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0,30×</w:t>
            </w:r>
          </w:p>
        </w:tc>
        <w:tc>
          <w:tcPr>
            <w:tcW w:type="dxa" w:w="99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−€ 229</w:t>
            </w:r>
          </w:p>
        </w:tc>
      </w:tr>
      <w:tr>
        <w:trPr>
          <w:tblHeader w:val="false"/>
        </w:trPr>
        <w:tc>
          <w:tcPr>
            <w:tcW w:type="dxa" w:w="3249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PMAX | ITALIA | AEREO | PURCHASE</w:t>
            </w:r>
          </w:p>
        </w:tc>
        <w:tc>
          <w:tcPr>
            <w:tcW w:type="dxa" w:w="117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PMax</w:t>
            </w:r>
          </w:p>
        </w:tc>
        <w:tc>
          <w:tcPr>
            <w:tcW w:type="dxa" w:w="99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€ 604</w:t>
            </w:r>
          </w:p>
        </w:tc>
        <w:tc>
          <w:tcPr>
            <w:tcW w:type="dxa" w:w="90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90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€ 273</w:t>
            </w:r>
          </w:p>
        </w:tc>
        <w:tc>
          <w:tcPr>
            <w:tcW w:type="dxa" w:w="812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0,45×</w:t>
            </w:r>
          </w:p>
        </w:tc>
        <w:tc>
          <w:tcPr>
            <w:tcW w:type="dxa" w:w="99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−€ 331</w:t>
            </w:r>
          </w:p>
        </w:tc>
      </w:tr>
      <w:tr>
        <w:trPr>
          <w:tblHeader w:val="false"/>
        </w:trPr>
        <w:tc>
          <w:tcPr>
            <w:tcW w:type="dxa" w:w="324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SEARCH | AMBULANZA | CHIAMATA | BOLOGNA</w:t>
            </w:r>
          </w:p>
        </w:tc>
        <w:tc>
          <w:tcPr>
            <w:tcW w:type="dxa" w:w="117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S. Chiamata</w:t>
            </w:r>
          </w:p>
        </w:tc>
        <w:tc>
          <w:tcPr>
            <w:tcW w:type="dxa" w:w="99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€ 449</w:t>
            </w:r>
          </w:p>
        </w:tc>
        <w:tc>
          <w:tcPr>
            <w:tcW w:type="dxa" w:w="90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90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€ 94</w:t>
            </w:r>
          </w:p>
        </w:tc>
        <w:tc>
          <w:tcPr>
            <w:tcW w:type="dxa" w:w="81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0,21×</w:t>
            </w:r>
          </w:p>
        </w:tc>
        <w:tc>
          <w:tcPr>
            <w:tcW w:type="dxa" w:w="99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−€ 355</w:t>
            </w:r>
          </w:p>
        </w:tc>
      </w:tr>
      <w:tr>
        <w:trPr>
          <w:tblHeader w:val="false"/>
        </w:trPr>
        <w:tc>
          <w:tcPr>
            <w:tcW w:type="dxa" w:w="3249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SEARCH | AMBULANZA | CHIAMATA | TORINO</w:t>
            </w:r>
          </w:p>
        </w:tc>
        <w:tc>
          <w:tcPr>
            <w:tcW w:type="dxa" w:w="117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S. Chiamata</w:t>
            </w:r>
          </w:p>
        </w:tc>
        <w:tc>
          <w:tcPr>
            <w:tcW w:type="dxa" w:w="99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€ 636</w:t>
            </w:r>
          </w:p>
        </w:tc>
        <w:tc>
          <w:tcPr>
            <w:tcW w:type="dxa" w:w="90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90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€ 131</w:t>
            </w:r>
          </w:p>
        </w:tc>
        <w:tc>
          <w:tcPr>
            <w:tcW w:type="dxa" w:w="812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0,21×</w:t>
            </w:r>
          </w:p>
        </w:tc>
        <w:tc>
          <w:tcPr>
            <w:tcW w:type="dxa" w:w="99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−€ 505</w:t>
            </w:r>
          </w:p>
        </w:tc>
      </w:tr>
      <w:tr>
        <w:trPr>
          <w:tblHeader w:val="false"/>
        </w:trPr>
        <w:tc>
          <w:tcPr>
            <w:tcW w:type="dxa" w:w="324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SEARCH | AMBULANZA | PURCHASE | MILANO</w:t>
            </w:r>
          </w:p>
        </w:tc>
        <w:tc>
          <w:tcPr>
            <w:tcW w:type="dxa" w:w="117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S. Purchase</w:t>
            </w:r>
          </w:p>
        </w:tc>
        <w:tc>
          <w:tcPr>
            <w:tcW w:type="dxa" w:w="99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€ 897</w:t>
            </w:r>
          </w:p>
        </w:tc>
        <w:tc>
          <w:tcPr>
            <w:tcW w:type="dxa" w:w="90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90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€ 332</w:t>
            </w:r>
          </w:p>
        </w:tc>
        <w:tc>
          <w:tcPr>
            <w:tcW w:type="dxa" w:w="81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0,37×</w:t>
            </w:r>
          </w:p>
        </w:tc>
        <w:tc>
          <w:tcPr>
            <w:tcW w:type="dxa" w:w="99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−€ 565</w:t>
            </w:r>
          </w:p>
        </w:tc>
      </w:tr>
      <w:tr>
        <w:trPr>
          <w:tblHeader w:val="false"/>
        </w:trPr>
        <w:tc>
          <w:tcPr>
            <w:tcW w:type="dxa" w:w="3249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IG - FOLLERS (Meta)</w:t>
            </w:r>
          </w:p>
        </w:tc>
        <w:tc>
          <w:tcPr>
            <w:tcW w:type="dxa" w:w="117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Brand</w:t>
            </w:r>
          </w:p>
        </w:tc>
        <w:tc>
          <w:tcPr>
            <w:tcW w:type="dxa" w:w="99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€ 615</w:t>
            </w:r>
          </w:p>
        </w:tc>
        <w:tc>
          <w:tcPr>
            <w:tcW w:type="dxa" w:w="90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90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€ 0</w:t>
            </w:r>
          </w:p>
        </w:tc>
        <w:tc>
          <w:tcPr>
            <w:tcW w:type="dxa" w:w="812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0,00×</w:t>
            </w:r>
          </w:p>
        </w:tc>
        <w:tc>
          <w:tcPr>
            <w:tcW w:type="dxa" w:w="99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−€ 615</w:t>
            </w:r>
          </w:p>
        </w:tc>
      </w:tr>
      <w:tr>
        <w:trPr>
          <w:tblHeader w:val="false"/>
        </w:trPr>
        <w:tc>
          <w:tcPr>
            <w:tcW w:type="dxa" w:w="324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SEARCH | CHIAMATA | LUNGA PERCORRENZA (in pausa)</w:t>
            </w:r>
          </w:p>
        </w:tc>
        <w:tc>
          <w:tcPr>
            <w:tcW w:type="dxa" w:w="117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S. Chiamata</w:t>
            </w:r>
          </w:p>
        </w:tc>
        <w:tc>
          <w:tcPr>
            <w:tcW w:type="dxa" w:w="99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€ 755</w:t>
            </w:r>
          </w:p>
        </w:tc>
        <w:tc>
          <w:tcPr>
            <w:tcW w:type="dxa" w:w="90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90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€ 0</w:t>
            </w:r>
          </w:p>
        </w:tc>
        <w:tc>
          <w:tcPr>
            <w:tcW w:type="dxa" w:w="81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0,00×</w:t>
            </w:r>
          </w:p>
        </w:tc>
        <w:tc>
          <w:tcPr>
            <w:tcW w:type="dxa" w:w="99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−€ 755</w:t>
            </w:r>
          </w:p>
        </w:tc>
      </w:tr>
      <w:tr>
        <w:trPr>
          <w:tblHeader w:val="false"/>
        </w:trPr>
        <w:tc>
          <w:tcPr>
            <w:tcW w:type="dxa" w:w="3249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SEARCH | AMBULANZA | CHIAMATA | MILANO</w:t>
            </w:r>
          </w:p>
        </w:tc>
        <w:tc>
          <w:tcPr>
            <w:tcW w:type="dxa" w:w="117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S. Chiamata</w:t>
            </w:r>
          </w:p>
        </w:tc>
        <w:tc>
          <w:tcPr>
            <w:tcW w:type="dxa" w:w="99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€ 984</w:t>
            </w:r>
          </w:p>
        </w:tc>
        <w:tc>
          <w:tcPr>
            <w:tcW w:type="dxa" w:w="90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90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€ 126</w:t>
            </w:r>
          </w:p>
        </w:tc>
        <w:tc>
          <w:tcPr>
            <w:tcW w:type="dxa" w:w="812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0,13×</w:t>
            </w:r>
          </w:p>
        </w:tc>
        <w:tc>
          <w:tcPr>
            <w:tcW w:type="dxa" w:w="99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−€ 858</w:t>
            </w:r>
          </w:p>
        </w:tc>
      </w:tr>
      <w:tr>
        <w:trPr>
          <w:tblHeader w:val="false"/>
        </w:trPr>
        <w:tc>
          <w:tcPr>
            <w:tcW w:type="dxa" w:w="324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SEARCH | AMBULANZA | CHIAMATA | ROMA</w:t>
            </w:r>
          </w:p>
        </w:tc>
        <w:tc>
          <w:tcPr>
            <w:tcW w:type="dxa" w:w="117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S. Chiamata</w:t>
            </w:r>
          </w:p>
        </w:tc>
        <w:tc>
          <w:tcPr>
            <w:tcW w:type="dxa" w:w="99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€ 984</w:t>
            </w:r>
          </w:p>
        </w:tc>
        <w:tc>
          <w:tcPr>
            <w:tcW w:type="dxa" w:w="90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90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€ 71</w:t>
            </w:r>
          </w:p>
        </w:tc>
        <w:tc>
          <w:tcPr>
            <w:tcW w:type="dxa" w:w="81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0,07×</w:t>
            </w:r>
          </w:p>
        </w:tc>
        <w:tc>
          <w:tcPr>
            <w:tcW w:type="dxa" w:w="99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−€ 913</w:t>
            </w:r>
          </w:p>
        </w:tc>
      </w:tr>
      <w:tr>
        <w:trPr>
          <w:tblHeader w:val="false"/>
        </w:trPr>
        <w:tc>
          <w:tcPr>
            <w:tcW w:type="dxa" w:w="3249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SEARCH | CHIAMATA | LUNGA PERCORRENZA (attiva)</w:t>
            </w:r>
          </w:p>
        </w:tc>
        <w:tc>
          <w:tcPr>
            <w:tcW w:type="dxa" w:w="117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S. Chiamata</w:t>
            </w:r>
          </w:p>
        </w:tc>
        <w:tc>
          <w:tcPr>
            <w:tcW w:type="dxa" w:w="99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€ 1.241</w:t>
            </w:r>
          </w:p>
        </w:tc>
        <w:tc>
          <w:tcPr>
            <w:tcW w:type="dxa" w:w="90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90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€ 202</w:t>
            </w:r>
          </w:p>
        </w:tc>
        <w:tc>
          <w:tcPr>
            <w:tcW w:type="dxa" w:w="812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0,16×</w:t>
            </w:r>
          </w:p>
        </w:tc>
        <w:tc>
          <w:tcPr>
            <w:tcW w:type="dxa" w:w="99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−€ 1.039</w:t>
            </w:r>
          </w:p>
        </w:tc>
      </w:tr>
      <w:tr>
        <w:trPr>
          <w:tblHeader w:val="false"/>
        </w:trPr>
        <w:tc>
          <w:tcPr>
            <w:tcW w:type="dxa" w:w="324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SEARCH | AMBULANZA | CHIAMATA | PUGLIA</w:t>
            </w:r>
          </w:p>
        </w:tc>
        <w:tc>
          <w:tcPr>
            <w:tcW w:type="dxa" w:w="117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S. Chiamata</w:t>
            </w:r>
          </w:p>
        </w:tc>
        <w:tc>
          <w:tcPr>
            <w:tcW w:type="dxa" w:w="99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€ 1.167</w:t>
            </w:r>
          </w:p>
        </w:tc>
        <w:tc>
          <w:tcPr>
            <w:tcW w:type="dxa" w:w="90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90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€ 106</w:t>
            </w:r>
          </w:p>
        </w:tc>
        <w:tc>
          <w:tcPr>
            <w:tcW w:type="dxa" w:w="81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0,09×</w:t>
            </w:r>
          </w:p>
        </w:tc>
        <w:tc>
          <w:tcPr>
            <w:tcW w:type="dxa" w:w="99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−€ 1.061</w:t>
            </w:r>
          </w:p>
        </w:tc>
      </w:tr>
      <w:tr>
        <w:trPr>
          <w:tblHeader w:val="false"/>
        </w:trPr>
        <w:tc>
          <w:tcPr>
            <w:tcW w:type="dxa" w:w="3249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PMAX | LOMBARDIA | AMBULANZA | PURCHASE | APP</w:t>
            </w:r>
          </w:p>
        </w:tc>
        <w:tc>
          <w:tcPr>
            <w:tcW w:type="dxa" w:w="117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PMax</w:t>
            </w:r>
          </w:p>
        </w:tc>
        <w:tc>
          <w:tcPr>
            <w:tcW w:type="dxa" w:w="99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€ 1.266</w:t>
            </w:r>
          </w:p>
        </w:tc>
        <w:tc>
          <w:tcPr>
            <w:tcW w:type="dxa" w:w="90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90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€ 142</w:t>
            </w:r>
          </w:p>
        </w:tc>
        <w:tc>
          <w:tcPr>
            <w:tcW w:type="dxa" w:w="812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0,11×</w:t>
            </w:r>
          </w:p>
        </w:tc>
        <w:tc>
          <w:tcPr>
            <w:tcW w:type="dxa" w:w="99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−€ 1.124</w:t>
            </w:r>
          </w:p>
        </w:tc>
      </w:tr>
      <w:tr>
        <w:trPr>
          <w:tblHeader w:val="false"/>
        </w:trPr>
        <w:tc>
          <w:tcPr>
            <w:tcW w:type="dxa" w:w="3249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Totale</w:t>
            </w:r>
          </w:p>
        </w:tc>
        <w:tc>
          <w:tcPr>
            <w:tcW w:type="dxa" w:w="1173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993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€ 15.076</w:t>
            </w:r>
          </w:p>
        </w:tc>
        <w:tc>
          <w:tcPr>
            <w:tcW w:type="dxa" w:w="903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124</w:t>
            </w:r>
          </w:p>
        </w:tc>
        <w:tc>
          <w:tcPr>
            <w:tcW w:type="dxa" w:w="903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€ 6.784</w:t>
            </w:r>
          </w:p>
        </w:tc>
        <w:tc>
          <w:tcPr>
            <w:tcW w:type="dxa" w:w="812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0,45×</w:t>
            </w:r>
          </w:p>
        </w:tc>
        <w:tc>
          <w:tcPr>
            <w:tcW w:type="dxa" w:w="993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−€ 8.292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8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E5C8A"/>
          <w:sz w:val="24"/>
          <w:szCs w:val="24"/>
        </w:rPr>
        <w:t xml:space="preserve">Cinque letture</w:t>
      </w:r>
    </w:p>
    <w:p>
      <w:pPr>
        <w:spacing w:after="1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1. Una campagna su 22 produce margine.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PMAX | ITALIA | AMBULANZA | PURCHASE | APP genera +€1.474 con €1.729 di spesa. È l'unica. Tutte le altre 21 campagne dell'account, insieme, perdono €9.766.</w:t>
      </w:r>
    </w:p>
    <w:p>
      <w:pPr>
        <w:spacing w:after="1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2. Le cinque campagne peggiori bruciano €4.995 di margine.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Lombardia (−€1.124), Puglia (−€1.061), Lunga Percorrenza attiva (−€1.039), Roma chiamata (−€913), Milano chiamata (−€858). Insieme spendono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€5.642 — il 37,4% del budget dell'account — per €647 di fee.</w:t>
      </w:r>
    </w:p>
    <w:p>
      <w:pPr>
        <w:spacing w:after="1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3. SEARCH | CHIAMATA | LUNGA PERCORRENZA in pausa ha comunque speso €755 senza produrre nulla.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Zero prenotazioni, zero fee. È spesa completamente persa e va verificata: una campagna in pausa che spende €755 in un mese è un'anomalia da chiarire in piattaforma.</w:t>
      </w:r>
    </w:p>
    <w:p>
      <w:pPr>
        <w:spacing w:after="1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4. Le priorità dei report precedenti sono confermate, con una eccezione.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Agrigento, Varese 2 e Bari — che il report Search indicava da chiudere per volumi insufficienti — sono effettivamente in fondo alla classifica. Ma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Lombardia, che il report PMax indicava da chiudere, risulta la campagna peggiore in assoluto dell'intero account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: −€1.124 di margine, ROAS Fee 0,11×. La decisione era giusta; l'urgenza era sottostimata.</w:t>
      </w:r>
    </w:p>
    <w:p>
      <w:pPr>
        <w:spacing w:after="1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5. Il ticket medio di ITALIA | AMBULANZA è fuori scala.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€37.752 di GMV netto su 14 prenotazioni nette fanno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€2.697 per prenotazione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contro una media account di €481. La campagna che regge il conto economico dell'account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poggia su pochi trasferimenti ad altissimo valore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: con 14 prenotazioni, il risultato è concentrato e volatile. Va monitorato mensilmente, non trattato come una base stabile.</w:t>
      </w:r>
    </w:p>
    <w:p>
      <w:r>
        <w:br w:type="page"/>
      </w:r>
    </w:p>
    <w:p>
      <w:pPr>
        <w:pStyle w:val="Heading1"/>
        <w:pBdr>
          <w:bottom w:val="single" w:color="1F3864" w:sz="12" w:space="6"/>
        </w:pBdr>
        <w:spacing w:after="60" w:before="4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4. LE CHIAMATE: LA DOMANDA APERTA HA UNA RISPOSTA, ED È NEGATIVA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Il report Search si fermava qui: "finché una chiamata non ha un valore, la Search non è ottimizzabile". Il PDF fornisce il valore.</w:t>
      </w:r>
    </w:p>
    <w:p>
      <w:pPr>
        <w:pStyle w:val="Heading2"/>
        <w:spacing w:after="100" w:before="28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E5C8A"/>
          <w:sz w:val="24"/>
          <w:szCs w:val="24"/>
        </w:rPr>
        <w:t xml:space="preserve">Il doppio conteggio è confermato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Confronto tra le conversioni-chiamata di Google Ads (riproporzionate da 40 a 31 giorni) e le chiamate realmente registrate da Niino sul canale google_ads: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6"/>
        <w:tblBorders>
          <w:top w:val="single" w:color="BFC7D6" w:sz="4"/>
          <w:left w:val="none" w:color="FFFFFF" w:sz="0"/>
          <w:bottom w:val="single" w:color="BFC7D6" w:sz="4"/>
          <w:right w:val="none" w:color="FFFFFF" w:sz="0"/>
          <w:insideH w:val="single" w:color="D6DCE7" w:sz="2"/>
          <w:insideV w:val="none" w:color="FFFFFF" w:sz="0"/>
        </w:tblBorders>
      </w:tblPr>
      <w:tblGrid>
        <w:gridCol w:w="4874"/>
        <w:gridCol w:w="2166"/>
        <w:gridCol w:w="1986"/>
      </w:tblGrid>
      <w:tr>
        <w:trPr>
          <w:tblHeader/>
        </w:trPr>
        <w:tc>
          <w:tcPr>
            <w:tcW w:type="dxa" w:w="487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Fonte</w:t>
            </w:r>
          </w:p>
        </w:tc>
        <w:tc>
          <w:tcPr>
            <w:tcW w:type="dxa" w:w="216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Chiamate (31 gg)</w:t>
            </w:r>
          </w:p>
        </w:tc>
        <w:tc>
          <w:tcPr>
            <w:tcW w:type="dxa" w:w="198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Scarto vs reale</w:t>
            </w:r>
          </w:p>
        </w:tc>
      </w:tr>
      <w:tr>
        <w:trPr>
          <w:tblHeader w:val="false"/>
        </w:trPr>
        <w:tc>
          <w:tcPr>
            <w:tcW w:type="dxa" w:w="487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Google Ads — Click-to-call</w:t>
            </w:r>
          </w:p>
        </w:tc>
        <w:tc>
          <w:tcPr>
            <w:tcW w:type="dxa" w:w="216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397,7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−1,3%</w:t>
            </w:r>
          </w:p>
        </w:tc>
      </w:tr>
      <w:tr>
        <w:trPr>
          <w:tblHeader w:val="false"/>
        </w:trPr>
        <w:tc>
          <w:tcPr>
            <w:tcW w:type="dxa" w:w="487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Google Ads — Calls from ads</w:t>
            </w:r>
          </w:p>
        </w:tc>
        <w:tc>
          <w:tcPr>
            <w:tcW w:type="dxa" w:w="216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245,6</w:t>
            </w:r>
          </w:p>
        </w:tc>
        <w:tc>
          <w:tcPr>
            <w:tcW w:type="dxa" w:w="198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487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Google Ads — totale conversioni chiamata</w:t>
            </w:r>
          </w:p>
        </w:tc>
        <w:tc>
          <w:tcPr>
            <w:tcW w:type="dxa" w:w="216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643,3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+59,6%</w:t>
            </w:r>
          </w:p>
        </w:tc>
      </w:tr>
      <w:tr>
        <w:trPr>
          <w:tblHeader w:val="false"/>
        </w:trPr>
        <w:tc>
          <w:tcPr>
            <w:tcW w:type="dxa" w:w="4874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Niino — chiamate reali da google_ads</w:t>
            </w:r>
          </w:p>
        </w:tc>
        <w:tc>
          <w:tcPr>
            <w:tcW w:type="dxa" w:w="2166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403</w:t>
            </w:r>
          </w:p>
        </w:tc>
        <w:tc>
          <w:tcPr>
            <w:tcW w:type="dxa" w:w="1986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Click-to-call da solo coincide con il dato reale entro l'1,3%.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L'aggiunta di Calls from ads gonfia il conteggio del 59,6%: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le 245,6 conversioni di "Calls from ads" sono, in sostanza, la stessa telefonata contata una seconda volta.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Il sospetto sollevato nel report Search — rapporto tra le due azioni da 9% a 144% tra campagne — trova qui la conferma quantitativa.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Il CPA target di 11 campagne sta ottimizzando contro un denominatore gonfiato del 60%.</w:t>
      </w:r>
    </w:p>
    <w:p>
      <w:pPr>
        <w:pStyle w:val="Heading2"/>
        <w:spacing w:after="100" w:before="28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E5C8A"/>
          <w:sz w:val="24"/>
          <w:szCs w:val="24"/>
        </w:rPr>
        <w:t xml:space="preserve">Quanto vale e quanto costa una chiamata</w:t>
      </w:r>
    </w:p>
    <w:tbl>
      <w:tblPr>
        <w:tblW w:type="dxa" w:w="9026"/>
        <w:tblBorders>
          <w:top w:val="single" w:color="BFC7D6" w:sz="4"/>
          <w:left w:val="none" w:color="FFFFFF" w:sz="0"/>
          <w:bottom w:val="single" w:color="BFC7D6" w:sz="4"/>
          <w:right w:val="none" w:color="FFFFFF" w:sz="0"/>
          <w:insideH w:val="single" w:color="D6DCE7" w:sz="2"/>
          <w:insideV w:val="none" w:color="FFFFFF" w:sz="0"/>
        </w:tblBorders>
      </w:tblPr>
      <w:tblGrid>
        <w:gridCol w:w="5596"/>
        <w:gridCol w:w="3430"/>
      </w:tblGrid>
      <w:tr>
        <w:trPr>
          <w:tblHeader/>
        </w:trPr>
        <w:tc>
          <w:tcPr>
            <w:tcW w:type="dxa" w:w="559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43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Valore</w:t>
            </w:r>
          </w:p>
        </w:tc>
      </w:tr>
      <w:tr>
        <w:trPr>
          <w:tblHeader w:val="false"/>
        </w:trPr>
        <w:tc>
          <w:tcPr>
            <w:tcW w:type="dxa" w:w="559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Spesa gruppo Search Chiamata (luglio)</w:t>
            </w:r>
          </w:p>
        </w:tc>
        <w:tc>
          <w:tcPr>
            <w:tcW w:type="dxa" w:w="343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€ 7.670</w:t>
            </w:r>
          </w:p>
        </w:tc>
      </w:tr>
      <w:tr>
        <w:trPr>
          <w:tblHeader w:val="false"/>
        </w:trPr>
        <w:tc>
          <w:tcPr>
            <w:tcW w:type="dxa" w:w="559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Chiamate reali da google_ads</w:t>
            </w:r>
          </w:p>
        </w:tc>
        <w:tc>
          <w:tcPr>
            <w:tcW w:type="dxa" w:w="3430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403</w:t>
            </w:r>
          </w:p>
        </w:tc>
      </w:tr>
      <w:tr>
        <w:trPr>
          <w:tblHeader w:val="false"/>
        </w:trPr>
        <w:tc>
          <w:tcPr>
            <w:tcW w:type="dxa" w:w="559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Costo per chiamata reale</w:t>
            </w:r>
          </w:p>
        </w:tc>
        <w:tc>
          <w:tcPr>
            <w:tcW w:type="dxa" w:w="343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€ 19,03</w:t>
            </w:r>
          </w:p>
        </w:tc>
      </w:tr>
      <w:tr>
        <w:trPr>
          <w:tblHeader w:val="false"/>
        </w:trPr>
        <w:tc>
          <w:tcPr>
            <w:tcW w:type="dxa" w:w="559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Fee netta generata dal gruppo</w:t>
            </w:r>
          </w:p>
        </w:tc>
        <w:tc>
          <w:tcPr>
            <w:tcW w:type="dxa" w:w="3430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€ 1.356</w:t>
            </w:r>
          </w:p>
        </w:tc>
      </w:tr>
      <w:tr>
        <w:trPr>
          <w:tblHeader w:val="false"/>
        </w:trPr>
        <w:tc>
          <w:tcPr>
            <w:tcW w:type="dxa" w:w="559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Fee netta per chiamata</w:t>
            </w:r>
          </w:p>
        </w:tc>
        <w:tc>
          <w:tcPr>
            <w:tcW w:type="dxa" w:w="343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€ 3,36</w:t>
            </w:r>
          </w:p>
        </w:tc>
      </w:tr>
      <w:tr>
        <w:trPr>
          <w:tblHeader w:val="false"/>
        </w:trPr>
        <w:tc>
          <w:tcPr>
            <w:tcW w:type="dxa" w:w="559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Gap per chiamata</w:t>
            </w:r>
          </w:p>
        </w:tc>
        <w:tc>
          <w:tcPr>
            <w:tcW w:type="dxa" w:w="3430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−€ 15,67</w:t>
            </w:r>
          </w:p>
        </w:tc>
      </w:tr>
      <w:tr>
        <w:trPr>
          <w:tblHeader w:val="false"/>
        </w:trPr>
        <w:tc>
          <w:tcPr>
            <w:tcW w:type="dxa" w:w="559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Prenotazioni nette dal gruppo</w:t>
            </w:r>
          </w:p>
        </w:tc>
        <w:tc>
          <w:tcPr>
            <w:tcW w:type="dxa" w:w="343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45</w:t>
            </w:r>
          </w:p>
        </w:tc>
      </w:tr>
      <w:tr>
        <w:trPr>
          <w:tblHeader w:val="false"/>
        </w:trPr>
        <w:tc>
          <w:tcPr>
            <w:tcW w:type="dxa" w:w="5596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Tasso chiamata → prenotazione netta</w:t>
            </w:r>
          </w:p>
        </w:tc>
        <w:tc>
          <w:tcPr>
            <w:tcW w:type="dxa" w:w="3430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11,2%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Una chiamata costa €19,03 e produce €3,36 di ricavo netto per Niino. Serve 5,7 volte il valore attuale perché il gruppo vada in pareggio.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Due precisazioni che vanno nella stessa direzione: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soglia di pareggio stimata nel report Search era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€13,53 per chiamata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calcolata sul conteggio Google Ads. Con le chiamate reali il costo effettivo è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€19,03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: la soglia era sottostimata del 29%, esattamente perché il denominatore era gonfiato.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Il tasso di conversione chiamata → prenotazione (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11,2%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) è invece molto migliore del 3,10% stimato nel report di luglio, perché Google Ads vede solo un terzo delle prenotazioni.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Le chiamate convertono bene; il problema è che costano troppo per quello che valgono.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Questo cambia la natura della decisione: non serve migliorare la conversione delle chiamate — serve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ridurre di 5 volte il costo di acquisizione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oppure spostare il budget. Sul canale Search, con volume di ricerca limitato e CPC medio a €2,40, la prima strada non è percorribile.</w:t>
      </w:r>
    </w:p>
    <w:p>
      <w:pPr>
        <w:pStyle w:val="Heading1"/>
        <w:pBdr>
          <w:bottom w:val="single" w:color="1F3864" w:sz="12" w:space="6"/>
        </w:pBdr>
        <w:spacing w:after="60" w:before="4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5. COSA GOOGLE ADS NON VEDE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 quattro azioni di conversione ferme a 0,00 in tutti e tre gli export corrispondono a eventi che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esistono e sono misurati da Niino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: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6"/>
        <w:tblBorders>
          <w:top w:val="single" w:color="BFC7D6" w:sz="4"/>
          <w:left w:val="none" w:color="FFFFFF" w:sz="0"/>
          <w:bottom w:val="single" w:color="BFC7D6" w:sz="4"/>
          <w:right w:val="none" w:color="FFFFFF" w:sz="0"/>
          <w:insideH w:val="single" w:color="D6DCE7" w:sz="2"/>
          <w:insideV w:val="none" w:color="FFFFFF" w:sz="0"/>
        </w:tblBorders>
      </w:tblPr>
      <w:tblGrid>
        <w:gridCol w:w="2346"/>
        <w:gridCol w:w="1986"/>
        <w:gridCol w:w="4694"/>
      </w:tblGrid>
      <w:tr>
        <w:trPr>
          <w:tblHeader/>
        </w:trPr>
        <w:tc>
          <w:tcPr>
            <w:tcW w:type="dxa" w:w="234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Azione in Google Ads</w:t>
            </w:r>
          </w:p>
        </w:tc>
        <w:tc>
          <w:tcPr>
            <w:tcW w:type="dxa" w:w="198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Valore in Google Ads</w:t>
            </w:r>
          </w:p>
        </w:tc>
        <w:tc>
          <w:tcPr>
            <w:tcW w:type="dxa" w:w="469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Realtà (PDF, luglio)</w:t>
            </w:r>
          </w:p>
        </w:tc>
      </w:tr>
      <w:tr>
        <w:trPr>
          <w:tblHeader w:val="false"/>
        </w:trPr>
        <w:tc>
          <w:tcPr>
            <w:tcW w:type="dxa" w:w="234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Purchase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0,00</w:t>
            </w:r>
          </w:p>
        </w:tc>
        <w:tc>
          <w:tcPr>
            <w:tcW w:type="dxa" w:w="469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180 prenotazioni lorde (46 purchases da KPI piattaforma)</w:t>
            </w:r>
          </w:p>
        </w:tc>
      </w:tr>
      <w:tr>
        <w:trPr>
          <w:tblHeader w:val="false"/>
        </w:trPr>
        <w:tc>
          <w:tcPr>
            <w:tcW w:type="dxa" w:w="234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Booking GMV</w:t>
            </w:r>
          </w:p>
        </w:tc>
        <w:tc>
          <w:tcPr>
            <w:tcW w:type="dxa" w:w="198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€ 0,00</w:t>
            </w:r>
          </w:p>
        </w:tc>
        <w:tc>
          <w:tcPr>
            <w:tcW w:type="dxa" w:w="469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€ 71.621 di GMV booked</w:t>
            </w:r>
          </w:p>
        </w:tc>
      </w:tr>
      <w:tr>
        <w:trPr>
          <w:tblHeader w:val="false"/>
        </w:trPr>
        <w:tc>
          <w:tcPr>
            <w:tcW w:type="dxa" w:w="234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Niino Sign-up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0,00</w:t>
            </w:r>
          </w:p>
        </w:tc>
        <w:tc>
          <w:tcPr>
            <w:tcW w:type="dxa" w:w="469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426 nuovi utenti, di cui 320 da Google</w:t>
            </w:r>
          </w:p>
        </w:tc>
      </w:tr>
      <w:tr>
        <w:trPr>
          <w:tblHeader w:val="false"/>
        </w:trPr>
        <w:tc>
          <w:tcPr>
            <w:tcW w:type="dxa" w:w="234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Conversazione avviata</w:t>
            </w:r>
          </w:p>
        </w:tc>
        <w:tc>
          <w:tcPr>
            <w:tcW w:type="dxa" w:w="198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0,00</w:t>
            </w:r>
          </w:p>
        </w:tc>
        <w:tc>
          <w:tcPr>
            <w:tcW w:type="dxa" w:w="469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1.108 chiamate + 18 WhatsApp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Google Ads sta ottimizzando alla cieca su 4 azioni su 8.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Le strategie automatiche — CPA target su 14 campagne, Massimizza valore su una — non possono ottimizzare verso segnali che non ricevono.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Questo si lega direttamente alla diagnosi del report PMax: il CPA target sulle campagne AMBULANZA ha comprato volume a basso valore perché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l'unico segnale di valore che riceve è "Niino Revenue", e nemmeno quello è completo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(capitolo 6).</w:t>
      </w:r>
    </w:p>
    <w:p>
      <w:pPr>
        <w:pStyle w:val="Heading2"/>
        <w:spacing w:after="100" w:before="28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E5C8A"/>
          <w:sz w:val="24"/>
          <w:szCs w:val="24"/>
        </w:rPr>
        <w:t xml:space="preserve">Le cancellazioni: il 26% delle conversioni non esiste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Google Ads conta la prenotazione, non la cancellazione. Nel periodo: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180 prenotazioni lorde, 47 cancellate (26,11%), 133 nette.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Il tasso varia enormemente per campagna, e la variazione non è casuale: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6"/>
        <w:tblBorders>
          <w:top w:val="single" w:color="BFC7D6" w:sz="4"/>
          <w:left w:val="none" w:color="FFFFFF" w:sz="0"/>
          <w:bottom w:val="single" w:color="BFC7D6" w:sz="4"/>
          <w:right w:val="none" w:color="FFFFFF" w:sz="0"/>
          <w:insideH w:val="single" w:color="D6DCE7" w:sz="2"/>
          <w:insideV w:val="none" w:color="FFFFFF" w:sz="0"/>
        </w:tblBorders>
      </w:tblPr>
      <w:tblGrid>
        <w:gridCol w:w="6318"/>
        <w:gridCol w:w="2708"/>
      </w:tblGrid>
      <w:tr>
        <w:trPr>
          <w:tblHeader/>
        </w:trPr>
        <w:tc>
          <w:tcPr>
            <w:tcW w:type="dxa" w:w="6318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Campagna</w:t>
            </w:r>
          </w:p>
        </w:tc>
        <w:tc>
          <w:tcPr>
            <w:tcW w:type="dxa" w:w="2708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Cancellazioni</w:t>
            </w:r>
          </w:p>
        </w:tc>
      </w:tr>
      <w:tr>
        <w:trPr>
          <w:tblHeader w:val="false"/>
        </w:trPr>
        <w:tc>
          <w:tcPr>
            <w:tcW w:type="dxa" w:w="631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SEARCH | AMBULANZA | CHIAMATA | VARESE 2</w:t>
            </w:r>
          </w:p>
        </w:tc>
        <w:tc>
          <w:tcPr>
            <w:tcW w:type="dxa" w:w="270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67%</w:t>
            </w:r>
          </w:p>
        </w:tc>
      </w:tr>
      <w:tr>
        <w:trPr>
          <w:tblHeader w:val="false"/>
        </w:trPr>
        <w:tc>
          <w:tcPr>
            <w:tcW w:type="dxa" w:w="6318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SN - 1225 - Brand</w:t>
            </w:r>
          </w:p>
        </w:tc>
        <w:tc>
          <w:tcPr>
            <w:tcW w:type="dxa" w:w="2708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50%</w:t>
            </w:r>
          </w:p>
        </w:tc>
      </w:tr>
      <w:tr>
        <w:trPr>
          <w:tblHeader w:val="false"/>
        </w:trPr>
        <w:tc>
          <w:tcPr>
            <w:tcW w:type="dxa" w:w="631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SEARCH | AMBULANZA | CHIAMATA | TORINO</w:t>
            </w:r>
          </w:p>
        </w:tc>
        <w:tc>
          <w:tcPr>
            <w:tcW w:type="dxa" w:w="270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40%</w:t>
            </w:r>
          </w:p>
        </w:tc>
      </w:tr>
      <w:tr>
        <w:trPr>
          <w:tblHeader w:val="false"/>
        </w:trPr>
        <w:tc>
          <w:tcPr>
            <w:tcW w:type="dxa" w:w="6318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PMAX | ITALIA | AEREO</w:t>
            </w:r>
          </w:p>
        </w:tc>
        <w:tc>
          <w:tcPr>
            <w:tcW w:type="dxa" w:w="2708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38%</w:t>
            </w:r>
          </w:p>
        </w:tc>
      </w:tr>
      <w:tr>
        <w:trPr>
          <w:tblHeader w:val="false"/>
        </w:trPr>
        <w:tc>
          <w:tcPr>
            <w:tcW w:type="dxa" w:w="631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SEARCH | AMBULANZA | CHIAMATA | PUGLIA</w:t>
            </w:r>
          </w:p>
        </w:tc>
        <w:tc>
          <w:tcPr>
            <w:tcW w:type="dxa" w:w="270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38%</w:t>
            </w:r>
          </w:p>
        </w:tc>
      </w:tr>
      <w:tr>
        <w:trPr>
          <w:tblHeader w:val="false"/>
        </w:trPr>
        <w:tc>
          <w:tcPr>
            <w:tcW w:type="dxa" w:w="6318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PMAX | PIEMONTE | AMBULANZA</w:t>
            </w:r>
          </w:p>
        </w:tc>
        <w:tc>
          <w:tcPr>
            <w:tcW w:type="dxa" w:w="2708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33%</w:t>
            </w:r>
          </w:p>
        </w:tc>
      </w:tr>
      <w:tr>
        <w:trPr>
          <w:tblHeader w:val="false"/>
        </w:trPr>
        <w:tc>
          <w:tcPr>
            <w:tcW w:type="dxa" w:w="631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PMAX | ITALIA | AMBULANZA</w:t>
            </w:r>
          </w:p>
        </w:tc>
        <w:tc>
          <w:tcPr>
            <w:tcW w:type="dxa" w:w="270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18%</w:t>
            </w:r>
          </w:p>
        </w:tc>
      </w:tr>
      <w:tr>
        <w:trPr>
          <w:tblHeader w:val="false"/>
        </w:trPr>
        <w:tc>
          <w:tcPr>
            <w:tcW w:type="dxa" w:w="6318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SEARCH | AMBULANZA | PURCHASE | ROMA</w:t>
            </w:r>
          </w:p>
        </w:tc>
        <w:tc>
          <w:tcPr>
            <w:tcW w:type="dxa" w:w="2708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0%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Le campagne regionali PMax cancellano il doppio della campagna nazionale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(33% e 13% contro 18%). Il report PMax attribuiva il divario Piemonte/Lombardia agli asset e alle norme: i dati mostrano che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una parte del divario è a valle, sulla qualità della prenotazione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non sulla campagna.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Nessuna di queste informazioni rientra in Google Ads. Finché non rientra,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ogni CPA target è impostato su un numeratore che include il 26% di prenotazioni che non avverranno.</w:t>
      </w:r>
    </w:p>
    <w:p>
      <w:r>
        <w:br w:type="page"/>
      </w:r>
    </w:p>
    <w:p>
      <w:pPr>
        <w:pStyle w:val="Heading1"/>
        <w:pBdr>
          <w:bottom w:val="single" w:color="1F3864" w:sz="12" w:space="6"/>
        </w:pBdr>
        <w:spacing w:after="60" w:before="4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6. QUANTO È AFFIDABILE IL SEGNALE SU CUI GOOGLE OTTIMIZZA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L'unica azione che porta valore economico in Google Ads è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Niino Revenue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 Il confronto con la fee reale mostra che il segnale è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corretto in aggregato e inaffidabile per campagna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 Confronto tra il valore Niino Revenue di Google Ads (1/7–9/8, 40 giorni) e la fee netta del PDF riproporzionata sullo stesso numero di giorni: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6"/>
        <w:tblBorders>
          <w:top w:val="single" w:color="BFC7D6" w:sz="4"/>
          <w:left w:val="none" w:color="FFFFFF" w:sz="0"/>
          <w:bottom w:val="single" w:color="BFC7D6" w:sz="4"/>
          <w:right w:val="none" w:color="FFFFFF" w:sz="0"/>
          <w:insideH w:val="single" w:color="D6DCE7" w:sz="2"/>
          <w:insideV w:val="none" w:color="FFFFFF" w:sz="0"/>
        </w:tblBorders>
      </w:tblPr>
      <w:tblGrid>
        <w:gridCol w:w="4152"/>
        <w:gridCol w:w="1625"/>
        <w:gridCol w:w="1805"/>
        <w:gridCol w:w="1444"/>
      </w:tblGrid>
      <w:tr>
        <w:trPr>
          <w:tblHeader/>
        </w:trPr>
        <w:tc>
          <w:tcPr>
            <w:tcW w:type="dxa" w:w="415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Campagna</w:t>
            </w:r>
          </w:p>
        </w:tc>
        <w:tc>
          <w:tcPr>
            <w:tcW w:type="dxa" w:w="1625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Google Ads</w:t>
            </w:r>
          </w:p>
        </w:tc>
        <w:tc>
          <w:tcPr>
            <w:tcW w:type="dxa" w:w="1805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Fee reale (riprop.)</w:t>
            </w:r>
          </w:p>
        </w:tc>
        <w:tc>
          <w:tcPr>
            <w:tcW w:type="dxa" w:w="144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Copertura</w:t>
            </w:r>
          </w:p>
        </w:tc>
      </w:tr>
      <w:tr>
        <w:trPr>
          <w:tblHeader w:val="false"/>
        </w:trPr>
        <w:tc>
          <w:tcPr>
            <w:tcW w:type="dxa" w:w="415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SEARCH | ANZIANI | MILANO | PURCHASE</w:t>
            </w:r>
          </w:p>
        </w:tc>
        <w:tc>
          <w:tcPr>
            <w:tcW w:type="dxa" w:w="162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€ 86,14</w:t>
            </w:r>
          </w:p>
        </w:tc>
        <w:tc>
          <w:tcPr>
            <w:tcW w:type="dxa" w:w="180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€ 60,65</w:t>
            </w:r>
          </w:p>
        </w:tc>
        <w:tc>
          <w:tcPr>
            <w:tcW w:type="dxa" w:w="144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26A00"/>
                <w:sz w:val="19"/>
                <w:szCs w:val="19"/>
              </w:rPr>
              <w:t xml:space="preserve">142%</w:t>
            </w:r>
          </w:p>
        </w:tc>
      </w:tr>
      <w:tr>
        <w:trPr>
          <w:tblHeader w:val="false"/>
        </w:trPr>
        <w:tc>
          <w:tcPr>
            <w:tcW w:type="dxa" w:w="4152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PMAX | ITALIA | AMBULANZA | PURCHASE | APP</w:t>
            </w:r>
          </w:p>
        </w:tc>
        <w:tc>
          <w:tcPr>
            <w:tcW w:type="dxa" w:w="1625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€ 4.920,16</w:t>
            </w:r>
          </w:p>
        </w:tc>
        <w:tc>
          <w:tcPr>
            <w:tcW w:type="dxa" w:w="1805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€ 4.132,90</w:t>
            </w:r>
          </w:p>
        </w:tc>
        <w:tc>
          <w:tcPr>
            <w:tcW w:type="dxa" w:w="144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26A00"/>
                <w:sz w:val="19"/>
                <w:szCs w:val="19"/>
              </w:rPr>
              <w:t xml:space="preserve">119%</w:t>
            </w:r>
          </w:p>
        </w:tc>
      </w:tr>
      <w:tr>
        <w:trPr>
          <w:tblHeader w:val="false"/>
        </w:trPr>
        <w:tc>
          <w:tcPr>
            <w:tcW w:type="dxa" w:w="415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PMAX | ITALIA | AEREO | PURCHASE</w:t>
            </w:r>
          </w:p>
        </w:tc>
        <w:tc>
          <w:tcPr>
            <w:tcW w:type="dxa" w:w="162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€ 253,48</w:t>
            </w:r>
          </w:p>
        </w:tc>
        <w:tc>
          <w:tcPr>
            <w:tcW w:type="dxa" w:w="180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€ 352,26</w:t>
            </w:r>
          </w:p>
        </w:tc>
        <w:tc>
          <w:tcPr>
            <w:tcW w:type="dxa" w:w="144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72%</w:t>
            </w:r>
          </w:p>
        </w:tc>
      </w:tr>
      <w:tr>
        <w:trPr>
          <w:tblHeader w:val="false"/>
        </w:trPr>
        <w:tc>
          <w:tcPr>
            <w:tcW w:type="dxa" w:w="4152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PMAX | PIEMONTE | AMBULANZA | PURCHASE | APP</w:t>
            </w:r>
          </w:p>
        </w:tc>
        <w:tc>
          <w:tcPr>
            <w:tcW w:type="dxa" w:w="1625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€ 767,28</w:t>
            </w:r>
          </w:p>
        </w:tc>
        <w:tc>
          <w:tcPr>
            <w:tcW w:type="dxa" w:w="1805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€ 1.335,48</w:t>
            </w:r>
          </w:p>
        </w:tc>
        <w:tc>
          <w:tcPr>
            <w:tcW w:type="dxa" w:w="144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57%</w:t>
            </w:r>
          </w:p>
        </w:tc>
      </w:tr>
      <w:tr>
        <w:trPr>
          <w:tblHeader w:val="false"/>
        </w:trPr>
        <w:tc>
          <w:tcPr>
            <w:tcW w:type="dxa" w:w="415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PMAX | LOMBARDIA | AMBULANZA | PURCHASE | APP</w:t>
            </w:r>
          </w:p>
        </w:tc>
        <w:tc>
          <w:tcPr>
            <w:tcW w:type="dxa" w:w="162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€ 104,62</w:t>
            </w:r>
          </w:p>
        </w:tc>
        <w:tc>
          <w:tcPr>
            <w:tcW w:type="dxa" w:w="180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€ 183,23</w:t>
            </w:r>
          </w:p>
        </w:tc>
        <w:tc>
          <w:tcPr>
            <w:tcW w:type="dxa" w:w="144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57%</w:t>
            </w:r>
          </w:p>
        </w:tc>
      </w:tr>
      <w:tr>
        <w:trPr>
          <w:tblHeader w:val="false"/>
        </w:trPr>
        <w:tc>
          <w:tcPr>
            <w:tcW w:type="dxa" w:w="4152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SEARCH | AMBULANZA | PURCHASE | MILANO</w:t>
            </w:r>
          </w:p>
        </w:tc>
        <w:tc>
          <w:tcPr>
            <w:tcW w:type="dxa" w:w="1625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€ 177,41</w:t>
            </w:r>
          </w:p>
        </w:tc>
        <w:tc>
          <w:tcPr>
            <w:tcW w:type="dxa" w:w="1805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€ 428,39</w:t>
            </w:r>
          </w:p>
        </w:tc>
        <w:tc>
          <w:tcPr>
            <w:tcW w:type="dxa" w:w="144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41%</w:t>
            </w:r>
          </w:p>
        </w:tc>
      </w:tr>
      <w:tr>
        <w:trPr>
          <w:tblHeader w:val="false"/>
        </w:trPr>
        <w:tc>
          <w:tcPr>
            <w:tcW w:type="dxa" w:w="415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SEARCH | AMBULANZA | PURCHASE | ROMA</w:t>
            </w:r>
          </w:p>
        </w:tc>
        <w:tc>
          <w:tcPr>
            <w:tcW w:type="dxa" w:w="162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€ 54,31</w:t>
            </w:r>
          </w:p>
        </w:tc>
        <w:tc>
          <w:tcPr>
            <w:tcW w:type="dxa" w:w="180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€ 345,81</w:t>
            </w:r>
          </w:p>
        </w:tc>
        <w:tc>
          <w:tcPr>
            <w:tcW w:type="dxa" w:w="144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16%</w:t>
            </w:r>
          </w:p>
        </w:tc>
      </w:tr>
      <w:tr>
        <w:trPr>
          <w:tblHeader w:val="false"/>
        </w:trPr>
        <w:tc>
          <w:tcPr>
            <w:tcW w:type="dxa" w:w="4152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Totale</w:t>
            </w:r>
          </w:p>
        </w:tc>
        <w:tc>
          <w:tcPr>
            <w:tcW w:type="dxa" w:w="1625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€ 6.363,40</w:t>
            </w:r>
          </w:p>
        </w:tc>
        <w:tc>
          <w:tcPr>
            <w:tcW w:type="dxa" w:w="1805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€ 6.838,71</w:t>
            </w:r>
          </w:p>
        </w:tc>
        <w:tc>
          <w:tcPr>
            <w:tcW w:type="dxa" w:w="1444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93%</w:t>
            </w:r>
          </w:p>
        </w:tc>
      </w:tr>
    </w:tbl>
    <w:p>
      <w:pPr>
        <w:spacing w:after="200" w:before="120" w:line="252"/>
        <w:ind w:left="200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19"/>
          <w:szCs w:val="19"/>
        </w:rPr>
        <w:t xml:space="preserve">La riproporzione 31 → 40 giorni assume un ritmo costante, che sappiamo non esserlo: il valore è crollato nella finestra di agosto. Le percentuali per campagna sono quindi indicative. Lo scarto tra le campagne, però, è troppo ampio per essere spiegato dalla sola riproporzione, ed è il punto che conta.</w:t>
      </w:r>
    </w:p>
    <w:p>
      <w:pPr>
        <w:spacing w:after="1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 aggregato il segnale copre il 93% della fee reale: buono. Per campagna oscilla tra il 16% e il 142%: inutilizzabile.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 conseguenze sono concrete e spiegano i report precedenti: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Google Ads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sovrastima Italia Ambulanza (119%) e sottostima le regionali (57%)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 L'algoritmo riceve il segnale che il nazionale rende il doppio di quanto rende davvero rispetto alle regionali, e alloca di conseguenza.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Su SEARCH | AMBULANZA | PURCHASE | ROMA Google Ads vede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il 16% del valore reale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 Il report Search classificava questa campagna come la peggiore del gruppo Purchase e ne raccomandava la sospensione: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con i dati reali è la seconda migliore del gruppo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(ROAS Fee 0,62×, 0% di cancellazioni, CPA netto €33).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Quella raccomandazione era sbagliata, ed era sbagliata perché il dato in Google Ads era falso.</w:t>
      </w:r>
    </w:p>
    <w:p>
      <w:pPr>
        <w:pStyle w:val="Heading1"/>
        <w:pBdr>
          <w:bottom w:val="single" w:color="1F3864" w:sz="12" w:space="6"/>
        </w:pBdr>
        <w:spacing w:after="60" w:before="4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7. GMV E FEE: QUALE ROAS GUARDARE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Il PDF riporta due ROAS che differiscono di quasi 9 volte: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6"/>
        <w:tblBorders>
          <w:top w:val="single" w:color="BFC7D6" w:sz="4"/>
          <w:left w:val="none" w:color="FFFFFF" w:sz="0"/>
          <w:bottom w:val="single" w:color="BFC7D6" w:sz="4"/>
          <w:right w:val="none" w:color="FFFFFF" w:sz="0"/>
          <w:insideH w:val="single" w:color="D6DCE7" w:sz="2"/>
          <w:insideV w:val="none" w:color="FFFFFF" w:sz="0"/>
        </w:tblBorders>
      </w:tblPr>
      <w:tblGrid>
        <w:gridCol w:w="2889"/>
        <w:gridCol w:w="3971"/>
        <w:gridCol w:w="2166"/>
      </w:tblGrid>
      <w:tr>
        <w:trPr>
          <w:tblHeader/>
        </w:trPr>
        <w:tc>
          <w:tcPr>
            <w:tcW w:type="dxa" w:w="2889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971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216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Valore</w:t>
            </w:r>
          </w:p>
        </w:tc>
      </w:tr>
      <w:tr>
        <w:trPr>
          <w:tblHeader w:val="false"/>
        </w:trPr>
        <w:tc>
          <w:tcPr>
            <w:tcW w:type="dxa" w:w="288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ROAS GMV</w:t>
            </w:r>
          </w:p>
        </w:tc>
        <w:tc>
          <w:tcPr>
            <w:tcW w:type="dxa" w:w="3971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GMV net booked / spesa performance</w:t>
            </w:r>
          </w:p>
        </w:tc>
        <w:tc>
          <w:tcPr>
            <w:tcW w:type="dxa" w:w="216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26A00"/>
                <w:sz w:val="19"/>
                <w:szCs w:val="19"/>
              </w:rPr>
              <w:t xml:space="preserve">4,59×</w:t>
            </w:r>
          </w:p>
        </w:tc>
      </w:tr>
      <w:tr>
        <w:trPr>
          <w:tblHeader w:val="false"/>
        </w:trPr>
        <w:tc>
          <w:tcPr>
            <w:tcW w:type="dxa" w:w="2889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ROAS Fee</w:t>
            </w:r>
          </w:p>
        </w:tc>
        <w:tc>
          <w:tcPr>
            <w:tcW w:type="dxa" w:w="3971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fee netta / spesa performance</w:t>
            </w:r>
          </w:p>
        </w:tc>
        <w:tc>
          <w:tcPr>
            <w:tcW w:type="dxa" w:w="216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0,53×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Il GMV è il transato che passa dalla piattaforma;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Niino ne trattiene il 10,95%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 Il ROAS GMV misura il volume intermediato, non il ricavo: è utile per raccontare la scala della piattaforma,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non per decidere quanto spendere in advertising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Il margine netto lo conferma senza ambiguità: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fee €7.007 − spesa performance €13.938 = −€6.931.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Includendo tutta la spesa (€14.882, con Meta e brand), la perdita di luglio è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−€7.875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left w:val="single" w:color="2E5C8A" w:sz="18" w:space="10"/>
        </w:pBdr>
        <w:shd w:fill="F2F4F7" w:color="auto" w:val="clear"/>
        <w:spacing w:after="200" w:before="160" w:line="264"/>
        <w:ind w:left="340" w:right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3864"/>
          <w:sz w:val="20"/>
          <w:szCs w:val="20"/>
        </w:rPr>
        <w:t xml:space="preserve">Regola operativa: ogni decisione di budget si prende sul ROAS Fee, e la soglia di pareggio è 1,0×. Oggi l'account è a 0,53× e una sola campagna sta sopra 1,0×.</w:t>
      </w:r>
    </w:p>
    <w:p>
      <w:pPr>
        <w:pStyle w:val="Heading1"/>
        <w:pBdr>
          <w:bottom w:val="single" w:color="1F3864" w:sz="12" w:space="6"/>
        </w:pBdr>
        <w:spacing w:after="60" w:before="4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8. INCOERENZE INTERNE AL REPORT NIINO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Tre punti da correggere nel PDF stesso, perché incidono sui KPI di testata.</w:t>
      </w:r>
    </w:p>
    <w:p>
      <w:pPr>
        <w:pStyle w:val="Heading2"/>
        <w:spacing w:after="100" w:before="28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E5C8A"/>
          <w:sz w:val="24"/>
          <w:szCs w:val="24"/>
        </w:rPr>
        <w:t xml:space="preserve">1. Tre valori diversi di "spesa performance"</w:t>
      </w:r>
    </w:p>
    <w:tbl>
      <w:tblPr>
        <w:tblW w:type="dxa" w:w="9026"/>
        <w:tblBorders>
          <w:top w:val="single" w:color="BFC7D6" w:sz="4"/>
          <w:left w:val="none" w:color="FFFFFF" w:sz="0"/>
          <w:bottom w:val="single" w:color="BFC7D6" w:sz="4"/>
          <w:right w:val="none" w:color="FFFFFF" w:sz="0"/>
          <w:insideH w:val="single" w:color="D6DCE7" w:sz="2"/>
          <w:insideV w:val="none" w:color="FFFFFF" w:sz="0"/>
        </w:tblBorders>
      </w:tblPr>
      <w:tblGrid>
        <w:gridCol w:w="2888"/>
        <w:gridCol w:w="1444"/>
        <w:gridCol w:w="4694"/>
      </w:tblGrid>
      <w:tr>
        <w:trPr>
          <w:tblHeader/>
        </w:trPr>
        <w:tc>
          <w:tcPr>
            <w:tcW w:type="dxa" w:w="2888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Dove</w:t>
            </w:r>
          </w:p>
        </w:tc>
        <w:tc>
          <w:tcPr>
            <w:tcW w:type="dxa" w:w="144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Valore</w:t>
            </w:r>
          </w:p>
        </w:tc>
        <w:tc>
          <w:tcPr>
            <w:tcW w:type="dxa" w:w="469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Composizione</w:t>
            </w:r>
          </w:p>
        </w:tc>
      </w:tr>
      <w:tr>
        <w:trPr>
          <w:tblHeader w:val="false"/>
        </w:trPr>
        <w:tc>
          <w:tcPr>
            <w:tcW w:type="dxa" w:w="288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Pagina 1, dettaglio KPI</w:t>
            </w:r>
          </w:p>
        </w:tc>
        <w:tc>
          <w:tcPr>
            <w:tcW w:type="dxa" w:w="144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€ 13.938</w:t>
            </w:r>
          </w:p>
        </w:tc>
        <w:tc>
          <w:tcPr>
            <w:tcW w:type="dxa" w:w="469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Google, con AEREO e ANZIANI classificate come performance</w:t>
            </w:r>
          </w:p>
        </w:tc>
      </w:tr>
      <w:tr>
        <w:trPr>
          <w:tblHeader w:val="false"/>
        </w:trPr>
        <w:tc>
          <w:tcPr>
            <w:tcW w:type="dxa" w:w="2888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Pagina 14, split piattaforma</w:t>
            </w:r>
          </w:p>
        </w:tc>
        <w:tc>
          <w:tcPr>
            <w:tcW w:type="dxa" w:w="144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€ 13.243</w:t>
            </w:r>
          </w:p>
        </w:tc>
        <w:tc>
          <w:tcPr>
            <w:tcW w:type="dxa" w:w="469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Google, con AEREO e ANZIANI classificate come brand</w:t>
            </w:r>
          </w:p>
        </w:tc>
      </w:tr>
      <w:tr>
        <w:trPr>
          <w:tblHeader w:val="false"/>
        </w:trPr>
        <w:tc>
          <w:tcPr>
            <w:tcW w:type="dxa" w:w="288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Pagina 14, riepilogo</w:t>
            </w:r>
          </w:p>
        </w:tc>
        <w:tc>
          <w:tcPr>
            <w:tcW w:type="dxa" w:w="144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€ 13.858</w:t>
            </w:r>
          </w:p>
        </w:tc>
        <w:tc>
          <w:tcPr>
            <w:tcW w:type="dxa" w:w="469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€ 13.243 Google + € 615 Meta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Lo scarto di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€695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è esattamente SEARCH | ANZIANI | MILANO | PURCHASE (€91,24) + PMAX | ITALIA | AEREO | PURCHASE (€603,95):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due campagne classificate come brand in una sezione e come performance in un'altra.</w:t>
      </w:r>
    </w:p>
    <w:p>
      <w:pPr>
        <w:pStyle w:val="Heading2"/>
        <w:spacing w:after="100" w:before="28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E5C8A"/>
          <w:sz w:val="24"/>
          <w:szCs w:val="24"/>
        </w:rPr>
        <w:t xml:space="preserve">2. ROAS GMV e ROAS Fee usano denominatori diversi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ROAS GMV 4,59× = 63.969 /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13.938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ROAS Fee 0,53× = 7.007 /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13.243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 lo stesso denominatore sarebbero 4,59× / 0,50× oppure 4,83× / 0,53×. Il margine netto (−€6.931) usa 13.938.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Vanno allineati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: la scelta corretta dipende da come si classificano AEREO e ANZIANI, ma deve essere una sola.</w:t>
      </w:r>
    </w:p>
    <w:p>
      <w:pPr>
        <w:pStyle w:val="Heading2"/>
        <w:spacing w:after="100" w:before="28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E5C8A"/>
          <w:sz w:val="24"/>
          <w:szCs w:val="24"/>
        </w:rPr>
        <w:t xml:space="preserve">3. L'obiettivo "costo per corsa" è calcolato sulle prenotazioni lorde</w:t>
      </w:r>
    </w:p>
    <w:tbl>
      <w:tblPr>
        <w:tblW w:type="dxa" w:w="9026"/>
        <w:tblBorders>
          <w:top w:val="single" w:color="BFC7D6" w:sz="4"/>
          <w:left w:val="none" w:color="FFFFFF" w:sz="0"/>
          <w:bottom w:val="single" w:color="BFC7D6" w:sz="4"/>
          <w:right w:val="none" w:color="FFFFFF" w:sz="0"/>
          <w:insideH w:val="single" w:color="D6DCE7" w:sz="2"/>
          <w:insideV w:val="none" w:color="FFFFFF" w:sz="0"/>
        </w:tblBorders>
      </w:tblPr>
      <w:tblGrid>
        <w:gridCol w:w="2527"/>
        <w:gridCol w:w="2347"/>
        <w:gridCol w:w="1986"/>
        <w:gridCol w:w="2166"/>
      </w:tblGrid>
      <w:tr>
        <w:trPr>
          <w:tblHeader/>
        </w:trPr>
        <w:tc>
          <w:tcPr>
            <w:tcW w:type="dxa" w:w="2527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Base</w:t>
            </w:r>
          </w:p>
        </w:tc>
        <w:tc>
          <w:tcPr>
            <w:tcW w:type="dxa" w:w="2347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Calcolo</w:t>
            </w:r>
          </w:p>
        </w:tc>
        <w:tc>
          <w:tcPr>
            <w:tcW w:type="dxa" w:w="198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Risultato</w:t>
            </w:r>
          </w:p>
        </w:tc>
        <w:tc>
          <w:tcPr>
            <w:tcW w:type="dxa" w:w="216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vs target € 104</w:t>
            </w:r>
          </w:p>
        </w:tc>
      </w:tr>
      <w:tr>
        <w:trPr>
          <w:tblHeader w:val="false"/>
        </w:trPr>
        <w:tc>
          <w:tcPr>
            <w:tcW w:type="dxa" w:w="252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Lorde (come nel PDF)</w:t>
            </w:r>
          </w:p>
        </w:tc>
        <w:tc>
          <w:tcPr>
            <w:tcW w:type="dxa" w:w="234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14.882 / 180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€ 83</w:t>
            </w:r>
          </w:p>
        </w:tc>
        <w:tc>
          <w:tcPr>
            <w:tcW w:type="dxa" w:w="216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−20,5%</w:t>
            </w:r>
          </w:p>
        </w:tc>
      </w:tr>
      <w:tr>
        <w:trPr>
          <w:tblHeader w:val="false"/>
        </w:trPr>
        <w:tc>
          <w:tcPr>
            <w:tcW w:type="dxa" w:w="2527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Nette (base usata in Obiettivi)</w:t>
            </w:r>
          </w:p>
        </w:tc>
        <w:tc>
          <w:tcPr>
            <w:tcW w:type="dxa" w:w="2347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14.882 / 133</w:t>
            </w:r>
          </w:p>
        </w:tc>
        <w:tc>
          <w:tcPr>
            <w:tcW w:type="dxa" w:w="198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€ 112</w:t>
            </w:r>
          </w:p>
        </w:tc>
        <w:tc>
          <w:tcPr>
            <w:tcW w:type="dxa" w:w="216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+7,6%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tabella Obiettivi BP dichiara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"Corse nette prenotate 180"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ma 180 sono le lorde; le nette sono 133 (lo dice la riconciliazione a pagina 5, che riporta anche "CPA blended €112").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Sulla base netta il target di CPA non è battuto del 20%: è mancato dell'8%.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Stesso effetto sul CPU: €31 (spesa performance / 426) contro €35 (spesa totale / 426).</w:t>
      </w:r>
    </w:p>
    <w:p>
      <w:r>
        <w:br w:type="page"/>
      </w:r>
    </w:p>
    <w:p>
      <w:pPr>
        <w:pStyle w:val="Heading1"/>
        <w:pBdr>
          <w:bottom w:val="single" w:color="1F3864" w:sz="12" w:space="6"/>
        </w:pBdr>
        <w:spacing w:after="60" w:before="4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9. CORREZIONI AI REPORT PRECEDENTI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 dati reali confermano l'impianto dei tre report su Google Ads e correggono tre punti.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6"/>
        <w:tblBorders>
          <w:top w:val="single" w:color="BFC7D6" w:sz="4"/>
          <w:left w:val="none" w:color="FFFFFF" w:sz="0"/>
          <w:bottom w:val="single" w:color="BFC7D6" w:sz="4"/>
          <w:right w:val="none" w:color="FFFFFF" w:sz="0"/>
          <w:insideH w:val="single" w:color="D6DCE7" w:sz="2"/>
          <w:insideV w:val="none" w:color="FFFFFF" w:sz="0"/>
        </w:tblBorders>
      </w:tblPr>
      <w:tblGrid>
        <w:gridCol w:w="1173"/>
        <w:gridCol w:w="3430"/>
        <w:gridCol w:w="4423"/>
      </w:tblGrid>
      <w:tr>
        <w:trPr>
          <w:tblHeader/>
        </w:trPr>
        <w:tc>
          <w:tcPr>
            <w:tcW w:type="dxa" w:w="117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Report</w:t>
            </w:r>
          </w:p>
        </w:tc>
        <w:tc>
          <w:tcPr>
            <w:tcW w:type="dxa" w:w="343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Conclusione precedente</w:t>
            </w:r>
          </w:p>
        </w:tc>
        <w:tc>
          <w:tcPr>
            <w:tcW w:type="dxa" w:w="442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 i dati Niino</w:t>
            </w:r>
          </w:p>
        </w:tc>
      </w:tr>
      <w:tr>
        <w:trPr>
          <w:tblHeader w:val="false"/>
        </w:trPr>
        <w:tc>
          <w:tcPr>
            <w:tcW w:type="dxa" w:w="117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PMax</w:t>
            </w:r>
          </w:p>
        </w:tc>
        <w:tc>
          <w:tcPr>
            <w:tcW w:type="dxa" w:w="343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"PMax è profittevole, ROAS 2,15"</w:t>
            </w:r>
          </w:p>
        </w:tc>
        <w:tc>
          <w:tcPr>
            <w:tcW w:type="dxa" w:w="442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PMax è a ROAS Fee 0,96× — in pareggio, non in profitto. Il 2,15 era calcolato su un valore Google Ads che sovrastima la fee di circa il 50%</w:t>
            </w:r>
          </w:p>
        </w:tc>
      </w:tr>
      <w:tr>
        <w:trPr>
          <w:tblHeader w:val="false"/>
        </w:trPr>
        <w:tc>
          <w:tcPr>
            <w:tcW w:type="dxa" w:w="117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Search</w:t>
            </w:r>
          </w:p>
        </w:tc>
        <w:tc>
          <w:tcPr>
            <w:tcW w:type="dxa" w:w="3430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"Sospendere SEARCH | AMBULANZA | PURCHASE | ROMA"</w:t>
            </w:r>
          </w:p>
        </w:tc>
        <w:tc>
          <w:tcPr>
            <w:tcW w:type="dxa" w:w="442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 mantenere. È la seconda migliore del gruppo Purchase (ROAS Fee 0,62×, 0% cancellazioni). Google Ads ne vedeva il 16% del valore</w:t>
            </w:r>
          </w:p>
        </w:tc>
      </w:tr>
      <w:tr>
        <w:trPr>
          <w:tblHeader w:val="false"/>
        </w:trPr>
        <w:tc>
          <w:tcPr>
            <w:tcW w:type="dxa" w:w="117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Search</w:t>
            </w:r>
          </w:p>
        </w:tc>
        <w:tc>
          <w:tcPr>
            <w:tcW w:type="dxa" w:w="343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"Soglia di pareggio € 13,53 per chiamata"</w:t>
            </w:r>
          </w:p>
        </w:tc>
        <w:tc>
          <w:tcPr>
            <w:tcW w:type="dxa" w:w="442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€ 19,03. La soglia era sottostimata del 29% per via del doppio conteggio</w:t>
            </w:r>
          </w:p>
        </w:tc>
      </w:tr>
      <w:tr>
        <w:trPr>
          <w:tblHeader w:val="false"/>
        </w:trPr>
        <w:tc>
          <w:tcPr>
            <w:tcW w:type="dxa" w:w="117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Luglio</w:t>
            </w:r>
          </w:p>
        </w:tc>
        <w:tc>
          <w:tcPr>
            <w:tcW w:type="dxa" w:w="3430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"Tasso chiamata → vendita 3,10%"</w:t>
            </w:r>
          </w:p>
        </w:tc>
        <w:tc>
          <w:tcPr>
            <w:tcW w:type="dxa" w:w="442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11,2%. Google Ads vede circa un terzo delle prenotazioni</w:t>
            </w:r>
          </w:p>
        </w:tc>
      </w:tr>
      <w:tr>
        <w:trPr>
          <w:tblHeader w:val="false"/>
        </w:trPr>
        <w:tc>
          <w:tcPr>
            <w:tcW w:type="dxa" w:w="117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PMax</w:t>
            </w:r>
          </w:p>
        </w:tc>
        <w:tc>
          <w:tcPr>
            <w:tcW w:type="dxa" w:w="343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"Chiudere Lombardia"</w:t>
            </w:r>
          </w:p>
        </w:tc>
        <w:tc>
          <w:tcPr>
            <w:tcW w:type="dxa" w:w="442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Confermato e urgente. È la peggiore dell'intero account: −€1.124 di margine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La direzione strategica indicata dai tre report resta valida — spostare budget dalla Search a PMax Italia Ambulanza — ma la magnitudine cambia: PMax non è un canale in profitto da scalare, è un canale in pareggio da rendere profittevole prima di scalarlo.</w:t>
      </w:r>
    </w:p>
    <w:p>
      <w:pPr>
        <w:pStyle w:val="Heading1"/>
        <w:pBdr>
          <w:bottom w:val="single" w:color="1F3864" w:sz="12" w:space="6"/>
        </w:pBdr>
        <w:spacing w:after="60" w:before="4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10. PIANO OPERATIVO RIVISTO</w:t>
      </w:r>
    </w:p>
    <w:p>
      <w:pPr>
        <w:pStyle w:val="Heading2"/>
        <w:spacing w:after="100" w:before="28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E5C8A"/>
          <w:sz w:val="24"/>
          <w:szCs w:val="24"/>
        </w:rPr>
        <w:t xml:space="preserve">Priorità 0 — misurazione (questa settimana, costo zero)</w:t>
      </w:r>
    </w:p>
    <w:tbl>
      <w:tblPr>
        <w:tblW w:type="dxa" w:w="9026"/>
        <w:tblBorders>
          <w:top w:val="single" w:color="BFC7D6" w:sz="4"/>
          <w:left w:val="none" w:color="FFFFFF" w:sz="0"/>
          <w:bottom w:val="single" w:color="BFC7D6" w:sz="4"/>
          <w:right w:val="none" w:color="FFFFFF" w:sz="0"/>
          <w:insideH w:val="single" w:color="D6DCE7" w:sz="2"/>
          <w:insideV w:val="none" w:color="FFFFFF" w:sz="0"/>
        </w:tblBorders>
      </w:tblPr>
      <w:tblGrid>
        <w:gridCol w:w="452"/>
        <w:gridCol w:w="3971"/>
        <w:gridCol w:w="4603"/>
      </w:tblGrid>
      <w:tr>
        <w:trPr>
          <w:tblHeader/>
        </w:trPr>
        <w:tc>
          <w:tcPr>
            <w:tcW w:type="dxa" w:w="45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971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Azione</w:t>
            </w:r>
          </w:p>
        </w:tc>
        <w:tc>
          <w:tcPr>
            <w:tcW w:type="dxa" w:w="460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Impatto</w:t>
            </w:r>
          </w:p>
        </w:tc>
      </w:tr>
      <w:tr>
        <w:trPr>
          <w:tblHeader w:val="false"/>
        </w:trPr>
        <w:tc>
          <w:tcPr>
            <w:tcW w:type="dxa" w:w="45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971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Rimuovere "Calls from ads" dalle conversioni di offerta (tenerla come metrica di osservazione)</w:t>
            </w:r>
          </w:p>
        </w:tc>
        <w:tc>
          <w:tcPr>
            <w:tcW w:type="dxa" w:w="460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Elimina il 60% di doppio conteggio su cui 11 campagne stanno ottimizzando</w:t>
            </w:r>
          </w:p>
        </w:tc>
      </w:tr>
      <w:tr>
        <w:trPr>
          <w:tblHeader w:val="false"/>
        </w:trPr>
        <w:tc>
          <w:tcPr>
            <w:tcW w:type="dxa" w:w="452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971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Importare in Google Ads le 4 azioni a zero: prenotazione, GMV, signup, conversazione</w:t>
            </w:r>
          </w:p>
        </w:tc>
        <w:tc>
          <w:tcPr>
            <w:tcW w:type="dxa" w:w="460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Restituisce alle strategie automatiche i segnali che oggi non vedono</w:t>
            </w:r>
          </w:p>
        </w:tc>
      </w:tr>
      <w:tr>
        <w:trPr>
          <w:tblHeader w:val="false"/>
        </w:trPr>
        <w:tc>
          <w:tcPr>
            <w:tcW w:type="dxa" w:w="45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971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Importare le cancellazioni come conversione negativa o correggere il valore a posteriori</w:t>
            </w:r>
          </w:p>
        </w:tc>
        <w:tc>
          <w:tcPr>
            <w:tcW w:type="dxa" w:w="460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Toglie dal numeratore il 26% di prenotazioni che non avverranno</w:t>
            </w:r>
          </w:p>
        </w:tc>
      </w:tr>
      <w:tr>
        <w:trPr>
          <w:tblHeader w:val="false"/>
        </w:trPr>
        <w:tc>
          <w:tcPr>
            <w:tcW w:type="dxa" w:w="452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3971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Verificare l'attribuzione di Niino Revenue per campagna</w:t>
            </w:r>
          </w:p>
        </w:tc>
        <w:tc>
          <w:tcPr>
            <w:tcW w:type="dxa" w:w="460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Copertura dal 16% al 142%: il segnale di valore per campagna oggi non è affidabile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Nessuna richiede budget.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Senza queste quattro, ogni ottimizzazione successiva agisce su dati che sappiamo essere sbagliati.</w:t>
      </w:r>
    </w:p>
    <w:p>
      <w:pPr>
        <w:pStyle w:val="Heading2"/>
        <w:spacing w:after="100" w:before="28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E5C8A"/>
          <w:sz w:val="24"/>
          <w:szCs w:val="24"/>
        </w:rPr>
        <w:t xml:space="preserve">Priorità 1 — tagli (entro 7 giorni)</w:t>
      </w:r>
    </w:p>
    <w:tbl>
      <w:tblPr>
        <w:tblW w:type="dxa" w:w="9026"/>
        <w:tblBorders>
          <w:top w:val="single" w:color="BFC7D6" w:sz="4"/>
          <w:left w:val="none" w:color="FFFFFF" w:sz="0"/>
          <w:bottom w:val="single" w:color="BFC7D6" w:sz="4"/>
          <w:right w:val="none" w:color="FFFFFF" w:sz="0"/>
          <w:insideH w:val="single" w:color="D6DCE7" w:sz="2"/>
          <w:insideV w:val="none" w:color="FFFFFF" w:sz="0"/>
        </w:tblBorders>
      </w:tblPr>
      <w:tblGrid>
        <w:gridCol w:w="451"/>
        <w:gridCol w:w="6318"/>
        <w:gridCol w:w="2257"/>
      </w:tblGrid>
      <w:tr>
        <w:trPr>
          <w:tblHeader/>
        </w:trPr>
        <w:tc>
          <w:tcPr>
            <w:tcW w:type="dxa" w:w="451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318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Azione</w:t>
            </w:r>
          </w:p>
        </w:tc>
        <w:tc>
          <w:tcPr>
            <w:tcW w:type="dxa" w:w="2257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Margine luglio</w:t>
            </w:r>
          </w:p>
        </w:tc>
      </w:tr>
      <w:tr>
        <w:trPr>
          <w:tblHeader w:val="false"/>
        </w:trPr>
        <w:tc>
          <w:tcPr>
            <w:tcW w:type="dxa" w:w="451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631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Chiudere PMAX | LOMBARDIA | AMBULANZA</w:t>
            </w:r>
          </w:p>
        </w:tc>
        <w:tc>
          <w:tcPr>
            <w:tcW w:type="dxa" w:w="225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−€ 1.124</w:t>
            </w:r>
          </w:p>
        </w:tc>
      </w:tr>
      <w:tr>
        <w:trPr>
          <w:tblHeader w:val="false"/>
        </w:trPr>
        <w:tc>
          <w:tcPr>
            <w:tcW w:type="dxa" w:w="451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6318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Chiudere SEARCH | AMBULANZA | CHIAMATA | PUGLIA</w:t>
            </w:r>
          </w:p>
        </w:tc>
        <w:tc>
          <w:tcPr>
            <w:tcW w:type="dxa" w:w="2257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−€ 1.061</w:t>
            </w:r>
          </w:p>
        </w:tc>
      </w:tr>
      <w:tr>
        <w:trPr>
          <w:tblHeader w:val="false"/>
        </w:trPr>
        <w:tc>
          <w:tcPr>
            <w:tcW w:type="dxa" w:w="451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631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Verificare e chiudere SEARCH | CHIAMATA | LUNGA PERCORRENZA (attiva e in pausa)</w:t>
            </w:r>
          </w:p>
        </w:tc>
        <w:tc>
          <w:tcPr>
            <w:tcW w:type="dxa" w:w="225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−€ 1.794</w:t>
            </w:r>
          </w:p>
        </w:tc>
      </w:tr>
      <w:tr>
        <w:trPr>
          <w:tblHeader w:val="false"/>
        </w:trPr>
        <w:tc>
          <w:tcPr>
            <w:tcW w:type="dxa" w:w="451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6318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Chiudere SEARCH | AMBULANZA | CHIAMATA | ROMA e | MILANO</w:t>
            </w:r>
          </w:p>
        </w:tc>
        <w:tc>
          <w:tcPr>
            <w:tcW w:type="dxa" w:w="2257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−€ 1.771</w:t>
            </w:r>
          </w:p>
        </w:tc>
      </w:tr>
      <w:tr>
        <w:trPr>
          <w:tblHeader w:val="false"/>
        </w:trPr>
        <w:tc>
          <w:tcPr>
            <w:tcW w:type="dxa" w:w="451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631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Chiudere Agrigento, Bari, Varese 2 (già indicate nel report Search)</w:t>
            </w:r>
          </w:p>
        </w:tc>
        <w:tc>
          <w:tcPr>
            <w:tcW w:type="dxa" w:w="225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−€ 511</w:t>
            </w:r>
          </w:p>
        </w:tc>
      </w:tr>
      <w:tr>
        <w:trPr>
          <w:tblHeader w:val="false"/>
        </w:trPr>
        <w:tc>
          <w:tcPr>
            <w:tcW w:type="dxa" w:w="451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6318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Rivedere IG - FOLLERS: € 615 di spesa, zero prenotazioni, zero fee</w:t>
            </w:r>
          </w:p>
        </w:tc>
        <w:tc>
          <w:tcPr>
            <w:tcW w:type="dxa" w:w="2257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−€ 615</w:t>
            </w:r>
          </w:p>
        </w:tc>
      </w:tr>
      <w:tr>
        <w:trPr>
          <w:tblHeader w:val="false"/>
        </w:trPr>
        <w:tc>
          <w:tcPr>
            <w:tcW w:type="dxa" w:w="451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6318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Totale margine recuperabile</w:t>
            </w:r>
          </w:p>
        </w:tc>
        <w:tc>
          <w:tcPr>
            <w:tcW w:type="dxa" w:w="2257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≈ € 6.876/mese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 campagne dei punti 5–9 valgono insieme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€6.965 di spesa mensile per €704 di fee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 Chiuderle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non riduce il fatturato in modo apprezzabile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e riporta il margine dell'account vicino al pareggio.</w:t>
      </w:r>
    </w:p>
    <w:p>
      <w:pPr>
        <w:pStyle w:val="Heading2"/>
        <w:spacing w:after="100" w:before="28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E5C8A"/>
          <w:sz w:val="24"/>
          <w:szCs w:val="24"/>
        </w:rPr>
        <w:t xml:space="preserve">Priorità 2 — concentrazione (settimane 2–4)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Portare il budget liberato su PMAX | ITALIA | AMBULANZA | PURCHASE | APP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a step del +20% ogni due settimane, verificando il ROAS Fee a ogni step. È l'unica campagna sopra 1,0×.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Passarla da CPA target a Massimizza il valore di conversione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come già indicato nel report PMax — ma solo dopo il punto 2 della Priorità 0, altrimenti ottimizza su un valore incompleto.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Tenere SEARCH | AMBULANZA | PURCHASE | ROMA e MILANO | DIMISSIONI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: sono le due Search meno in perdita (0,62× e 0,71×) e le uniche con margine di recupero realistico.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Ricostruire Piemonte sul modello Italia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e affrontare il 33% di cancellazioni, che è un problema a valle della campagna.</w:t>
      </w:r>
    </w:p>
    <w:p>
      <w:pPr>
        <w:pBdr>
          <w:left w:val="single" w:color="2E5C8A" w:sz="18" w:space="10"/>
        </w:pBdr>
        <w:shd w:fill="F2F4F7" w:color="auto" w:val="clear"/>
        <w:spacing w:after="200" w:before="160" w:line="264"/>
        <w:ind w:left="340" w:right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3864"/>
          <w:sz w:val="20"/>
          <w:szCs w:val="20"/>
        </w:rPr>
        <w:t xml:space="preserve">ROAS Fee ≥ 1,0× è la condizione di sopravvivenza di una campagna. ROAS Fee ≥ 1,5× è la condizione per aumentarne il budget. A luglio, su 22 campagne, una superava 1,0×.</w:t>
      </w:r>
    </w:p>
    <w:p>
      <w:pPr>
        <w:pStyle w:val="Heading1"/>
        <w:pBdr>
          <w:bottom w:val="single" w:color="1F3864" w:sz="12" w:space="6"/>
        </w:pBdr>
        <w:spacing w:after="60" w:before="4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11. DATI ANCORA DA RECUPERARE</w:t>
      </w:r>
    </w:p>
    <w:tbl>
      <w:tblPr>
        <w:tblW w:type="dxa" w:w="9026"/>
        <w:tblBorders>
          <w:top w:val="single" w:color="BFC7D6" w:sz="4"/>
          <w:left w:val="none" w:color="FFFFFF" w:sz="0"/>
          <w:bottom w:val="single" w:color="BFC7D6" w:sz="4"/>
          <w:right w:val="none" w:color="FFFFFF" w:sz="0"/>
          <w:insideH w:val="single" w:color="D6DCE7" w:sz="2"/>
          <w:insideV w:val="none" w:color="FFFFFF" w:sz="0"/>
        </w:tblBorders>
      </w:tblPr>
      <w:tblGrid>
        <w:gridCol w:w="3610"/>
        <w:gridCol w:w="5416"/>
      </w:tblGrid>
      <w:tr>
        <w:trPr>
          <w:tblHeader/>
        </w:trPr>
        <w:tc>
          <w:tcPr>
            <w:tcW w:type="dxa" w:w="361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Dato</w:t>
            </w:r>
          </w:p>
        </w:tc>
        <w:tc>
          <w:tcPr>
            <w:tcW w:type="dxa" w:w="541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Perché serve</w:t>
            </w:r>
          </w:p>
        </w:tc>
      </w:tr>
      <w:tr>
        <w:trPr>
          <w:tblHeader w:val="false"/>
        </w:trPr>
        <w:tc>
          <w:tcPr>
            <w:tcW w:type="dxa" w:w="361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Perché una campagna in pausa ha speso € 755</w:t>
            </w:r>
          </w:p>
        </w:tc>
        <w:tc>
          <w:tcPr>
            <w:tcW w:type="dxa" w:w="541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SEARCH | CHIAMATA | LUNGA PERCORRENZA in pausa: spesa senza alcun risultato</w:t>
            </w:r>
          </w:p>
        </w:tc>
      </w:tr>
      <w:tr>
        <w:trPr>
          <w:tblHeader w:val="false"/>
        </w:trPr>
        <w:tc>
          <w:tcPr>
            <w:tcW w:type="dxa" w:w="3610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Metodo di calcolo dell'LTV (€ 312)</w:t>
            </w:r>
          </w:p>
        </w:tc>
        <w:tc>
          <w:tcPr>
            <w:tcW w:type="dxa" w:w="541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LTV/CPU 10,1× è l'unica metrica che giustifica la spesa attuale, a fronte di un margine mensile di −€6.931. Va verificata la coerenza dei due orizzonti temporali</w:t>
            </w:r>
          </w:p>
        </w:tc>
      </w:tr>
      <w:tr>
        <w:trPr>
          <w:tblHeader w:val="false"/>
        </w:trPr>
        <w:tc>
          <w:tcPr>
            <w:tcW w:type="dxa" w:w="361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Regola di attribuzione di Niino Revenue</w:t>
            </w:r>
          </w:p>
        </w:tc>
        <w:tc>
          <w:tcPr>
            <w:tcW w:type="dxa" w:w="541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Copertura per campagna dal 16% al 142%</w:t>
            </w:r>
          </w:p>
        </w:tc>
      </w:tr>
      <w:tr>
        <w:trPr>
          <w:tblHeader w:val="false"/>
        </w:trPr>
        <w:tc>
          <w:tcPr>
            <w:tcW w:type="dxa" w:w="3610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Classificazione brand/performance di AEREO e ANZIANI</w:t>
            </w:r>
          </w:p>
        </w:tc>
        <w:tc>
          <w:tcPr>
            <w:tcW w:type="dxa" w:w="541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Determina quale dei tre valori di spesa performance è quello corretto</w:t>
            </w:r>
          </w:p>
        </w:tc>
      </w:tr>
      <w:tr>
        <w:trPr>
          <w:tblHeader w:val="false"/>
        </w:trPr>
        <w:tc>
          <w:tcPr>
            <w:tcW w:type="dxa" w:w="361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Export Google Ads con costo per campagna</w:t>
            </w:r>
          </w:p>
        </w:tc>
        <w:tc>
          <w:tcPr>
            <w:tcW w:type="dxa" w:w="541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Resta utile per il monitoraggio settimanale: oggi il costo per campagna arriva solo dal report Niino, con un mese di ritardo</w:t>
            </w:r>
          </w:p>
        </w:tc>
      </w:tr>
      <w:tr>
        <w:trPr>
          <w:tblHeader w:val="false"/>
        </w:trPr>
        <w:tc>
          <w:tcPr>
            <w:tcW w:type="dxa" w:w="3610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Dettaglio delle 46 "purchases" della sezione KPI piattaforma</w:t>
            </w:r>
          </w:p>
        </w:tc>
        <w:tc>
          <w:tcPr>
            <w:tcW w:type="dxa" w:w="541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 coincide né con le 180 lorde né con le 133 nette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6"/>
        </w:pBdr>
        <w:spacing w:after="60" w:before="4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APPENDICE A — RICONCILIAZIONE DELLE FONTI</w:t>
      </w:r>
    </w:p>
    <w:tbl>
      <w:tblPr>
        <w:tblW w:type="dxa" w:w="9026"/>
        <w:tblBorders>
          <w:top w:val="single" w:color="BFC7D6" w:sz="4"/>
          <w:left w:val="none" w:color="FFFFFF" w:sz="0"/>
          <w:bottom w:val="single" w:color="BFC7D6" w:sz="4"/>
          <w:right w:val="none" w:color="FFFFFF" w:sz="0"/>
          <w:insideH w:val="single" w:color="D6DCE7" w:sz="2"/>
          <w:insideV w:val="none" w:color="FFFFFF" w:sz="0"/>
        </w:tblBorders>
      </w:tblPr>
      <w:tblGrid>
        <w:gridCol w:w="3069"/>
        <w:gridCol w:w="2166"/>
        <w:gridCol w:w="2347"/>
        <w:gridCol w:w="1444"/>
      </w:tblGrid>
      <w:tr>
        <w:trPr>
          <w:tblHeader/>
        </w:trPr>
        <w:tc>
          <w:tcPr>
            <w:tcW w:type="dxa" w:w="3069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Voce</w:t>
            </w:r>
          </w:p>
        </w:tc>
        <w:tc>
          <w:tcPr>
            <w:tcW w:type="dxa" w:w="216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PDF Niino</w:t>
            </w:r>
          </w:p>
        </w:tc>
        <w:tc>
          <w:tcPr>
            <w:tcW w:type="dxa" w:w="2347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CSV Google Ads</w:t>
            </w:r>
          </w:p>
        </w:tc>
        <w:tc>
          <w:tcPr>
            <w:tcW w:type="dxa" w:w="144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Scarto</w:t>
            </w:r>
          </w:p>
        </w:tc>
      </w:tr>
      <w:tr>
        <w:trPr>
          <w:tblHeader w:val="false"/>
        </w:trPr>
        <w:tc>
          <w:tcPr>
            <w:tcW w:type="dxa" w:w="306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Spesa Google 1–24 luglio</w:t>
            </w:r>
          </w:p>
        </w:tc>
        <w:tc>
          <w:tcPr>
            <w:tcW w:type="dxa" w:w="216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€ 9.968,02</w:t>
            </w:r>
          </w:p>
        </w:tc>
        <w:tc>
          <w:tcPr>
            <w:tcW w:type="dxa" w:w="234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€ 9.969,35</w:t>
            </w:r>
          </w:p>
        </w:tc>
        <w:tc>
          <w:tcPr>
            <w:tcW w:type="dxa" w:w="144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0,01%</w:t>
            </w:r>
          </w:p>
        </w:tc>
      </w:tr>
      <w:tr>
        <w:trPr>
          <w:tblHeader w:val="false"/>
        </w:trPr>
        <w:tc>
          <w:tcPr>
            <w:tcW w:type="dxa" w:w="3069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Spesa Google 25–31 luglio</w:t>
            </w:r>
          </w:p>
        </w:tc>
        <w:tc>
          <w:tcPr>
            <w:tcW w:type="dxa" w:w="216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€ 4.298,52</w:t>
            </w:r>
          </w:p>
        </w:tc>
        <w:tc>
          <w:tcPr>
            <w:tcW w:type="dxa" w:w="2347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 disponibile</w:t>
            </w:r>
          </w:p>
        </w:tc>
        <w:tc>
          <w:tcPr>
            <w:tcW w:type="dxa" w:w="144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6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Spesa Google luglio (31 gg)</w:t>
            </w:r>
          </w:p>
        </w:tc>
        <w:tc>
          <w:tcPr>
            <w:tcW w:type="dxa" w:w="216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€ 14.266,54</w:t>
            </w:r>
          </w:p>
        </w:tc>
        <w:tc>
          <w:tcPr>
            <w:tcW w:type="dxa" w:w="234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 disponibile</w:t>
            </w:r>
          </w:p>
        </w:tc>
        <w:tc>
          <w:tcPr>
            <w:tcW w:type="dxa" w:w="144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69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Impressioni Google luglio</w:t>
            </w:r>
          </w:p>
        </w:tc>
        <w:tc>
          <w:tcPr>
            <w:tcW w:type="dxa" w:w="216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2.498.125</w:t>
            </w:r>
          </w:p>
        </w:tc>
        <w:tc>
          <w:tcPr>
            <w:tcW w:type="dxa" w:w="2347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 disponibile</w:t>
            </w:r>
          </w:p>
        </w:tc>
        <w:tc>
          <w:tcPr>
            <w:tcW w:type="dxa" w:w="144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6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Clic Google luglio</w:t>
            </w:r>
          </w:p>
        </w:tc>
        <w:tc>
          <w:tcPr>
            <w:tcW w:type="dxa" w:w="216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56.498</w:t>
            </w:r>
          </w:p>
        </w:tc>
        <w:tc>
          <w:tcPr>
            <w:tcW w:type="dxa" w:w="234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 disponibile</w:t>
            </w:r>
          </w:p>
        </w:tc>
        <w:tc>
          <w:tcPr>
            <w:tcW w:type="dxa" w:w="144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69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Valore conv. / fee netta</w:t>
            </w:r>
          </w:p>
        </w:tc>
        <w:tc>
          <w:tcPr>
            <w:tcW w:type="dxa" w:w="216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€ 7.007 (31 gg)</w:t>
            </w:r>
          </w:p>
        </w:tc>
        <w:tc>
          <w:tcPr>
            <w:tcW w:type="dxa" w:w="2347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€ 6.363,40 (40 gg)</w:t>
            </w:r>
          </w:p>
        </w:tc>
        <w:tc>
          <w:tcPr>
            <w:tcW w:type="dxa" w:w="144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cap. 6</w:t>
            </w:r>
          </w:p>
        </w:tc>
      </w:tr>
      <w:tr>
        <w:trPr>
          <w:tblHeader w:val="false"/>
        </w:trPr>
        <w:tc>
          <w:tcPr>
            <w:tcW w:type="dxa" w:w="3069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Chiamate da google_ads</w:t>
            </w:r>
          </w:p>
        </w:tc>
        <w:tc>
          <w:tcPr>
            <w:tcW w:type="dxa" w:w="216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403 (31 gg)</w:t>
            </w:r>
          </w:p>
        </w:tc>
        <w:tc>
          <w:tcPr>
            <w:tcW w:type="dxa" w:w="234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643,3 riproporz.</w:t>
            </w:r>
          </w:p>
        </w:tc>
        <w:tc>
          <w:tcPr>
            <w:tcW w:type="dxa" w:w="144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+59,6%</w:t>
            </w:r>
          </w:p>
        </w:tc>
      </w:tr>
    </w:tbl>
    <w:p>
      <w:pPr>
        <w:pStyle w:val="Heading1"/>
        <w:pBdr>
          <w:bottom w:val="single" w:color="1F3864" w:sz="12" w:space="6"/>
        </w:pBdr>
        <w:spacing w:after="60" w:before="4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APPENDICE B — FUNNEL COMPLETO (PDF, LUGLIO)</w:t>
      </w:r>
    </w:p>
    <w:tbl>
      <w:tblPr>
        <w:tblW w:type="dxa" w:w="9026"/>
        <w:tblBorders>
          <w:top w:val="single" w:color="BFC7D6" w:sz="4"/>
          <w:left w:val="none" w:color="FFFFFF" w:sz="0"/>
          <w:bottom w:val="single" w:color="BFC7D6" w:sz="4"/>
          <w:right w:val="none" w:color="FFFFFF" w:sz="0"/>
          <w:insideH w:val="single" w:color="D6DCE7" w:sz="2"/>
          <w:insideV w:val="none" w:color="FFFFFF" w:sz="0"/>
        </w:tblBorders>
      </w:tblPr>
      <w:tblGrid>
        <w:gridCol w:w="3611"/>
        <w:gridCol w:w="1805"/>
        <w:gridCol w:w="1805"/>
        <w:gridCol w:w="1805"/>
      </w:tblGrid>
      <w:tr>
        <w:trPr>
          <w:tblHeader/>
        </w:trPr>
        <w:tc>
          <w:tcPr>
            <w:tcW w:type="dxa" w:w="3611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1805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Meta</w:t>
            </w:r>
          </w:p>
        </w:tc>
        <w:tc>
          <w:tcPr>
            <w:tcW w:type="dxa" w:w="1805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Google</w:t>
            </w:r>
          </w:p>
        </w:tc>
        <w:tc>
          <w:tcPr>
            <w:tcW w:type="dxa" w:w="1805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Totale</w:t>
            </w:r>
          </w:p>
        </w:tc>
      </w:tr>
      <w:tr>
        <w:trPr>
          <w:tblHeader w:val="false"/>
        </w:trPr>
        <w:tc>
          <w:tcPr>
            <w:tcW w:type="dxa" w:w="3611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Impressioni</w:t>
            </w:r>
          </w:p>
        </w:tc>
        <w:tc>
          <w:tcPr>
            <w:tcW w:type="dxa" w:w="180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80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2.497.573</w:t>
            </w:r>
          </w:p>
        </w:tc>
        <w:tc>
          <w:tcPr>
            <w:tcW w:type="dxa" w:w="180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2.497.573</w:t>
            </w:r>
          </w:p>
        </w:tc>
      </w:tr>
      <w:tr>
        <w:trPr>
          <w:tblHeader w:val="false"/>
        </w:trPr>
        <w:tc>
          <w:tcPr>
            <w:tcW w:type="dxa" w:w="3611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Clic</w:t>
            </w:r>
          </w:p>
        </w:tc>
        <w:tc>
          <w:tcPr>
            <w:tcW w:type="dxa" w:w="1805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805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56.373</w:t>
            </w:r>
          </w:p>
        </w:tc>
        <w:tc>
          <w:tcPr>
            <w:tcW w:type="dxa" w:w="1805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56.373</w:t>
            </w:r>
          </w:p>
        </w:tc>
      </w:tr>
      <w:tr>
        <w:trPr>
          <w:tblHeader w:val="false"/>
        </w:trPr>
        <w:tc>
          <w:tcPr>
            <w:tcW w:type="dxa" w:w="3611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Sessioni landing</w:t>
            </w:r>
          </w:p>
        </w:tc>
        <w:tc>
          <w:tcPr>
            <w:tcW w:type="dxa" w:w="180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169</w:t>
            </w:r>
          </w:p>
        </w:tc>
        <w:tc>
          <w:tcPr>
            <w:tcW w:type="dxa" w:w="180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35.109</w:t>
            </w:r>
          </w:p>
        </w:tc>
        <w:tc>
          <w:tcPr>
            <w:tcW w:type="dxa" w:w="180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43.372</w:t>
            </w:r>
          </w:p>
        </w:tc>
      </w:tr>
      <w:tr>
        <w:trPr>
          <w:tblHeader w:val="false"/>
        </w:trPr>
        <w:tc>
          <w:tcPr>
            <w:tcW w:type="dxa" w:w="3611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Intenti CTA</w:t>
            </w:r>
          </w:p>
        </w:tc>
        <w:tc>
          <w:tcPr>
            <w:tcW w:type="dxa" w:w="1805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31</w:t>
            </w:r>
          </w:p>
        </w:tc>
        <w:tc>
          <w:tcPr>
            <w:tcW w:type="dxa" w:w="1805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2.115</w:t>
            </w:r>
          </w:p>
        </w:tc>
        <w:tc>
          <w:tcPr>
            <w:tcW w:type="dxa" w:w="1805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2.942</w:t>
            </w:r>
          </w:p>
        </w:tc>
      </w:tr>
      <w:tr>
        <w:trPr>
          <w:tblHeader w:val="false"/>
        </w:trPr>
        <w:tc>
          <w:tcPr>
            <w:tcW w:type="dxa" w:w="3611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Preventivi e bozze</w:t>
            </w:r>
          </w:p>
        </w:tc>
        <w:tc>
          <w:tcPr>
            <w:tcW w:type="dxa" w:w="180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</w:t>
            </w:r>
          </w:p>
        </w:tc>
        <w:tc>
          <w:tcPr>
            <w:tcW w:type="dxa" w:w="180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1.064</w:t>
            </w:r>
          </w:p>
        </w:tc>
        <w:tc>
          <w:tcPr>
            <w:tcW w:type="dxa" w:w="180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1.203</w:t>
            </w:r>
          </w:p>
        </w:tc>
      </w:tr>
      <w:tr>
        <w:trPr>
          <w:tblHeader w:val="false"/>
        </w:trPr>
        <w:tc>
          <w:tcPr>
            <w:tcW w:type="dxa" w:w="3611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Registrazioni</w:t>
            </w:r>
          </w:p>
        </w:tc>
        <w:tc>
          <w:tcPr>
            <w:tcW w:type="dxa" w:w="1805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1805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320</w:t>
            </w:r>
          </w:p>
        </w:tc>
        <w:tc>
          <w:tcPr>
            <w:tcW w:type="dxa" w:w="1805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426</w:t>
            </w:r>
          </w:p>
        </w:tc>
      </w:tr>
      <w:tr>
        <w:trPr>
          <w:tblHeader w:val="false"/>
        </w:trPr>
        <w:tc>
          <w:tcPr>
            <w:tcW w:type="dxa" w:w="3611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Prenotazioni</w:t>
            </w:r>
          </w:p>
        </w:tc>
        <w:tc>
          <w:tcPr>
            <w:tcW w:type="dxa" w:w="1805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805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125</w:t>
            </w:r>
          </w:p>
        </w:tc>
        <w:tc>
          <w:tcPr>
            <w:tcW w:type="dxa" w:w="1805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180</w:t>
            </w:r>
          </w:p>
        </w:tc>
      </w:tr>
      <w:tr>
        <w:trPr>
          <w:tblHeader w:val="false"/>
        </w:trPr>
        <w:tc>
          <w:tcPr>
            <w:tcW w:type="dxa" w:w="3611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GMV</w:t>
            </w:r>
          </w:p>
        </w:tc>
        <w:tc>
          <w:tcPr>
            <w:tcW w:type="dxa" w:w="1805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805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805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€ 71.621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Tassi di passaggio su Google: clic → sessione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62,3%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sessione → CTA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6,0%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CTA → bozza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50,3%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bozza → registrazione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30,1%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registrazione → prenotazione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39,1%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 Il collo di bottiglia è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sessione → intento CTA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: su 35.109 sessioni solo 2.115 esprimono un intento.</w:t>
      </w:r>
    </w:p>
    <w:p>
      <w:pPr>
        <w:pStyle w:val="Heading1"/>
        <w:pBdr>
          <w:bottom w:val="single" w:color="1F3864" w:sz="12" w:space="6"/>
        </w:pBdr>
        <w:spacing w:after="60" w:before="4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APPENDICE C — METRICHE DI PIATTAFORMA (PDF, LUGLIO)</w:t>
      </w:r>
    </w:p>
    <w:tbl>
      <w:tblPr>
        <w:tblW w:type="dxa" w:w="9026"/>
        <w:tblBorders>
          <w:top w:val="single" w:color="BFC7D6" w:sz="4"/>
          <w:left w:val="none" w:color="FFFFFF" w:sz="0"/>
          <w:bottom w:val="single" w:color="BFC7D6" w:sz="4"/>
          <w:right w:val="none" w:color="FFFFFF" w:sz="0"/>
          <w:insideH w:val="single" w:color="D6DCE7" w:sz="2"/>
          <w:insideV w:val="none" w:color="FFFFFF" w:sz="0"/>
        </w:tblBorders>
      </w:tblPr>
      <w:tblGrid>
        <w:gridCol w:w="3068"/>
        <w:gridCol w:w="1986"/>
        <w:gridCol w:w="1986"/>
        <w:gridCol w:w="1986"/>
      </w:tblGrid>
      <w:tr>
        <w:trPr>
          <w:tblHeader/>
        </w:trPr>
        <w:tc>
          <w:tcPr>
            <w:tcW w:type="dxa" w:w="3068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Metrica</w:t>
            </w:r>
          </w:p>
        </w:tc>
        <w:tc>
          <w:tcPr>
            <w:tcW w:type="dxa" w:w="198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Google</w:t>
            </w:r>
          </w:p>
        </w:tc>
        <w:tc>
          <w:tcPr>
            <w:tcW w:type="dxa" w:w="198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Meta</w:t>
            </w:r>
          </w:p>
        </w:tc>
        <w:tc>
          <w:tcPr>
            <w:tcW w:type="dxa" w:w="198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Totale</w:t>
            </w:r>
          </w:p>
        </w:tc>
      </w:tr>
      <w:tr>
        <w:trPr>
          <w:tblHeader w:val="false"/>
        </w:trPr>
        <w:tc>
          <w:tcPr>
            <w:tcW w:type="dxa" w:w="306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Spesa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€ 14.266,53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€ 615,22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€ 14.881,75</w:t>
            </w:r>
          </w:p>
        </w:tc>
      </w:tr>
      <w:tr>
        <w:trPr>
          <w:tblHeader w:val="false"/>
        </w:trPr>
        <w:tc>
          <w:tcPr>
            <w:tcW w:type="dxa" w:w="3068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Impressioni</w:t>
            </w:r>
          </w:p>
        </w:tc>
        <w:tc>
          <w:tcPr>
            <w:tcW w:type="dxa" w:w="198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2.498.125</w:t>
            </w:r>
          </w:p>
        </w:tc>
        <w:tc>
          <w:tcPr>
            <w:tcW w:type="dxa" w:w="198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143.089</w:t>
            </w:r>
          </w:p>
        </w:tc>
        <w:tc>
          <w:tcPr>
            <w:tcW w:type="dxa" w:w="198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2.641.214</w:t>
            </w:r>
          </w:p>
        </w:tc>
      </w:tr>
      <w:tr>
        <w:trPr>
          <w:tblHeader w:val="false"/>
        </w:trPr>
        <w:tc>
          <w:tcPr>
            <w:tcW w:type="dxa" w:w="306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Clic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56.498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4.887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61.385</w:t>
            </w:r>
          </w:p>
        </w:tc>
      </w:tr>
      <w:tr>
        <w:trPr>
          <w:tblHeader w:val="false"/>
        </w:trPr>
        <w:tc>
          <w:tcPr>
            <w:tcW w:type="dxa" w:w="3068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CTR</w:t>
            </w:r>
          </w:p>
        </w:tc>
        <w:tc>
          <w:tcPr>
            <w:tcW w:type="dxa" w:w="198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2,26%</w:t>
            </w:r>
          </w:p>
        </w:tc>
        <w:tc>
          <w:tcPr>
            <w:tcW w:type="dxa" w:w="198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3,42%</w:t>
            </w:r>
          </w:p>
        </w:tc>
        <w:tc>
          <w:tcPr>
            <w:tcW w:type="dxa" w:w="198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2,32%</w:t>
            </w:r>
          </w:p>
        </w:tc>
      </w:tr>
      <w:tr>
        <w:trPr>
          <w:tblHeader w:val="false"/>
        </w:trPr>
        <w:tc>
          <w:tcPr>
            <w:tcW w:type="dxa" w:w="306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CPC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€ 0,25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€ 0,13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€ 0,24</w:t>
            </w:r>
          </w:p>
        </w:tc>
      </w:tr>
      <w:tr>
        <w:trPr>
          <w:tblHeader w:val="false"/>
        </w:trPr>
        <w:tc>
          <w:tcPr>
            <w:tcW w:type="dxa" w:w="3068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Prenotazioni attribuite</w:t>
            </w:r>
          </w:p>
        </w:tc>
        <w:tc>
          <w:tcPr>
            <w:tcW w:type="dxa" w:w="1986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125</w:t>
            </w:r>
          </w:p>
        </w:tc>
        <w:tc>
          <w:tcPr>
            <w:tcW w:type="dxa" w:w="1986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0</w:t>
            </w:r>
          </w:p>
        </w:tc>
        <w:tc>
          <w:tcPr>
            <w:tcW w:type="dxa" w:w="1986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180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Meta ha speso €615,22 e prodotto zero prenotazioni, zero registrazioni e 169 sessioni di landing.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Il CTR del 3,42% è il più alto dell'account e non si traduce in nulla a valle.</w:t>
      </w:r>
    </w:p>
    <w:p>
      <w:pPr>
        <w:pStyle w:val="Heading1"/>
        <w:pBdr>
          <w:bottom w:val="single" w:color="1F3864" w:sz="12" w:space="6"/>
        </w:pBdr>
        <w:spacing w:after="60" w:before="4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APPENDICE D — NOTE DI METODO</w:t>
      </w:r>
    </w:p>
    <w:p>
      <w:pPr>
        <w:spacing w:after="1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Raggruppamento delle campagne.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Il PDF classifica PMAX | ITALIA | AEREO e SEARCH | ANZIANI | MILANO | PURCHASE come campagne brand (pagina 16) ma le conteggia tra le performance nei KPI di pagina 1. In questo report sono raggruppate secondo la loro natura e coerentemente con gli export Google Ads: AEREO tra le PMax, ANZIANI tra le Search Purchase. Il gruppo "Brand" contiene quindi solo SN - 1225 - Brand e IG - FOLLERS.</w:t>
      </w:r>
    </w:p>
    <w:p>
      <w:pPr>
        <w:spacing w:after="1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Totali.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La somma delle campagne con spesa (€15.076, fee €6.784) differisce dai totali di account del PDF (spesa performance €13.938, fee netta €7.007) perché include brand e partner ed esclude le prenotazioni non attribuite a campagne con spesa. Gli scarti sono dichiarati dove rilevanti.</w:t>
      </w:r>
    </w:p>
    <w:p>
      <w:pPr>
        <w:spacing w:after="1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Riproporzioni.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Ogni confronto tra periodi diversi è riproporzionato linearmente sui giorni e sempre segnalato. Le riproporzioni assumono un ritmo costante: dove il ritmo è noto come variabile — la coda di agosto — il limite è dichiarato nel testo.</w:t>
      </w:r>
    </w:p>
    <w:p>
      <w:pPr>
        <w:spacing w:after="1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Chiamate reali.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Le 403 chiamate sono quelle registrate da Niino sul canale google_ads nella tabella Canali del PDF. Includono le chiamate da tutte le campagne Google, non solo dal gruppo Chiamata: il costo per chiamata di €19,03, calcolato sulla sola spesa del gruppo Chiamata, è quindi una stima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prudente per difetto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444444"/>
        <w:sz w:val="16"/>
        <w:szCs w:val="16"/>
      </w:rPr>
      <w:t xml:space="preserve">Report Incrociato Google Ads × Niino — luglio 2026    ·    </w:t>
    </w:r>
    <w:r>
      <w:rPr>
        <w:rFonts w:ascii="Calibri" w:cs="Calibri" w:eastAsia="Calibri" w:hAnsi="Calibri"/>
        <w:color w:val="44444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Incrociato Google Ads x Niino — Luglio 2026</dc:title>
  <dc:creator>Indigit Marketing</dc:creator>
  <dc:description>Incrocio tra gli export Google Ads e il report Niino di luglio 2026</dc:description>
  <cp:lastModifiedBy>Un-named</cp:lastModifiedBy>
  <cp:revision>1</cp:revision>
  <dcterms:created xsi:type="dcterms:W3CDTF">2026-08-14T16:35:11.665Z</dcterms:created>
  <dcterms:modified xsi:type="dcterms:W3CDTF">2026-08-14T16:35:11.678Z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