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56"/>
          <w:szCs w:val="56"/>
        </w:rPr>
        <w:t xml:space="preserve">PIANO DI CRESCITA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56"/>
          <w:szCs w:val="56"/>
        </w:rPr>
        <w:t xml:space="preserve">e report predittivo</w:t>
      </w:r>
    </w:p>
    <w:p>
      <w:pPr>
        <w:pBdr>
          <w:bottom w:val="single" w:color="1F3864" w:sz="18" w:space="10"/>
        </w:pBdr>
        <w:spacing w:after="200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30"/>
          <w:szCs w:val="30"/>
        </w:rPr>
        <w:t xml:space="preserve">16 agosto → 31 dicembre 2026</w:t>
      </w:r>
    </w:p>
    <w:p>
      <w:pPr>
        <w:spacing w:after="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0"/>
          <w:szCs w:val="20"/>
        </w:rPr>
        <w:t xml:space="preserve">Data di riferimento: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15 agosto 2026</w:t>
      </w:r>
    </w:p>
    <w:p>
      <w:pPr>
        <w:spacing w:after="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0"/>
          <w:szCs w:val="20"/>
        </w:rPr>
        <w:t xml:space="preserve">Orizzonte: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138 giorni</w:t>
      </w:r>
    </w:p>
    <w:p>
      <w:pPr>
        <w:spacing w:after="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0"/>
          <w:szCs w:val="20"/>
        </w:rPr>
        <w:t xml:space="preserve">Base dati: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Report Niino 1/07–31/07 e 1/08–09/08 · export Google Ads 1/07–09/08</w:t>
      </w:r>
    </w:p>
    <w:p>
      <w:pPr>
        <w:spacing w:after="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0"/>
          <w:szCs w:val="20"/>
        </w:rPr>
        <w:t xml:space="preserve">Valuta: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EUR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240" w:before="200"/>
        <w:jc w:val="center"/>
      </w:pPr>
      <w:r>
        <w:drawing>
          <wp:inline distT="0" distB="0" distL="0" distR="0">
            <wp:extent cx="447675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 w:line="252"/>
        <w:ind w:left="2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19"/>
          <w:szCs w:val="19"/>
        </w:rPr>
        <w:t xml:space="preserve">L'ultimo dato osservato è il 9 agosto: i sei giorni dal 10 al 15 non sono coperti da nessuna fonte. La prima azione del piano è estrarre i dati aggiornati e verificare che la base di partenza non si sia già mossa.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1. LA TESI STRATEGICA IN UNA PAGINA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Questo piano parte da una constatazione che i quattro report precedenti hanno stabilito con i dati reali di Niino, non con i proxy di Google Ads: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l'account non ha un problema di volume. Ha un problema di economia unitaria.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Niino non incassa il transato: incassa la fee, cioè il take rate applicato al valore della corsa. Da questo discende un'identità che governa tutto il resto:</w:t>
      </w:r>
    </w:p>
    <w:p>
      <w:pPr>
        <w:pBdr>
          <w:left w:val="single" w:color="2E5C8A" w:sz="18" w:space="10"/>
        </w:pBdr>
        <w:shd w:fill="F2F4F7" w:color="auto" w:val="clear"/>
        <w:spacing w:after="200" w:before="160" w:line="264"/>
        <w:ind w:left="340" w:right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3864"/>
          <w:sz w:val="20"/>
          <w:szCs w:val="20"/>
        </w:rPr>
        <w:t xml:space="preserve">fee per corsa = ticket medio × take rate — e il costo di acquisizione deve stare sotto quella cifra, altrimenti ogni corsa in più allarga la perdita.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Oggi quell'identità dà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€19,37 di fee per corsa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(ticket €181 × take rate 10,7%), a fronte di un costo di acquisizione di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€98,25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 Ogni corsa comprata brucia €79. Ed è per questo che ad agosto, aumentando la spesa del 18,9%, la perdita è aumentata invece di ridursi: il sistema stava comprando più corse, ma corse sempre più piccole.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La conseguenza strategica è netta e vale per tutti i quattro mesi che restano: il budget non è una leva autonoma. È una funzione del ticket medio e del take rate.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Finché quei due numeri non si muovono, ogni euro aggiuntivo di spesa è un euro di perdita aggiuntiva — e il piano lo tratta di conseguenza, tagliando prima e riaprendo solo dopo aver verificato che la condizione economica esista.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Il piano si articola quindi in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tre movimenti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in quest'ordine e non in un altro: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Fermare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— chiudere ciò che perde e riportare i budget nella zona in cui la campagna migliore funzionava davvero. Effetto immediato, nessuna assunzione richiesta.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Riparare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— rimettere in Google Ads i segnali che oggi non riceve, perché senza di essi nessuna riapertura di budget può essere governata. Costa due settimane di instabilità, ed è messo a bilancio.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Ricostruire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— riaprire la spesa solo dove e quando l'economia unitaria lo consente, e lavorare in parallelo sulle due uniche leve che alzano il tetto: ticket medio e take rate.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Il risultato atteso non è un ritorno spettacolare. È questo: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la perdita si ferma a fine agosto, il primo mese in utile è ottobre, e il cumulato del periodo torna positivo a dicembre.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Nel frattempo il numero di corse si dimezza fino a ottobre e torna sopra i livelli attuali a dicembre, ma a un costo sostenibile.</w:t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2. DA DOVE PARTIAMO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Il run rate degli ultimi nove giorni osservati descrive un account che brucia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€461 al giorno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: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4152"/>
        <w:gridCol w:w="2437"/>
        <w:gridCol w:w="2437"/>
      </w:tblGrid>
      <w:tr>
        <w:trPr>
          <w:tblHeader/>
        </w:trPr>
        <w:tc>
          <w:tcPr>
            <w:tcW w:type="dxa" w:w="4152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Metrica</w:t>
            </w:r>
          </w:p>
        </w:tc>
        <w:tc>
          <w:tcPr>
            <w:tcW w:type="dxa" w:w="2437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Valore/giorno</w:t>
            </w:r>
          </w:p>
        </w:tc>
        <w:tc>
          <w:tcPr>
            <w:tcW w:type="dxa" w:w="2437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Lettura</w:t>
            </w:r>
          </w:p>
        </w:tc>
      </w:tr>
      <w:tr>
        <w:trPr>
          <w:tblHeader w:val="false"/>
        </w:trPr>
        <w:tc>
          <w:tcPr>
            <w:tcW w:type="dxa" w:w="415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Spesa (Google + Meta)</w:t>
            </w:r>
          </w:p>
        </w:tc>
        <w:tc>
          <w:tcPr>
            <w:tcW w:type="dxa" w:w="243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€ 567,67</w:t>
            </w:r>
          </w:p>
        </w:tc>
        <w:tc>
          <w:tcPr>
            <w:tcW w:type="dxa" w:w="243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+18,9% su luglio</w:t>
            </w:r>
          </w:p>
        </w:tc>
      </w:tr>
      <w:tr>
        <w:trPr>
          <w:tblHeader w:val="false"/>
        </w:trPr>
        <w:tc>
          <w:tcPr>
            <w:tcW w:type="dxa" w:w="415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Fee Niino netta</w:t>
            </w:r>
          </w:p>
        </w:tc>
        <w:tc>
          <w:tcPr>
            <w:tcW w:type="dxa" w:w="243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€ 106,22</w:t>
            </w:r>
          </w:p>
        </w:tc>
        <w:tc>
          <w:tcPr>
            <w:tcW w:type="dxa" w:w="243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−54% su luglio</w:t>
            </w:r>
          </w:p>
        </w:tc>
      </w:tr>
      <w:tr>
        <w:trPr>
          <w:tblHeader w:val="false"/>
        </w:trPr>
        <w:tc>
          <w:tcPr>
            <w:tcW w:type="dxa" w:w="415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Margine</w:t>
            </w:r>
          </w:p>
        </w:tc>
        <w:tc>
          <w:tcPr>
            <w:tcW w:type="dxa" w:w="243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−€ 461,44</w:t>
            </w:r>
          </w:p>
        </w:tc>
        <w:tc>
          <w:tcPr>
            <w:tcW w:type="dxa" w:w="243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15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Corse nette</w:t>
            </w:r>
          </w:p>
        </w:tc>
        <w:tc>
          <w:tcPr>
            <w:tcW w:type="dxa" w:w="243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5,78</w:t>
            </w:r>
          </w:p>
        </w:tc>
        <w:tc>
          <w:tcPr>
            <w:tcW w:type="dxa" w:w="243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15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ROAS Fee</w:t>
            </w:r>
          </w:p>
        </w:tc>
        <w:tc>
          <w:tcPr>
            <w:tcW w:type="dxa" w:w="243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0,19×</w:t>
            </w:r>
          </w:p>
        </w:tc>
        <w:tc>
          <w:tcPr>
            <w:tcW w:type="dxa" w:w="243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era 0,53× a luglio</w:t>
            </w:r>
          </w:p>
        </w:tc>
      </w:tr>
      <w:tr>
        <w:trPr>
          <w:tblHeader w:val="false"/>
        </w:trPr>
        <w:tc>
          <w:tcPr>
            <w:tcW w:type="dxa" w:w="415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CPA per corsa netta</w:t>
            </w:r>
          </w:p>
        </w:tc>
        <w:tc>
          <w:tcPr>
            <w:tcW w:type="dxa" w:w="243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€ 98,25</w:t>
            </w:r>
          </w:p>
        </w:tc>
        <w:tc>
          <w:tcPr>
            <w:tcW w:type="dxa" w:w="243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15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Ticket medio</w:t>
            </w:r>
          </w:p>
        </w:tc>
        <w:tc>
          <w:tcPr>
            <w:tcW w:type="dxa" w:w="243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€ 181</w:t>
            </w:r>
          </w:p>
        </w:tc>
        <w:tc>
          <w:tcPr>
            <w:tcW w:type="dxa" w:w="243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era € 481 a luglio</w:t>
            </w:r>
          </w:p>
        </w:tc>
      </w:tr>
      <w:tr>
        <w:trPr>
          <w:tblHeader w:val="false"/>
        </w:trPr>
        <w:tc>
          <w:tcPr>
            <w:tcW w:type="dxa" w:w="4152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Fee per corsa netta</w:t>
            </w:r>
          </w:p>
        </w:tc>
        <w:tc>
          <w:tcPr>
            <w:tcW w:type="dxa" w:w="2437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€ 18,38</w:t>
            </w:r>
          </w:p>
        </w:tc>
        <w:tc>
          <w:tcPr>
            <w:tcW w:type="dxa" w:w="2437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serve ≥ € 98 per il pareggio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Il numero che spiega tutti gli altri è il ticket medio: da €481 a €181 in nove giorni.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Non è un problema di piattaforma pubblicitaria, è un problema di che tipo di corse l'advertising sta portando. Il grafico seguente lo mostra campagna per campagna.</w:t>
      </w:r>
    </w:p>
    <w:p>
      <w:pPr>
        <w:spacing w:after="60" w:before="200"/>
        <w:jc w:val="center"/>
      </w:pPr>
      <w:r>
        <w:drawing>
          <wp:inline distT="0" distB="0" distL="0" distR="0">
            <wp:extent cx="447675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17"/>
          <w:szCs w:val="17"/>
        </w:rPr>
        <w:t xml:space="preserve">Il ticket medio è crollato su ogni campagna. Piemonte e Aereo hanno prodotto più corse ad agosto che a luglio, con un valore per corsa dell'84% e del 42% inferiore.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Piemonte è il caso più chiaro: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18 corse nette in nove giorni contro le 14 di tutto luglio, con un ticket medio passato da €481 a €75.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Il sistema ha continuato a lavorare — ha semplicemente smesso di comprare valore e ha iniziato a comprare quantità. È il comportamento previsto di un CPA target impostato su un obiettivo che dovrebbe essere a valore, e ora è confermato dai ticket reali.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3. IL TETTO STRUTTURALE: QUANTO BUDGET REGGE DAVVERO L'ACCOUNT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Prima di pianificare quattro mesi di crescita bisogna sapere quanto budget la macchina attuale è in grado di assorbire senza rompersi. Abbiamo due punti osservati sulla campagna migliore dell'account, e sono sufficienti a disegnare la curva.</w:t>
      </w:r>
    </w:p>
    <w:p>
      <w:pPr>
        <w:spacing w:after="60" w:before="200"/>
        <w:jc w:val="center"/>
      </w:pPr>
      <w:r>
        <w:drawing>
          <wp:inline distT="0" distB="0" distL="0" distR="0">
            <wp:extent cx="447675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17"/>
          <w:szCs w:val="17"/>
        </w:rPr>
        <w:t xml:space="preserve">A € 56/giorno la campagna rendeva 1,85×. Portata a € 119/giorno è scesa a 0,41×. La curva stimata colloca il pareggio intorno a € 150/giorno.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La lettura è controintuitiva ma decisiva per il piano: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la zona di massimo margine non è al budget massimo, ma tra €60 e €90 al giorno.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Oltre €150 la campagna migliore dell'account va in perdita anche nell'ipotesi ottimistica. Agosto ha provato a spendere €119 e ha ottenuto 0,41×.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Questo significa che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il tetto non si sfonda con il budget.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Se la campagna che genera il 70% della fee dell'account satura a €90–150 al giorno, nessuna riallocazione interna porterà l'account a spendere €500 al giorno in profitto. Il tetto si alza in un solo modo: alzando la fee che ogni corsa genera.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Cosa servirebbe per arrivare a € 500 al giorno</w:t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2167"/>
        <w:gridCol w:w="1805"/>
        <w:gridCol w:w="2166"/>
        <w:gridCol w:w="2888"/>
      </w:tblGrid>
      <w:tr>
        <w:trPr>
          <w:tblHeader/>
        </w:trPr>
        <w:tc>
          <w:tcPr>
            <w:tcW w:type="dxa" w:w="2167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Ticket medio</w:t>
            </w:r>
          </w:p>
        </w:tc>
        <w:tc>
          <w:tcPr>
            <w:tcW w:type="dxa" w:w="1805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Take rate</w:t>
            </w:r>
          </w:p>
        </w:tc>
        <w:tc>
          <w:tcPr>
            <w:tcW w:type="dxa" w:w="216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Fee per corsa</w:t>
            </w:r>
          </w:p>
        </w:tc>
        <w:tc>
          <w:tcPr>
            <w:tcW w:type="dxa" w:w="2888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Corse/giorno necessarie a ROAS Fee 1,2×</w:t>
            </w:r>
          </w:p>
        </w:tc>
      </w:tr>
      <w:tr>
        <w:trPr>
          <w:tblHeader w:val="false"/>
        </w:trPr>
        <w:tc>
          <w:tcPr>
            <w:tcW w:type="dxa" w:w="216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€ 397 (oggi, 40 gg)</w:t>
            </w:r>
          </w:p>
        </w:tc>
        <w:tc>
          <w:tcPr>
            <w:tcW w:type="dxa" w:w="18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10,7%</w:t>
            </w:r>
          </w:p>
        </w:tc>
        <w:tc>
          <w:tcPr>
            <w:tcW w:type="dxa" w:w="21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€ 42,48</w:t>
            </w:r>
          </w:p>
        </w:tc>
        <w:tc>
          <w:tcPr>
            <w:tcW w:type="dxa" w:w="288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14,1 — irrealistico</w:t>
            </w:r>
          </w:p>
        </w:tc>
      </w:tr>
      <w:tr>
        <w:trPr>
          <w:tblHeader w:val="false"/>
        </w:trPr>
        <w:tc>
          <w:tcPr>
            <w:tcW w:type="dxa" w:w="216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€ 481 (luglio)</w:t>
            </w:r>
          </w:p>
        </w:tc>
        <w:tc>
          <w:tcPr>
            <w:tcW w:type="dxa" w:w="180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10,7%</w:t>
            </w:r>
          </w:p>
        </w:tc>
        <w:tc>
          <w:tcPr>
            <w:tcW w:type="dxa" w:w="216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€ 51,47</w:t>
            </w:r>
          </w:p>
        </w:tc>
        <w:tc>
          <w:tcPr>
            <w:tcW w:type="dxa" w:w="288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11,7 — irrealistico</w:t>
            </w:r>
          </w:p>
        </w:tc>
      </w:tr>
      <w:tr>
        <w:trPr>
          <w:tblHeader w:val="false"/>
        </w:trPr>
        <w:tc>
          <w:tcPr>
            <w:tcW w:type="dxa" w:w="216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€ 520 (target dicembre)</w:t>
            </w:r>
          </w:p>
        </w:tc>
        <w:tc>
          <w:tcPr>
            <w:tcW w:type="dxa" w:w="18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12,0%</w:t>
            </w:r>
          </w:p>
        </w:tc>
        <w:tc>
          <w:tcPr>
            <w:tcW w:type="dxa" w:w="21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€ 62,40</w:t>
            </w:r>
          </w:p>
        </w:tc>
        <w:tc>
          <w:tcPr>
            <w:tcW w:type="dxa" w:w="288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9,6 — fuori portata entro l'anno</w:t>
            </w:r>
          </w:p>
        </w:tc>
      </w:tr>
      <w:tr>
        <w:trPr>
          <w:tblHeader w:val="false"/>
        </w:trPr>
        <w:tc>
          <w:tcPr>
            <w:tcW w:type="dxa" w:w="216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€ 650</w:t>
            </w:r>
          </w:p>
        </w:tc>
        <w:tc>
          <w:tcPr>
            <w:tcW w:type="dxa" w:w="180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12,0%</w:t>
            </w:r>
          </w:p>
        </w:tc>
        <w:tc>
          <w:tcPr>
            <w:tcW w:type="dxa" w:w="216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€ 78,00</w:t>
            </w:r>
          </w:p>
        </w:tc>
        <w:tc>
          <w:tcPr>
            <w:tcW w:type="dxa" w:w="288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7,7 — obiettivo 2027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Oggi le corse nette sono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5,78 al giorno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; il piano ne prevede 6,7 a dicembre.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Un budget da €500/giorno non è raggiungibile entro l'anno in nessuna combinazione realistica.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Va detto ora, perché è il vincolo che rende onesto tutto il resto del documento.</w:t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4. MOVIMENTO 1 — FERMARE (16–31 AGOSTO)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Il primo movimento non richiede alcuna assunzione: agisce su campagne che stanno già perdendo, con numeri già misurati. È la parte del piano con il miglior rapporto rischio/rendimento, e va eseguita entro la settimana.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Le 12 campagne da chiudere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Nei nove giorni di agosto queste campagne hanno assorbito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€279,33 al giorno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e prodotto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€7,89 al giorno di fee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 Sei di esse hanno prodotto zero prenotazioni.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5054"/>
        <w:gridCol w:w="1625"/>
        <w:gridCol w:w="2347"/>
      </w:tblGrid>
      <w:tr>
        <w:trPr>
          <w:tblHeader/>
        </w:trPr>
        <w:tc>
          <w:tcPr>
            <w:tcW w:type="dxa" w:w="505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Campagna</w:t>
            </w:r>
          </w:p>
        </w:tc>
        <w:tc>
          <w:tcPr>
            <w:tcW w:type="dxa" w:w="1625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Spesa/gg</w:t>
            </w:r>
          </w:p>
        </w:tc>
        <w:tc>
          <w:tcPr>
            <w:tcW w:type="dxa" w:w="2347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Perché</w:t>
            </w:r>
          </w:p>
        </w:tc>
      </w:tr>
      <w:tr>
        <w:trPr>
          <w:tblHeader w:val="false"/>
        </w:trPr>
        <w:tc>
          <w:tcPr>
            <w:tcW w:type="dxa" w:w="50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ROMA</w:t>
            </w:r>
          </w:p>
        </w:tc>
        <w:tc>
          <w:tcPr>
            <w:tcW w:type="dxa" w:w="16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€ 86,89</w:t>
            </w:r>
          </w:p>
        </w:tc>
        <w:tc>
          <w:tcPr>
            <w:tcW w:type="dxa" w:w="234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zero prenotazioni in 9 giorni</w:t>
            </w:r>
          </w:p>
        </w:tc>
      </w:tr>
      <w:tr>
        <w:trPr>
          <w:tblHeader w:val="false"/>
        </w:trPr>
        <w:tc>
          <w:tcPr>
            <w:tcW w:type="dxa" w:w="50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CHIAMATA | LUNGA PERCORRENZA (attiva)</w:t>
            </w:r>
          </w:p>
        </w:tc>
        <w:tc>
          <w:tcPr>
            <w:tcW w:type="dxa" w:w="162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€ 51,89</w:t>
            </w:r>
          </w:p>
        </w:tc>
        <w:tc>
          <w:tcPr>
            <w:tcW w:type="dxa" w:w="234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ROAS Fee 0,06× ad agosto</w:t>
            </w:r>
          </w:p>
        </w:tc>
      </w:tr>
      <w:tr>
        <w:trPr>
          <w:tblHeader w:val="false"/>
        </w:trPr>
        <w:tc>
          <w:tcPr>
            <w:tcW w:type="dxa" w:w="50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PUGLIA</w:t>
            </w:r>
          </w:p>
        </w:tc>
        <w:tc>
          <w:tcPr>
            <w:tcW w:type="dxa" w:w="16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€ 29,67</w:t>
            </w:r>
          </w:p>
        </w:tc>
        <w:tc>
          <w:tcPr>
            <w:tcW w:type="dxa" w:w="234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ROAS Fee 0,00× ad agosto</w:t>
            </w:r>
          </w:p>
        </w:tc>
      </w:tr>
      <w:tr>
        <w:trPr>
          <w:tblHeader w:val="false"/>
        </w:trPr>
        <w:tc>
          <w:tcPr>
            <w:tcW w:type="dxa" w:w="50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MILANO</w:t>
            </w:r>
          </w:p>
        </w:tc>
        <w:tc>
          <w:tcPr>
            <w:tcW w:type="dxa" w:w="162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€ 21,56</w:t>
            </w:r>
          </w:p>
        </w:tc>
        <w:tc>
          <w:tcPr>
            <w:tcW w:type="dxa" w:w="234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zero prenotazioni</w:t>
            </w:r>
          </w:p>
        </w:tc>
      </w:tr>
      <w:tr>
        <w:trPr>
          <w:tblHeader w:val="false"/>
        </w:trPr>
        <w:tc>
          <w:tcPr>
            <w:tcW w:type="dxa" w:w="50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IG - FOLLERS (Meta)</w:t>
            </w:r>
          </w:p>
        </w:tc>
        <w:tc>
          <w:tcPr>
            <w:tcW w:type="dxa" w:w="16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€ 20,33</w:t>
            </w:r>
          </w:p>
        </w:tc>
        <w:tc>
          <w:tcPr>
            <w:tcW w:type="dxa" w:w="234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zero prenotazioni in 40 giorni</w:t>
            </w:r>
          </w:p>
        </w:tc>
      </w:tr>
      <w:tr>
        <w:trPr>
          <w:tblHeader w:val="false"/>
        </w:trPr>
        <w:tc>
          <w:tcPr>
            <w:tcW w:type="dxa" w:w="50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 | LOMBARDIA | AMBULANZA</w:t>
            </w:r>
          </w:p>
        </w:tc>
        <w:tc>
          <w:tcPr>
            <w:tcW w:type="dxa" w:w="162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€ 19,67</w:t>
            </w:r>
          </w:p>
        </w:tc>
        <w:tc>
          <w:tcPr>
            <w:tcW w:type="dxa" w:w="234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ROAS Fee 0,12× sui 40 giorni</w:t>
            </w:r>
          </w:p>
        </w:tc>
      </w:tr>
      <w:tr>
        <w:trPr>
          <w:tblHeader w:val="false"/>
        </w:trPr>
        <w:tc>
          <w:tcPr>
            <w:tcW w:type="dxa" w:w="50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TORINO</w:t>
            </w:r>
          </w:p>
        </w:tc>
        <w:tc>
          <w:tcPr>
            <w:tcW w:type="dxa" w:w="16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€ 17,89</w:t>
            </w:r>
          </w:p>
        </w:tc>
        <w:tc>
          <w:tcPr>
            <w:tcW w:type="dxa" w:w="234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zero prenotazioni; 40% cancellazioni</w:t>
            </w:r>
          </w:p>
        </w:tc>
      </w:tr>
      <w:tr>
        <w:trPr>
          <w:tblHeader w:val="false"/>
        </w:trPr>
        <w:tc>
          <w:tcPr>
            <w:tcW w:type="dxa" w:w="50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BOLOGNA</w:t>
            </w:r>
          </w:p>
        </w:tc>
        <w:tc>
          <w:tcPr>
            <w:tcW w:type="dxa" w:w="162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€ 11,67</w:t>
            </w:r>
          </w:p>
        </w:tc>
        <w:tc>
          <w:tcPr>
            <w:tcW w:type="dxa" w:w="234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zero prenotazioni</w:t>
            </w:r>
          </w:p>
        </w:tc>
      </w:tr>
      <w:tr>
        <w:trPr>
          <w:tblHeader w:val="false"/>
        </w:trPr>
        <w:tc>
          <w:tcPr>
            <w:tcW w:type="dxa" w:w="50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AGRIGENTO</w:t>
            </w:r>
          </w:p>
        </w:tc>
        <w:tc>
          <w:tcPr>
            <w:tcW w:type="dxa" w:w="16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€ 9,11</w:t>
            </w:r>
          </w:p>
        </w:tc>
        <w:tc>
          <w:tcPr>
            <w:tcW w:type="dxa" w:w="234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 corsa in 40 giorni</w:t>
            </w:r>
          </w:p>
        </w:tc>
      </w:tr>
      <w:tr>
        <w:trPr>
          <w:tblHeader w:val="false"/>
        </w:trPr>
        <w:tc>
          <w:tcPr>
            <w:tcW w:type="dxa" w:w="50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BARI</w:t>
            </w:r>
          </w:p>
        </w:tc>
        <w:tc>
          <w:tcPr>
            <w:tcW w:type="dxa" w:w="162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€ 6,33</w:t>
            </w:r>
          </w:p>
        </w:tc>
        <w:tc>
          <w:tcPr>
            <w:tcW w:type="dxa" w:w="234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volumi sotto soglia</w:t>
            </w:r>
          </w:p>
        </w:tc>
      </w:tr>
      <w:tr>
        <w:trPr>
          <w:tblHeader w:val="false"/>
        </w:trPr>
        <w:tc>
          <w:tcPr>
            <w:tcW w:type="dxa" w:w="50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VARESE 2</w:t>
            </w:r>
          </w:p>
        </w:tc>
        <w:tc>
          <w:tcPr>
            <w:tcW w:type="dxa" w:w="16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€ 4,33</w:t>
            </w:r>
          </w:p>
        </w:tc>
        <w:tc>
          <w:tcPr>
            <w:tcW w:type="dxa" w:w="234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67% di cancellazioni</w:t>
            </w:r>
          </w:p>
        </w:tc>
      </w:tr>
      <w:tr>
        <w:trPr>
          <w:tblHeader w:val="false"/>
        </w:trPr>
        <w:tc>
          <w:tcPr>
            <w:tcW w:type="dxa" w:w="50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CHIAMATA | LUNGA PERCORRENZA (in pausa)</w:t>
            </w:r>
          </w:p>
        </w:tc>
        <w:tc>
          <w:tcPr>
            <w:tcW w:type="dxa" w:w="162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€ 0</w:t>
            </w:r>
          </w:p>
        </w:tc>
        <w:tc>
          <w:tcPr>
            <w:tcW w:type="dxa" w:w="234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€ 755 spesi da in pausa: da chiarire</w:t>
            </w:r>
          </w:p>
        </w:tc>
      </w:tr>
      <w:tr>
        <w:trPr>
          <w:tblHeader w:val="false"/>
        </w:trPr>
        <w:tc>
          <w:tcPr>
            <w:tcW w:type="dxa" w:w="5054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Totale</w:t>
            </w:r>
          </w:p>
        </w:tc>
        <w:tc>
          <w:tcPr>
            <w:tcW w:type="dxa" w:w="1625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€ 279,33</w:t>
            </w:r>
          </w:p>
        </w:tc>
        <w:tc>
          <w:tcPr>
            <w:tcW w:type="dxa" w:w="2347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per € 7,89/gg di fee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Il reset dei budget sulle campagne che restano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Le nove campagne superstiti non vengono lasciate come sono: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vengono riportate nella zona di budget in cui funzionavano.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Italia Ambulanza torna da €118,78 a €60 al giorno — il livello di luglio, quello del punto a 1,85× sulla curva. Piemonte e Aereo, che ad agosto hanno prodotto volume a ticket crollato, scendono a €30 e €25.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Le uniche due campagne che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aumentano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di budget sono le Search Purchase di Milano e Roma: sono le sole con ROAS Fee in tenuta o in miglioramento (Milano è passata da 0,37× a 1,19×) e con cancellazioni basse o nulle.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3249"/>
        <w:gridCol w:w="1354"/>
        <w:gridCol w:w="1354"/>
        <w:gridCol w:w="1083"/>
        <w:gridCol w:w="1083"/>
        <w:gridCol w:w="903"/>
      </w:tblGrid>
      <w:tr>
        <w:trPr>
          <w:tblHeader/>
        </w:trPr>
        <w:tc>
          <w:tcPr>
            <w:tcW w:type="dxa" w:w="3249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Campagna</w:t>
            </w:r>
          </w:p>
        </w:tc>
        <w:tc>
          <w:tcPr>
            <w:tcW w:type="dxa" w:w="135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Oggi/gg</w:t>
            </w:r>
          </w:p>
        </w:tc>
        <w:tc>
          <w:tcPr>
            <w:tcW w:type="dxa" w:w="135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Piano/gg</w:t>
            </w:r>
          </w:p>
        </w:tc>
        <w:tc>
          <w:tcPr>
            <w:tcW w:type="dxa" w:w="108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ROAS Fee</w:t>
            </w:r>
          </w:p>
        </w:tc>
        <w:tc>
          <w:tcPr>
            <w:tcW w:type="dxa" w:w="108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Fee/gg</w:t>
            </w:r>
          </w:p>
        </w:tc>
        <w:tc>
          <w:tcPr>
            <w:tcW w:type="dxa" w:w="90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Corse/gg</w:t>
            </w:r>
          </w:p>
        </w:tc>
      </w:tr>
      <w:tr>
        <w:trPr>
          <w:tblHeader w:val="false"/>
        </w:trPr>
        <w:tc>
          <w:tcPr>
            <w:tcW w:type="dxa" w:w="324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PMAX | ITALIA | AMBULANZA</w:t>
            </w:r>
          </w:p>
        </w:tc>
        <w:tc>
          <w:tcPr>
            <w:tcW w:type="dxa" w:w="13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€ 118,78</w:t>
            </w:r>
          </w:p>
        </w:tc>
        <w:tc>
          <w:tcPr>
            <w:tcW w:type="dxa" w:w="13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€ 60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1,30×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€ 78,00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0,45</w:t>
            </w:r>
          </w:p>
        </w:tc>
      </w:tr>
      <w:tr>
        <w:trPr>
          <w:tblHeader w:val="false"/>
        </w:trPr>
        <w:tc>
          <w:tcPr>
            <w:tcW w:type="dxa" w:w="3249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 | PIEMONTE | AMBULANZA</w:t>
            </w:r>
          </w:p>
        </w:tc>
        <w:tc>
          <w:tcPr>
            <w:tcW w:type="dxa" w:w="13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€ 66,22</w:t>
            </w:r>
          </w:p>
        </w:tc>
        <w:tc>
          <w:tcPr>
            <w:tcW w:type="dxa" w:w="13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€ 30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0,61×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€ 18,30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0,52</w:t>
            </w:r>
          </w:p>
        </w:tc>
      </w:tr>
      <w:tr>
        <w:trPr>
          <w:tblHeader w:val="false"/>
        </w:trPr>
        <w:tc>
          <w:tcPr>
            <w:tcW w:type="dxa" w:w="324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 | ITALIA | AEREO</w:t>
            </w:r>
          </w:p>
        </w:tc>
        <w:tc>
          <w:tcPr>
            <w:tcW w:type="dxa" w:w="13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€ 51,11</w:t>
            </w:r>
          </w:p>
        </w:tc>
        <w:tc>
          <w:tcPr>
            <w:tcW w:type="dxa" w:w="13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€ 25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0,43×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€ 10,75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0,54</w:t>
            </w:r>
          </w:p>
        </w:tc>
      </w:tr>
      <w:tr>
        <w:trPr>
          <w:tblHeader w:val="false"/>
        </w:trPr>
        <w:tc>
          <w:tcPr>
            <w:tcW w:type="dxa" w:w="3249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PURCHASE | MILANO</w:t>
            </w:r>
          </w:p>
        </w:tc>
        <w:tc>
          <w:tcPr>
            <w:tcW w:type="dxa" w:w="13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€ 5,89</w:t>
            </w:r>
          </w:p>
        </w:tc>
        <w:tc>
          <w:tcPr>
            <w:tcW w:type="dxa" w:w="13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€ 25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0,80×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€ 20,00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0,47</w:t>
            </w:r>
          </w:p>
        </w:tc>
      </w:tr>
      <w:tr>
        <w:trPr>
          <w:tblHeader w:val="false"/>
        </w:trPr>
        <w:tc>
          <w:tcPr>
            <w:tcW w:type="dxa" w:w="324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PURCHASE | ROMA</w:t>
            </w:r>
          </w:p>
        </w:tc>
        <w:tc>
          <w:tcPr>
            <w:tcW w:type="dxa" w:w="13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€ 1,22</w:t>
            </w:r>
          </w:p>
        </w:tc>
        <w:tc>
          <w:tcPr>
            <w:tcW w:type="dxa" w:w="13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€ 15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0,60×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€ 9,00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0,44</w:t>
            </w:r>
          </w:p>
        </w:tc>
      </w:tr>
      <w:tr>
        <w:trPr>
          <w:tblHeader w:val="false"/>
        </w:trPr>
        <w:tc>
          <w:tcPr>
            <w:tcW w:type="dxa" w:w="3249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MILANO | DIMISSIONI</w:t>
            </w:r>
          </w:p>
        </w:tc>
        <w:tc>
          <w:tcPr>
            <w:tcW w:type="dxa" w:w="13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€ 29,89</w:t>
            </w:r>
          </w:p>
        </w:tc>
        <w:tc>
          <w:tcPr>
            <w:tcW w:type="dxa" w:w="13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€ 20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0,51×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€ 10,20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0,21</w:t>
            </w:r>
          </w:p>
        </w:tc>
      </w:tr>
      <w:tr>
        <w:trPr>
          <w:tblHeader w:val="false"/>
        </w:trPr>
        <w:tc>
          <w:tcPr>
            <w:tcW w:type="dxa" w:w="324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PALERMO</w:t>
            </w:r>
          </w:p>
        </w:tc>
        <w:tc>
          <w:tcPr>
            <w:tcW w:type="dxa" w:w="13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€ 9,33</w:t>
            </w:r>
          </w:p>
        </w:tc>
        <w:tc>
          <w:tcPr>
            <w:tcW w:type="dxa" w:w="13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€ 10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0,45×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€ 4,50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0,16</w:t>
            </w:r>
          </w:p>
        </w:tc>
      </w:tr>
      <w:tr>
        <w:trPr>
          <w:tblHeader w:val="false"/>
        </w:trPr>
        <w:tc>
          <w:tcPr>
            <w:tcW w:type="dxa" w:w="3249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ANZIANI | MILANO</w:t>
            </w:r>
          </w:p>
        </w:tc>
        <w:tc>
          <w:tcPr>
            <w:tcW w:type="dxa" w:w="13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€ 0,56</w:t>
            </w:r>
          </w:p>
        </w:tc>
        <w:tc>
          <w:tcPr>
            <w:tcW w:type="dxa" w:w="13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€ 5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0,49×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€ 2,45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0,10</w:t>
            </w:r>
          </w:p>
        </w:tc>
      </w:tr>
      <w:tr>
        <w:trPr>
          <w:tblHeader w:val="false"/>
        </w:trPr>
        <w:tc>
          <w:tcPr>
            <w:tcW w:type="dxa" w:w="324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SN - 1225 - Brand</w:t>
            </w:r>
          </w:p>
        </w:tc>
        <w:tc>
          <w:tcPr>
            <w:tcW w:type="dxa" w:w="13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€ 5,33</w:t>
            </w:r>
          </w:p>
        </w:tc>
        <w:tc>
          <w:tcPr>
            <w:tcW w:type="dxa" w:w="13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€ 5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0,27×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€ 1,35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0,05</w:t>
            </w:r>
          </w:p>
        </w:tc>
      </w:tr>
      <w:tr>
        <w:trPr>
          <w:tblHeader w:val="false"/>
        </w:trPr>
        <w:tc>
          <w:tcPr>
            <w:tcW w:type="dxa" w:w="3249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Totale</w:t>
            </w:r>
          </w:p>
        </w:tc>
        <w:tc>
          <w:tcPr>
            <w:tcW w:type="dxa" w:w="1354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€ 288,33</w:t>
            </w:r>
          </w:p>
        </w:tc>
        <w:tc>
          <w:tcPr>
            <w:tcW w:type="dxa" w:w="1354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€ 195</w:t>
            </w:r>
          </w:p>
        </w:tc>
        <w:tc>
          <w:tcPr>
            <w:tcW w:type="dxa" w:w="1083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26A00"/>
                <w:sz w:val="19"/>
                <w:szCs w:val="19"/>
              </w:rPr>
              <w:t xml:space="preserve">0,79×</w:t>
            </w:r>
          </w:p>
        </w:tc>
        <w:tc>
          <w:tcPr>
            <w:tcW w:type="dxa" w:w="1083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€ 154,55</w:t>
            </w:r>
          </w:p>
        </w:tc>
        <w:tc>
          <w:tcPr>
            <w:tcW w:type="dxa" w:w="903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2,95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Messi insieme, i due interventi valgono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€421 al giorno di margine recuperato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 Il grafico scompone da dove arrivano.</w:t>
      </w:r>
    </w:p>
    <w:p>
      <w:pPr>
        <w:spacing w:after="60" w:before="200"/>
        <w:jc w:val="center"/>
      </w:pPr>
      <w:r>
        <w:drawing>
          <wp:inline distT="0" distB="0" distL="0" distR="0">
            <wp:extent cx="4476750" cy="217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17"/>
          <w:szCs w:val="17"/>
        </w:rPr>
        <w:t xml:space="preserve">Il grosso del recupero (€ 271) viene dalle chiusure; il reset dei budget PMax ne aggiunge € 148. La riparametrazione delle Search è quasi neutra.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Il costo di questo movimento va detto con la stessa chiarezza del beneficio: le corse nette scendono da 5,78 a 2,95 al giorno, cioè si dimezzano.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Non è un effetto collaterale imprevisto, è il prezzo esplicito di riportare il CPA da €98 a €66. Le corse si recuperano a novembre e si superano a dicembre — a un costo sostenibile invece che a €98 l'una.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5. MOVIMENTO 2 — RIPARARE (1–15 SETTEMBRE)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Questo è il movimento che nessuno vuole fare perché peggiora i numeri nel breve, ed è esattamente per questo che va calendarizzato adesso, con il calo già messo a bilancio.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Il report incrociato ha stabilito che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Google Ads è cieco su quattro azioni di conversione su otto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: prenotazioni, GMV, registrazioni e conversazioni non arrivano in piattaforma, pur essendo tutte misurate da Niino. In più, il conteggio delle chiamate è gonfiato di circa il 50% dalla sovrapposizione tra Click-to-call e Calls from ads, e il valore di Niino Revenue per campagna oscilla tra il 20% e il 183% del valore reale.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Finché resta così, ogni strategia automatica sta ottimizzando su dati che sappiamo essere sbagliati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— e la riapertura di budget del movimento 3 non sarebbe governabile: si starebbe scalando alla cieca, esattamente come è stato fatto a fine luglio.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451"/>
        <w:gridCol w:w="4062"/>
        <w:gridCol w:w="4513"/>
      </w:tblGrid>
      <w:tr>
        <w:trPr>
          <w:tblHeader/>
        </w:trPr>
        <w:tc>
          <w:tcPr>
            <w:tcW w:type="dxa" w:w="451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4062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Intervento</w:t>
            </w:r>
          </w:p>
        </w:tc>
        <w:tc>
          <w:tcPr>
            <w:tcW w:type="dxa" w:w="451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Perché è prerequisito</w:t>
            </w:r>
          </w:p>
        </w:tc>
      </w:tr>
      <w:tr>
        <w:trPr>
          <w:tblHeader w:val="false"/>
        </w:trPr>
        <w:tc>
          <w:tcPr>
            <w:tcW w:type="dxa" w:w="451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406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Rimuovere "Calls from ads" dalle conversioni di offerta</w:t>
            </w:r>
          </w:p>
        </w:tc>
        <w:tc>
          <w:tcPr>
            <w:tcW w:type="dxa" w:w="451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Il CPA target di 11 campagne lavora su un denominatore gonfiato del 50%</w:t>
            </w:r>
          </w:p>
        </w:tc>
      </w:tr>
      <w:tr>
        <w:trPr>
          <w:tblHeader w:val="false"/>
        </w:trPr>
        <w:tc>
          <w:tcPr>
            <w:tcW w:type="dxa" w:w="451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406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Importare le 4 azioni a zero: prenotazione, GMV, signup, conversazione</w:t>
            </w:r>
          </w:p>
        </w:tc>
        <w:tc>
          <w:tcPr>
            <w:tcW w:type="dxa" w:w="451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Senza il segnale di valore, "Massimizza il valore di conversione" non ha nulla da massimizzare</w:t>
            </w:r>
          </w:p>
        </w:tc>
      </w:tr>
      <w:tr>
        <w:trPr>
          <w:tblHeader w:val="false"/>
        </w:trPr>
        <w:tc>
          <w:tcPr>
            <w:tcW w:type="dxa" w:w="451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406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Importare le cancellazioni come conversione negativa</w:t>
            </w:r>
          </w:p>
        </w:tc>
        <w:tc>
          <w:tcPr>
            <w:tcW w:type="dxa" w:w="451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Il 25% delle prenotazioni contate non avverrà: oggi l'algoritmo le insegue comunque</w:t>
            </w:r>
          </w:p>
        </w:tc>
      </w:tr>
      <w:tr>
        <w:trPr>
          <w:tblHeader w:val="false"/>
        </w:trPr>
        <w:tc>
          <w:tcPr>
            <w:tcW w:type="dxa" w:w="451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406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Verificare l'attribuzione di Niino Revenue per campagna</w:t>
            </w:r>
          </w:p>
        </w:tc>
        <w:tc>
          <w:tcPr>
            <w:tcW w:type="dxa" w:w="451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 una copertura dal 20% al 183%, ogni riallocazione automatica è cieca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left w:val="single" w:color="2E5C8A" w:sz="18" w:space="10"/>
        </w:pBdr>
        <w:shd w:fill="F2F4F7" w:color="auto" w:val="clear"/>
        <w:spacing w:after="200" w:before="160" w:line="264"/>
        <w:ind w:left="340" w:right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3864"/>
          <w:sz w:val="20"/>
          <w:szCs w:val="20"/>
        </w:rPr>
        <w:t xml:space="preserve">Il ROAS Fee scende in questa fase, da 0,79× a 0,70×, ed è previsto: cambiare le azioni di conversione azzera lo storico di apprendimento. Va fatto tutto insieme in due settimane, non spalmato — due settimane di instabilità sono il prezzo di tre mesi di dati corretti.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In parallelo, e senza costi pubblicitari, vanno chiusi due lavori a valle: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il rifacimento degli asset di Piemonte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(Google segnala "efficacia dell'annuncio scadente") e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l'analisi del 29% di cancellazioni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sulle regionali PMax, che è un problema successivo al clic e non risolvibile in piattaforma.</w:t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6. MOVIMENTO 3 — RICOSTRUIRE (16 SETTEMBRE → 31 DICEMBRE)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Solo ora si riapre il budget, e solo attraverso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gate verificabili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 Ogni fase ha una condizione di ingresso: se non è soddisfatta non si passa alla successiva, si resta sulla precedente e si lavora sul blocco. Questo è ciò che a fine luglio è mancato.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1444"/>
        <w:gridCol w:w="1264"/>
        <w:gridCol w:w="1083"/>
        <w:gridCol w:w="1083"/>
        <w:gridCol w:w="4152"/>
      </w:tblGrid>
      <w:tr>
        <w:trPr>
          <w:tblHeader/>
        </w:trPr>
        <w:tc>
          <w:tcPr>
            <w:tcW w:type="dxa" w:w="144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126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Periodo</w:t>
            </w:r>
          </w:p>
        </w:tc>
        <w:tc>
          <w:tcPr>
            <w:tcW w:type="dxa" w:w="108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Budget/gg</w:t>
            </w:r>
          </w:p>
        </w:tc>
        <w:tc>
          <w:tcPr>
            <w:tcW w:type="dxa" w:w="108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ROAS Fee</w:t>
            </w:r>
          </w:p>
        </w:tc>
        <w:tc>
          <w:tcPr>
            <w:tcW w:type="dxa" w:w="4152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Gate di ingresso</w:t>
            </w:r>
          </w:p>
        </w:tc>
      </w:tr>
      <w:tr>
        <w:trPr>
          <w:tblHeader w:val="false"/>
        </w:trPr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F0 Reset</w:t>
            </w:r>
          </w:p>
        </w:tc>
        <w:tc>
          <w:tcPr>
            <w:tcW w:type="dxa" w:w="126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16–31 ago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€ 195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0,79×</w:t>
            </w:r>
          </w:p>
        </w:tc>
        <w:tc>
          <w:tcPr>
            <w:tcW w:type="dxa" w:w="415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nessuno — si parte</w:t>
            </w:r>
          </w:p>
        </w:tc>
      </w:tr>
      <w:tr>
        <w:trPr>
          <w:tblHeader w:val="false"/>
        </w:trPr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F1 Riparazione</w:t>
            </w:r>
          </w:p>
        </w:tc>
        <w:tc>
          <w:tcPr>
            <w:tcW w:type="dxa" w:w="126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1–15 set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€ 195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26A00"/>
                <w:sz w:val="19"/>
                <w:szCs w:val="19"/>
              </w:rPr>
              <w:t xml:space="preserve">0,70×</w:t>
            </w:r>
          </w:p>
        </w:tc>
        <w:tc>
          <w:tcPr>
            <w:tcW w:type="dxa" w:w="415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nessuno — si parte</w:t>
            </w:r>
          </w:p>
        </w:tc>
      </w:tr>
      <w:tr>
        <w:trPr>
          <w:tblHeader w:val="false"/>
        </w:trPr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F2 Recupero</w:t>
            </w:r>
          </w:p>
        </w:tc>
        <w:tc>
          <w:tcPr>
            <w:tcW w:type="dxa" w:w="126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16–30 set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€ 225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0,94×</w:t>
            </w:r>
          </w:p>
        </w:tc>
        <w:tc>
          <w:tcPr>
            <w:tcW w:type="dxa" w:w="415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4 azioni registrano dati e le cancellazioni rientrano</w:t>
            </w:r>
          </w:p>
        </w:tc>
      </w:tr>
      <w:tr>
        <w:trPr>
          <w:tblHeader w:val="false"/>
        </w:trPr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F3 Efficienza</w:t>
            </w:r>
          </w:p>
        </w:tc>
        <w:tc>
          <w:tcPr>
            <w:tcW w:type="dxa" w:w="126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ottobre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€ 225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1,08×</w:t>
            </w:r>
          </w:p>
        </w:tc>
        <w:tc>
          <w:tcPr>
            <w:tcW w:type="dxa" w:w="415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ROAS Fee portafoglio ≥ 0,90× e ticket ≥ € 400</w:t>
            </w:r>
          </w:p>
        </w:tc>
      </w:tr>
      <w:tr>
        <w:trPr>
          <w:tblHeader w:val="false"/>
        </w:trPr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F4 Prima crescita</w:t>
            </w:r>
          </w:p>
        </w:tc>
        <w:tc>
          <w:tcPr>
            <w:tcW w:type="dxa" w:w="126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novembre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€ 300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1,05×</w:t>
            </w:r>
          </w:p>
        </w:tc>
        <w:tc>
          <w:tcPr>
            <w:tcW w:type="dxa" w:w="415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ottobre chiude ≥ 1,0× e la decisione sul take rate è presa</w:t>
            </w:r>
          </w:p>
        </w:tc>
      </w:tr>
      <w:tr>
        <w:trPr>
          <w:tblHeader w:val="false"/>
        </w:trPr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F5 Scale</w:t>
            </w:r>
          </w:p>
        </w:tc>
        <w:tc>
          <w:tcPr>
            <w:tcW w:type="dxa" w:w="126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dicembre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€ 380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1,10×</w:t>
            </w:r>
          </w:p>
        </w:tc>
        <w:tc>
          <w:tcPr>
            <w:tcW w:type="dxa" w:w="415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novembre chiude ≥ 1,0× e ticket ≥ € 480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Il dettaglio di ciò che succede in ciascuna fase: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F2 — Recupero (16–30 settembre)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Italia Ambulanza risale da €60 a €90 al giorno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in due step da +25% a una settimana di distanza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e solo ora passa da CPA target a Massimizza il valore di conversione — mai prima dell'import delle azioni, altrimenti ottimizzerebbe su un valore incompleto. Si apre in parallelo il test di riattivazione di Search Purchase Milano a €25/giorno.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Stop automatico: se il ROAS Fee settimanale scende sotto 1,2×, si torna a €60 lo stesso giorno.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F3 — Efficienza (ottobre)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Nessun aumento di budget per tutto il mese.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Ottobre è il mese in cui si misura se le correzioni di tracciamento hanno funzionato: il budget resta fermo a €225 e si guarda solo l'efficienza. È anche il mese in cui parte il test più importante per il 2027 —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una campagna dedicata ai trasferimenti nazionali a lunga percorrenza, €30/giorno, separata dal resto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per verificare se il segmento a ticket alto è aggredibile in modo sistematico.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F4 — Prima crescita (novembre)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Il budget sale da €225 a €300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in tre step settimanali da +10%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e ogni step si conferma solo se la settimana precedente ha chiuso sopra 1,0×. È il mese in cui si applica il nuovo take rate sui trasferimenti a lunga percorrenza, e in cui il test sul ticket alto viene scalato da €30 a €80/giorno se ha tenuto ≥ 1,5×.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F5 — Scale (dicembre)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Budget da €300 a €380. Si valuta la riapertura selettiva di una o due delle campagne chiuse in F0,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ma solo se la fee per chiamata rimisurata supera €10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— oggi è €2,49. Il mese si chiude con il consuntivo e il piano 2027, che sarà un piano sul ticket, non sul budget.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7. IL RISULTATO ATTESO</w:t>
      </w:r>
    </w:p>
    <w:p>
      <w:pPr>
        <w:spacing w:after="60" w:before="200"/>
        <w:jc w:val="center"/>
      </w:pPr>
      <w:r>
        <w:drawing>
          <wp:inline distT="0" distB="0" distL="0" distR="0">
            <wp:extent cx="447675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17"/>
          <w:szCs w:val="17"/>
        </w:rPr>
        <w:t xml:space="preserve">Agosto e settembre restano in perdita per costruzione. Ottobre è il primo mese in utile; dicembre porta il cumulato del periodo in positivo.</w:t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1444"/>
        <w:gridCol w:w="1354"/>
        <w:gridCol w:w="1264"/>
        <w:gridCol w:w="1354"/>
        <w:gridCol w:w="1083"/>
        <w:gridCol w:w="1083"/>
        <w:gridCol w:w="1444"/>
      </w:tblGrid>
      <w:tr>
        <w:trPr>
          <w:tblHeader/>
        </w:trPr>
        <w:tc>
          <w:tcPr>
            <w:tcW w:type="dxa" w:w="144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Mese</w:t>
            </w:r>
          </w:p>
        </w:tc>
        <w:tc>
          <w:tcPr>
            <w:tcW w:type="dxa" w:w="135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Spesa</w:t>
            </w:r>
          </w:p>
        </w:tc>
        <w:tc>
          <w:tcPr>
            <w:tcW w:type="dxa" w:w="126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Fee</w:t>
            </w:r>
          </w:p>
        </w:tc>
        <w:tc>
          <w:tcPr>
            <w:tcW w:type="dxa" w:w="135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Margine</w:t>
            </w:r>
          </w:p>
        </w:tc>
        <w:tc>
          <w:tcPr>
            <w:tcW w:type="dxa" w:w="108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ROAS Fee</w:t>
            </w:r>
          </w:p>
        </w:tc>
        <w:tc>
          <w:tcPr>
            <w:tcW w:type="dxa" w:w="108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Corse</w:t>
            </w:r>
          </w:p>
        </w:tc>
        <w:tc>
          <w:tcPr>
            <w:tcW w:type="dxa" w:w="144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Cumulato</w:t>
            </w:r>
          </w:p>
        </w:tc>
      </w:tr>
      <w:tr>
        <w:trPr>
          <w:tblHeader w:val="false"/>
        </w:trPr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ago (16–31)</w:t>
            </w:r>
          </w:p>
        </w:tc>
        <w:tc>
          <w:tcPr>
            <w:tcW w:type="dxa" w:w="13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€ 3.120</w:t>
            </w:r>
          </w:p>
        </w:tc>
        <w:tc>
          <w:tcPr>
            <w:tcW w:type="dxa" w:w="126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€ 2.465</w:t>
            </w:r>
          </w:p>
        </w:tc>
        <w:tc>
          <w:tcPr>
            <w:tcW w:type="dxa" w:w="13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−€ 655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0,79×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58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−€ 655</w:t>
            </w:r>
          </w:p>
        </w:tc>
      </w:tr>
      <w:tr>
        <w:trPr>
          <w:tblHeader w:val="false"/>
        </w:trPr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settembre</w:t>
            </w:r>
          </w:p>
        </w:tc>
        <w:tc>
          <w:tcPr>
            <w:tcW w:type="dxa" w:w="13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€ 6.300</w:t>
            </w:r>
          </w:p>
        </w:tc>
        <w:tc>
          <w:tcPr>
            <w:tcW w:type="dxa" w:w="126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€ 5.220</w:t>
            </w:r>
          </w:p>
        </w:tc>
        <w:tc>
          <w:tcPr>
            <w:tcW w:type="dxa" w:w="13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−€ 1.080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0,83×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116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−€ 1.735</w:t>
            </w:r>
          </w:p>
        </w:tc>
      </w:tr>
      <w:tr>
        <w:trPr>
          <w:tblHeader w:val="false"/>
        </w:trPr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ottobre</w:t>
            </w:r>
          </w:p>
        </w:tc>
        <w:tc>
          <w:tcPr>
            <w:tcW w:type="dxa" w:w="13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€ 6.975</w:t>
            </w:r>
          </w:p>
        </w:tc>
        <w:tc>
          <w:tcPr>
            <w:tcW w:type="dxa" w:w="126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€ 7.533</w:t>
            </w:r>
          </w:p>
        </w:tc>
        <w:tc>
          <w:tcPr>
            <w:tcW w:type="dxa" w:w="13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+€ 558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1,08×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160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−€ 1.177</w:t>
            </w:r>
          </w:p>
        </w:tc>
      </w:tr>
      <w:tr>
        <w:trPr>
          <w:tblHeader w:val="false"/>
        </w:trPr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novembre</w:t>
            </w:r>
          </w:p>
        </w:tc>
        <w:tc>
          <w:tcPr>
            <w:tcW w:type="dxa" w:w="13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€ 9.000</w:t>
            </w:r>
          </w:p>
        </w:tc>
        <w:tc>
          <w:tcPr>
            <w:tcW w:type="dxa" w:w="126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€ 9.450</w:t>
            </w:r>
          </w:p>
        </w:tc>
        <w:tc>
          <w:tcPr>
            <w:tcW w:type="dxa" w:w="13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+€ 450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1,05×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171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−€ 727</w:t>
            </w:r>
          </w:p>
        </w:tc>
      </w:tr>
      <w:tr>
        <w:trPr>
          <w:tblHeader w:val="false"/>
        </w:trPr>
        <w:tc>
          <w:tcPr>
            <w:tcW w:type="dxa" w:w="1444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dicembre</w:t>
            </w:r>
          </w:p>
        </w:tc>
        <w:tc>
          <w:tcPr>
            <w:tcW w:type="dxa" w:w="1354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€ 11.780</w:t>
            </w:r>
          </w:p>
        </w:tc>
        <w:tc>
          <w:tcPr>
            <w:tcW w:type="dxa" w:w="1264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€ 12.958</w:t>
            </w:r>
          </w:p>
        </w:tc>
        <w:tc>
          <w:tcPr>
            <w:tcW w:type="dxa" w:w="1354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+€ 1.178</w:t>
            </w:r>
          </w:p>
        </w:tc>
        <w:tc>
          <w:tcPr>
            <w:tcW w:type="dxa" w:w="1083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1,10×</w:t>
            </w:r>
          </w:p>
        </w:tc>
        <w:tc>
          <w:tcPr>
            <w:tcW w:type="dxa" w:w="1083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208</w:t>
            </w:r>
          </w:p>
        </w:tc>
        <w:tc>
          <w:tcPr>
            <w:tcW w:type="dxa" w:w="1444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+€ 451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Dicembre raggiunge il target di volume del business plan — 208 corse nette contro 192 — spendendo il 13% in meno e in utile.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Ma ci arriva perché nel frattempo il ticket medio e il take rate si sono mossi, non perché si è spinto sul budget: è la differenza fra questo piano e quello che è stato tentato a fine luglio.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Il confronto con l'alternativa</w:t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2888"/>
        <w:gridCol w:w="1986"/>
        <w:gridCol w:w="1986"/>
        <w:gridCol w:w="2166"/>
      </w:tblGrid>
      <w:tr>
        <w:trPr>
          <w:tblHeader/>
        </w:trPr>
        <w:tc>
          <w:tcPr>
            <w:tcW w:type="dxa" w:w="2888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Scenario</w:t>
            </w:r>
          </w:p>
        </w:tc>
        <w:tc>
          <w:tcPr>
            <w:tcW w:type="dxa" w:w="198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Spesa 138 gg</w:t>
            </w:r>
          </w:p>
        </w:tc>
        <w:tc>
          <w:tcPr>
            <w:tcW w:type="dxa" w:w="198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Margine 138 gg</w:t>
            </w:r>
          </w:p>
        </w:tc>
        <w:tc>
          <w:tcPr>
            <w:tcW w:type="dxa" w:w="216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Cumulato dal 1 luglio</w:t>
            </w:r>
          </w:p>
        </w:tc>
      </w:tr>
      <w:tr>
        <w:trPr>
          <w:tblHeader w:val="false"/>
        </w:trPr>
        <w:tc>
          <w:tcPr>
            <w:tcW w:type="dxa" w:w="288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 — nessun intervento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€ 78.338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−€ 63.679</w:t>
            </w:r>
          </w:p>
        </w:tc>
        <w:tc>
          <w:tcPr>
            <w:tcW w:type="dxa" w:w="21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−€ 76.189</w:t>
            </w:r>
          </w:p>
        </w:tc>
      </w:tr>
      <w:tr>
        <w:trPr>
          <w:tblHeader w:val="false"/>
        </w:trPr>
        <w:tc>
          <w:tcPr>
            <w:tcW w:type="dxa" w:w="288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 — solo tagli, niente altro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€ 26.910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26A00"/>
                <w:sz w:val="19"/>
                <w:szCs w:val="19"/>
              </w:rPr>
              <w:t xml:space="preserve">−€ 5.582</w:t>
            </w:r>
          </w:p>
        </w:tc>
        <w:tc>
          <w:tcPr>
            <w:tcW w:type="dxa" w:w="216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−€ 18.092</w:t>
            </w:r>
          </w:p>
        </w:tc>
      </w:tr>
      <w:tr>
        <w:trPr>
          <w:tblHeader w:val="false"/>
        </w:trPr>
        <w:tc>
          <w:tcPr>
            <w:tcW w:type="dxa" w:w="2888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 — piano a fasi</w:t>
            </w:r>
          </w:p>
        </w:tc>
        <w:tc>
          <w:tcPr>
            <w:tcW w:type="dxa" w:w="1986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€ 37.175</w:t>
            </w:r>
          </w:p>
        </w:tc>
        <w:tc>
          <w:tcPr>
            <w:tcW w:type="dxa" w:w="1986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+€ 451</w:t>
            </w:r>
          </w:p>
        </w:tc>
        <w:tc>
          <w:tcPr>
            <w:tcW w:type="dxa" w:w="2166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−€ 12.059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La differenza tra non fare nulla e fare il piano è di €64.130 su 138 giorni.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Il piano non recupera le perdite già fatte da luglio: le ferma.</w:t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8. LE DUE LEVE DA CUI DIPENDE TUTTO IL RESTO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Le fasi F3, F4 e F5 poggiano su due assunzioni dichiarate.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Non sono previsioni: sono condizioni.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Se non si verificano, il piano non arriva al pareggio e si ferma su un risultato vicino allo scenario B.</w:t>
      </w:r>
    </w:p>
    <w:p>
      <w:pPr>
        <w:spacing w:after="60" w:before="200"/>
        <w:jc w:val="center"/>
      </w:pPr>
      <w:r>
        <w:drawing>
          <wp:inline distT="0" distB="0" distL="0" distR="0">
            <wp:extent cx="4476750" cy="2019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17"/>
          <w:szCs w:val="17"/>
        </w:rPr>
        <w:t xml:space="preserve">Stessi budget e stesse corse, ma con ticket e take rate fermi ai livelli attuali: dicembre passa da +€ 1.178 a −€ 2.959.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Leva 1 — il ticket medio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Ogni €100 di ticket medio in più valgono €10,70 di CPA sostenibile in più.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È la leva con il miglior rapporto sforzo/risultato dell'intero piano, e i dati dicono con precisione dove cercarla: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5054"/>
        <w:gridCol w:w="1986"/>
        <w:gridCol w:w="1986"/>
      </w:tblGrid>
      <w:tr>
        <w:trPr>
          <w:tblHeader/>
        </w:trPr>
        <w:tc>
          <w:tcPr>
            <w:tcW w:type="dxa" w:w="505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Campagna</w:t>
            </w:r>
          </w:p>
        </w:tc>
        <w:tc>
          <w:tcPr>
            <w:tcW w:type="dxa" w:w="198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Ticket medio</w:t>
            </w:r>
          </w:p>
        </w:tc>
        <w:tc>
          <w:tcPr>
            <w:tcW w:type="dxa" w:w="198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Corse 40 gg</w:t>
            </w:r>
          </w:p>
        </w:tc>
      </w:tr>
      <w:tr>
        <w:trPr>
          <w:tblHeader w:val="false"/>
        </w:trPr>
        <w:tc>
          <w:tcPr>
            <w:tcW w:type="dxa" w:w="50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PMAX | ITALIA | AMBULANZA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€ 1.994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21</w:t>
            </w:r>
          </w:p>
        </w:tc>
      </w:tr>
      <w:tr>
        <w:trPr>
          <w:tblHeader w:val="false"/>
        </w:trPr>
        <w:tc>
          <w:tcPr>
            <w:tcW w:type="dxa" w:w="50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MILANO | DIMISSIONI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€ 374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9</w:t>
            </w:r>
          </w:p>
        </w:tc>
      </w:tr>
      <w:tr>
        <w:trPr>
          <w:tblHeader w:val="false"/>
        </w:trPr>
        <w:tc>
          <w:tcPr>
            <w:tcW w:type="dxa" w:w="50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 | PIEMONTE | AMBULANZA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€ 253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32</w:t>
            </w:r>
          </w:p>
        </w:tc>
      </w:tr>
      <w:tr>
        <w:trPr>
          <w:tblHeader w:val="false"/>
        </w:trPr>
        <w:tc>
          <w:tcPr>
            <w:tcW w:type="dxa" w:w="50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CHIAMATA | LUNGA PERCORRENZA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€ 234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</w:t>
            </w:r>
          </w:p>
        </w:tc>
      </w:tr>
      <w:tr>
        <w:trPr>
          <w:tblHeader w:val="false"/>
        </w:trPr>
        <w:tc>
          <w:tcPr>
            <w:tcW w:type="dxa" w:w="50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 | ITALIA | AEREO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€ 192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23</w:t>
            </w:r>
          </w:p>
        </w:tc>
      </w:tr>
      <w:tr>
        <w:trPr>
          <w:tblHeader w:val="false"/>
        </w:trPr>
        <w:tc>
          <w:tcPr>
            <w:tcW w:type="dxa" w:w="50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PURCHASE | MILANO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€ 151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18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Il ticket alto è concentrato sui trasferimenti nazionali a lunga distanza, non sulle regionali.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La direzione di crescita per il Q4 è allargare il raggio geografico e la lunghezza della tratta — non moltiplicare le città, che è esattamente ciò che l'account ha fatto finora ottenendo 14 campagne tutte sotto la soglia di volume utile.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Leva 2 — il take rate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Il take rate medio dell'account è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10,7%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ma varia dal 6,8% al 20,0% per campagna — e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la campagna con il ticket più alto ha il take rate più basso: 8,7%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 Portare Italia Ambulanza dall'8,7% al 12% vale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+38% di fee a parità di tutto il resto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e ne porterebbe il ROAS Fee da 1,30× a 1,79×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senza toccare una sola impostazione di campagna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È una leva commerciale, non pubblicitaria.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Va portata a chi definisce le condizioni economiche sui trasferimenti a lunga percorrenza, e va decisa entro il 15 settembre, perché le fasi F4 e F5 la assumono già acquisita. È, in valore assoluto, la singola decisione più importante di questo piano: da sola vale €4.137 sul solo dicembre.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9. IL NODO CON IL BUSINESS PLAN: VOLUME O MARGINE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C'è un punto su cui il piano è in conflitto aperto con il BP, e va risolto esplicitamente perché condiziona tutto il resto: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il target di CPA fissato a €70 per corsa è sopra la soglia di pareggio in ogni scenario misurato.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3068"/>
        <w:gridCol w:w="1986"/>
        <w:gridCol w:w="1986"/>
        <w:gridCol w:w="1986"/>
      </w:tblGrid>
      <w:tr>
        <w:trPr>
          <w:tblHeader/>
        </w:trPr>
        <w:tc>
          <w:tcPr>
            <w:tcW w:type="dxa" w:w="3068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Base di calcolo</w:t>
            </w:r>
          </w:p>
        </w:tc>
        <w:tc>
          <w:tcPr>
            <w:tcW w:type="dxa" w:w="198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Fee per corsa</w:t>
            </w:r>
          </w:p>
        </w:tc>
        <w:tc>
          <w:tcPr>
            <w:tcW w:type="dxa" w:w="198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CPA target BP</w:t>
            </w:r>
          </w:p>
        </w:tc>
        <w:tc>
          <w:tcPr>
            <w:tcW w:type="dxa" w:w="198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Margine per corsa</w:t>
            </w:r>
          </w:p>
        </w:tc>
      </w:tr>
      <w:tr>
        <w:trPr>
          <w:tblHeader w:val="false"/>
        </w:trPr>
        <w:tc>
          <w:tcPr>
            <w:tcW w:type="dxa" w:w="306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Ai ticket di luglio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€ 52,68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€ 70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−€ 17,32</w:t>
            </w:r>
          </w:p>
        </w:tc>
      </w:tr>
      <w:tr>
        <w:trPr>
          <w:tblHeader w:val="false"/>
        </w:trPr>
        <w:tc>
          <w:tcPr>
            <w:tcW w:type="dxa" w:w="306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Ai ticket dei 40 giorni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€ 44,36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€ 70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−€ 25,64</w:t>
            </w:r>
          </w:p>
        </w:tc>
      </w:tr>
      <w:tr>
        <w:trPr>
          <w:tblHeader w:val="false"/>
        </w:trPr>
        <w:tc>
          <w:tcPr>
            <w:tcW w:type="dxa" w:w="306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Ai ticket di agosto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€ 18,38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€ 70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−€ 51,62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Anche centrando perfettamente il target, l'account resterebbe in perdita.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Perché €70 di CPA siano sostenibili serve una fee di €70 per corsa, cioè — al take rate attuale — un ticket medio di €654. Il target va rivisto verso €45–55, oppure va accompagnato dall'obiettivo sul ticket.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E il target di volume?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Il BP chiede 192 corse nette al mese. Il piano ne produce 88 fino a ottobre, e le supera a dicembre. Nel mezzo la scelta è esplicita: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1805"/>
        <w:gridCol w:w="1264"/>
        <w:gridCol w:w="1625"/>
        <w:gridCol w:w="4332"/>
      </w:tblGrid>
      <w:tr>
        <w:trPr>
          <w:tblHeader/>
        </w:trPr>
        <w:tc>
          <w:tcPr>
            <w:tcW w:type="dxa" w:w="1805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Opzione</w:t>
            </w:r>
          </w:p>
        </w:tc>
        <w:tc>
          <w:tcPr>
            <w:tcW w:type="dxa" w:w="126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Corse/mese</w:t>
            </w:r>
          </w:p>
        </w:tc>
        <w:tc>
          <w:tcPr>
            <w:tcW w:type="dxa" w:w="1625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Margine/mese</w:t>
            </w:r>
          </w:p>
        </w:tc>
        <w:tc>
          <w:tcPr>
            <w:tcW w:type="dxa" w:w="4332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Cosa comporta</w:t>
            </w:r>
          </w:p>
        </w:tc>
      </w:tr>
      <w:tr>
        <w:trPr>
          <w:tblHeader w:val="false"/>
        </w:trPr>
        <w:tc>
          <w:tcPr>
            <w:tcW w:type="dxa" w:w="18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Margine</w:t>
            </w:r>
          </w:p>
        </w:tc>
        <w:tc>
          <w:tcPr>
            <w:tcW w:type="dxa" w:w="126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88</w:t>
            </w:r>
          </w:p>
        </w:tc>
        <w:tc>
          <w:tcPr>
            <w:tcW w:type="dxa" w:w="16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26A00"/>
                <w:sz w:val="19"/>
                <w:szCs w:val="19"/>
              </w:rPr>
              <w:t xml:space="preserve">−€ 1.214</w:t>
            </w:r>
          </w:p>
        </w:tc>
        <w:tc>
          <w:tcPr>
            <w:tcW w:type="dxa" w:w="433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Si rinuncia al target di volume finché il ticket medio non risale</w:t>
            </w:r>
          </w:p>
        </w:tc>
      </w:tr>
      <w:tr>
        <w:trPr>
          <w:tblHeader w:val="false"/>
        </w:trPr>
        <w:tc>
          <w:tcPr>
            <w:tcW w:type="dxa" w:w="180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Volume</w:t>
            </w:r>
          </w:p>
        </w:tc>
        <w:tc>
          <w:tcPr>
            <w:tcW w:type="dxa" w:w="126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192</w:t>
            </w:r>
          </w:p>
        </w:tc>
        <w:tc>
          <w:tcPr>
            <w:tcW w:type="dxa" w:w="162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−€ 2.634</w:t>
            </w:r>
          </w:p>
        </w:tc>
        <w:tc>
          <w:tcPr>
            <w:tcW w:type="dxa" w:w="433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Si accetta ~€ 2.600/mese di costo per tenere il target, come investimento di acquisizione</w:t>
            </w:r>
          </w:p>
        </w:tc>
      </w:tr>
      <w:tr>
        <w:trPr>
          <w:tblHeader w:val="false"/>
        </w:trPr>
        <w:tc>
          <w:tcPr>
            <w:tcW w:type="dxa" w:w="18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Volume ai CPA attuali</w:t>
            </w:r>
          </w:p>
        </w:tc>
        <w:tc>
          <w:tcPr>
            <w:tcW w:type="dxa" w:w="126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192</w:t>
            </w:r>
          </w:p>
        </w:tc>
        <w:tc>
          <w:tcPr>
            <w:tcW w:type="dxa" w:w="16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−€ 15.334</w:t>
            </w:r>
          </w:p>
        </w:tc>
        <w:tc>
          <w:tcPr>
            <w:tcW w:type="dxa" w:w="433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Quello che succederebbe senza il piano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Raccomandazione: opzione margine fino a ottobre, poi il volume torna da solo.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Non esiste alcuna evidenza che l'efficienza tenga al raddoppio del volume: l'unica prova disponibile — agosto — dice il contrario.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La decisione però è del business, non della gestione campagne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e va presa consapevolmente.</w:t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10. COME SI GOVERNA IL PIANO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Il piano si controlla con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sette numeri verificati ogni lunedì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sui dati della settimana precedente. Ogni soglia ha un'azione associata, che scatta lo stesso giorno senza attendere il consuntivo di fine mese — è la regola che a luglio è mancata e che ha lasciato correre il crollo per sedici giorni.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1805"/>
        <w:gridCol w:w="1083"/>
        <w:gridCol w:w="1173"/>
        <w:gridCol w:w="1264"/>
        <w:gridCol w:w="3701"/>
      </w:tblGrid>
      <w:tr>
        <w:trPr>
          <w:tblHeader/>
        </w:trPr>
        <w:tc>
          <w:tcPr>
            <w:tcW w:type="dxa" w:w="1805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KPI</w:t>
            </w:r>
          </w:p>
        </w:tc>
        <w:tc>
          <w:tcPr>
            <w:tcW w:type="dxa" w:w="108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Oggi</w:t>
            </w:r>
          </w:p>
        </w:tc>
        <w:tc>
          <w:tcPr>
            <w:tcW w:type="dxa" w:w="117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Target dic.</w:t>
            </w:r>
          </w:p>
        </w:tc>
        <w:tc>
          <w:tcPr>
            <w:tcW w:type="dxa" w:w="126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Allarme</w:t>
            </w:r>
          </w:p>
        </w:tc>
        <w:tc>
          <w:tcPr>
            <w:tcW w:type="dxa" w:w="3701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Azione se scatta</w:t>
            </w:r>
          </w:p>
        </w:tc>
      </w:tr>
      <w:tr>
        <w:trPr>
          <w:tblHeader w:val="false"/>
        </w:trPr>
        <w:tc>
          <w:tcPr>
            <w:tcW w:type="dxa" w:w="18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ROAS Fee Niino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0,19×</w:t>
            </w:r>
          </w:p>
        </w:tc>
        <w:tc>
          <w:tcPr>
            <w:tcW w:type="dxa" w:w="117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≥ 1,10×</w:t>
            </w:r>
          </w:p>
        </w:tc>
        <w:tc>
          <w:tcPr>
            <w:tcW w:type="dxa" w:w="126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&lt; 0,70×</w:t>
            </w:r>
          </w:p>
        </w:tc>
        <w:tc>
          <w:tcPr>
            <w:tcW w:type="dxa" w:w="3701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Congelare i budget lo stesso giorno</w:t>
            </w:r>
          </w:p>
        </w:tc>
      </w:tr>
      <w:tr>
        <w:trPr>
          <w:tblHeader w:val="false"/>
        </w:trPr>
        <w:tc>
          <w:tcPr>
            <w:tcW w:type="dxa" w:w="180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Ticket medio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€ 181</w:t>
            </w:r>
          </w:p>
        </w:tc>
        <w:tc>
          <w:tcPr>
            <w:tcW w:type="dxa" w:w="117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≥ € 520</w:t>
            </w:r>
          </w:p>
        </w:tc>
        <w:tc>
          <w:tcPr>
            <w:tcW w:type="dxa" w:w="126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&lt; € 300</w:t>
            </w:r>
          </w:p>
        </w:tc>
        <w:tc>
          <w:tcPr>
            <w:tcW w:type="dxa" w:w="3701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Sospendere ogni aumento di budget</w:t>
            </w:r>
          </w:p>
        </w:tc>
      </w:tr>
      <w:tr>
        <w:trPr>
          <w:tblHeader w:val="false"/>
        </w:trPr>
        <w:tc>
          <w:tcPr>
            <w:tcW w:type="dxa" w:w="18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Take rate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10,7%</w:t>
            </w:r>
          </w:p>
        </w:tc>
        <w:tc>
          <w:tcPr>
            <w:tcW w:type="dxa" w:w="117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≥ 12%</w:t>
            </w:r>
          </w:p>
        </w:tc>
        <w:tc>
          <w:tcPr>
            <w:tcW w:type="dxa" w:w="126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&lt; 10%</w:t>
            </w:r>
          </w:p>
        </w:tc>
        <w:tc>
          <w:tcPr>
            <w:tcW w:type="dxa" w:w="3701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Escalation commerciale</w:t>
            </w:r>
          </w:p>
        </w:tc>
      </w:tr>
      <w:tr>
        <w:trPr>
          <w:tblHeader w:val="false"/>
        </w:trPr>
        <w:tc>
          <w:tcPr>
            <w:tcW w:type="dxa" w:w="180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CPA per corsa netta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€ 98,25</w:t>
            </w:r>
          </w:p>
        </w:tc>
        <w:tc>
          <w:tcPr>
            <w:tcW w:type="dxa" w:w="117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≤ € 57</w:t>
            </w:r>
          </w:p>
        </w:tc>
        <w:tc>
          <w:tcPr>
            <w:tcW w:type="dxa" w:w="126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&gt; € 75</w:t>
            </w:r>
          </w:p>
        </w:tc>
        <w:tc>
          <w:tcPr>
            <w:tcW w:type="dxa" w:w="3701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Ridurre del 30% il budget della campagna fuori soglia</w:t>
            </w:r>
          </w:p>
        </w:tc>
      </w:tr>
      <w:tr>
        <w:trPr>
          <w:tblHeader w:val="false"/>
        </w:trPr>
        <w:tc>
          <w:tcPr>
            <w:tcW w:type="dxa" w:w="18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Spesa/giorno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€ 567,67</w:t>
            </w:r>
          </w:p>
        </w:tc>
        <w:tc>
          <w:tcPr>
            <w:tcW w:type="dxa" w:w="117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€ 380</w:t>
            </w:r>
          </w:p>
        </w:tc>
        <w:tc>
          <w:tcPr>
            <w:tcW w:type="dxa" w:w="126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&gt; budget +15%</w:t>
            </w:r>
          </w:p>
        </w:tc>
        <w:tc>
          <w:tcPr>
            <w:tcW w:type="dxa" w:w="3701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Verifica immediata: il budget si sta riaprendo da solo</w:t>
            </w:r>
          </w:p>
        </w:tc>
      </w:tr>
      <w:tr>
        <w:trPr>
          <w:tblHeader w:val="false"/>
        </w:trPr>
        <w:tc>
          <w:tcPr>
            <w:tcW w:type="dxa" w:w="180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Cancellazioni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25,4%</w:t>
            </w:r>
          </w:p>
        </w:tc>
        <w:tc>
          <w:tcPr>
            <w:tcW w:type="dxa" w:w="117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≤ 20%</w:t>
            </w:r>
          </w:p>
        </w:tc>
        <w:tc>
          <w:tcPr>
            <w:tcW w:type="dxa" w:w="126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&gt; 30%</w:t>
            </w:r>
          </w:p>
        </w:tc>
        <w:tc>
          <w:tcPr>
            <w:tcW w:type="dxa" w:w="3701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Analisi a valle sulla campagna</w:t>
            </w:r>
          </w:p>
        </w:tc>
      </w:tr>
      <w:tr>
        <w:trPr>
          <w:tblHeader w:val="false"/>
        </w:trPr>
        <w:tc>
          <w:tcPr>
            <w:tcW w:type="dxa" w:w="18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ROAS (GMV)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1,93×</w:t>
            </w:r>
          </w:p>
        </w:tc>
        <w:tc>
          <w:tcPr>
            <w:tcW w:type="dxa" w:w="117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≥ 4,5×</w:t>
            </w:r>
          </w:p>
        </w:tc>
        <w:tc>
          <w:tcPr>
            <w:tcW w:type="dxa" w:w="126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&lt; 2,5×</w:t>
            </w:r>
          </w:p>
        </w:tc>
        <w:tc>
          <w:tcPr>
            <w:tcW w:type="dxa" w:w="3701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Il mix si sta spostando su corse piccole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left w:val="single" w:color="2E5C8A" w:sz="18" w:space="10"/>
        </w:pBdr>
        <w:shd w:fill="F2F4F7" w:color="auto" w:val="clear"/>
        <w:spacing w:after="200" w:before="160" w:line="264"/>
        <w:ind w:left="340" w:right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3864"/>
          <w:sz w:val="20"/>
          <w:szCs w:val="20"/>
        </w:rPr>
        <w:t xml:space="preserve">Il ticket medio è il KPI da guardare per primo: ad agosto si è mosso prima del ROAS Fee ed è stato il segnale anticipatore del crollo. Chi lo avesse guardato settimanalmente avrebbe fermato la spesa dopo cinque giorni invece che dopo sedici.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I rischi e cosa li mitiga</w:t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2527"/>
        <w:gridCol w:w="993"/>
        <w:gridCol w:w="2347"/>
        <w:gridCol w:w="3159"/>
      </w:tblGrid>
      <w:tr>
        <w:trPr>
          <w:tblHeader/>
        </w:trPr>
        <w:tc>
          <w:tcPr>
            <w:tcW w:type="dxa" w:w="2527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Rischio</w:t>
            </w:r>
          </w:p>
        </w:tc>
        <w:tc>
          <w:tcPr>
            <w:tcW w:type="dxa" w:w="99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Prob.</w:t>
            </w:r>
          </w:p>
        </w:tc>
        <w:tc>
          <w:tcPr>
            <w:tcW w:type="dxa" w:w="2347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Impatto</w:t>
            </w:r>
          </w:p>
        </w:tc>
        <w:tc>
          <w:tcPr>
            <w:tcW w:type="dxa" w:w="3159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Mitigazione</w:t>
            </w:r>
          </w:p>
        </w:tc>
      </w:tr>
      <w:tr>
        <w:trPr>
          <w:tblHeader w:val="false"/>
        </w:trPr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Ticket e take rate non si muovono</w:t>
            </w:r>
          </w:p>
        </w:tc>
        <w:tc>
          <w:tcPr>
            <w:tcW w:type="dxa" w:w="99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Media</w:t>
            </w:r>
          </w:p>
        </w:tc>
        <w:tc>
          <w:tcPr>
            <w:tcW w:type="dxa" w:w="234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−€ 7.361 sul periodo: niente pareggio</w:t>
            </w:r>
          </w:p>
        </w:tc>
        <w:tc>
          <w:tcPr>
            <w:tcW w:type="dxa" w:w="315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 gate di F3 e F4 verificano il ticket prima di ogni aumento di budget</w:t>
            </w:r>
          </w:p>
        </w:tc>
      </w:tr>
      <w:tr>
        <w:trPr>
          <w:tblHeader w:val="false"/>
        </w:trPr>
        <w:tc>
          <w:tcPr>
            <w:tcW w:type="dxa" w:w="252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La decisione sul take rate non arriva entro settembre</w:t>
            </w:r>
          </w:p>
        </w:tc>
        <w:tc>
          <w:tcPr>
            <w:tcW w:type="dxa" w:w="99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Media</w:t>
            </w:r>
          </w:p>
        </w:tc>
        <w:tc>
          <w:tcPr>
            <w:tcW w:type="dxa" w:w="234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Dicembre da +€ 1.178 a −€ 2.959</w:t>
            </w:r>
          </w:p>
        </w:tc>
        <w:tc>
          <w:tcPr>
            <w:tcW w:type="dxa" w:w="3159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Portarla in direzione commerciale entro il 15 settembre</w:t>
            </w:r>
          </w:p>
        </w:tc>
      </w:tr>
      <w:tr>
        <w:trPr>
          <w:tblHeader w:val="false"/>
        </w:trPr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Le modifiche alle conversioni destabilizzano più del previsto</w:t>
            </w:r>
          </w:p>
        </w:tc>
        <w:tc>
          <w:tcPr>
            <w:tcW w:type="dxa" w:w="99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Alta</w:t>
            </w:r>
          </w:p>
        </w:tc>
        <w:tc>
          <w:tcPr>
            <w:tcW w:type="dxa" w:w="234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F1 peggiore di 0,70×, F2 slitta</w:t>
            </w:r>
          </w:p>
        </w:tc>
        <w:tc>
          <w:tcPr>
            <w:tcW w:type="dxa" w:w="315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Farle tutte in due settimane; il calo è già a bilancio</w:t>
            </w:r>
          </w:p>
        </w:tc>
      </w:tr>
      <w:tr>
        <w:trPr>
          <w:tblHeader w:val="false"/>
        </w:trPr>
        <w:tc>
          <w:tcPr>
            <w:tcW w:type="dxa" w:w="252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Italia Ambulanza non recupera dopo il reset</w:t>
            </w:r>
          </w:p>
        </w:tc>
        <w:tc>
          <w:tcPr>
            <w:tcW w:type="dxa" w:w="99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Media</w:t>
            </w:r>
          </w:p>
        </w:tc>
        <w:tc>
          <w:tcPr>
            <w:tcW w:type="dxa" w:w="234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Niente F2; portafoglio fermo a 0,79×</w:t>
            </w:r>
          </w:p>
        </w:tc>
        <w:tc>
          <w:tcPr>
            <w:tcW w:type="dxa" w:w="3159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Verificare prima le 4 azioni di conversione</w:t>
            </w:r>
          </w:p>
        </w:tc>
      </w:tr>
      <w:tr>
        <w:trPr>
          <w:tblHeader w:val="false"/>
        </w:trPr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Stagionalità Q4 sfavorevole</w:t>
            </w:r>
          </w:p>
        </w:tc>
        <w:tc>
          <w:tcPr>
            <w:tcW w:type="dxa" w:w="99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Bassa</w:t>
            </w:r>
          </w:p>
        </w:tc>
        <w:tc>
          <w:tcPr>
            <w:tcW w:type="dxa" w:w="234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Non modellata: nessun dato storico</w:t>
            </w:r>
          </w:p>
        </w:tc>
        <w:tc>
          <w:tcPr>
            <w:tcW w:type="dxa" w:w="315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soglie settimanali intercettano lo scostamento in 7 giorni</w:t>
            </w:r>
          </w:p>
        </w:tc>
      </w:tr>
      <w:tr>
        <w:trPr>
          <w:tblHeader w:val="false"/>
        </w:trPr>
        <w:tc>
          <w:tcPr>
            <w:tcW w:type="dxa" w:w="252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 dati del 10–15 agosto smentiscono la base</w:t>
            </w:r>
          </w:p>
        </w:tc>
        <w:tc>
          <w:tcPr>
            <w:tcW w:type="dxa" w:w="99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Media</w:t>
            </w:r>
          </w:p>
        </w:tc>
        <w:tc>
          <w:tcPr>
            <w:tcW w:type="dxa" w:w="234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Tutte le cifre da riparametrare</w:t>
            </w:r>
          </w:p>
        </w:tc>
        <w:tc>
          <w:tcPr>
            <w:tcW w:type="dxa" w:w="3159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È l'azione 1 del calendario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11. LE QUATTRO DECISIONI DA PRENDERE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Tre questa settimana: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Si chiudono le 12 campagne?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Liberano €279/giorno costando €8/giorno di fee. Nessuna assunzione richiesta, effetto immediato.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Si accetta di dimezzare le corse fino a ottobre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— da 5,78 a 2,95 al giorno — per riportare il margine da −€461 a −€40 al giorno? Si recuperano a novembre e si superano a dicembre.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Si rivede il target CPA del BP?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€70 è sopra la soglia di pareggio in ogni scenario: o scende a €45–55, o sale il ticket medio.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Una entro il 15 settembre — la più importante del piano: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Il take rate sui trasferimenti a lunga percorrenza sale dall'8,7% al 12%?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Da sola vale €4.137 sul solo dicembre. Senza, le fasi F4 e F5 non hanno base economica e il piano si ferma allo scenario B.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Due cose da fare comunque, a prescindere dalle decisioni sopra: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Estrarre i dati al 15 agosto e verificare la base di partenza prima di eseguire qualsiasi azione.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Correggere la proiezione di spesa di agosto nel report Niino: non è €10.559 ma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€17.598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il 30% sopra il target BP. L'attuale divide nove giorni di spesa su quindici giorni trascorsi.</w:t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APPENDICE A — CALENDARIO ESECUTIVO</w:t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1444"/>
        <w:gridCol w:w="5055"/>
        <w:gridCol w:w="2527"/>
      </w:tblGrid>
      <w:tr>
        <w:trPr>
          <w:tblHeader/>
        </w:trPr>
        <w:tc>
          <w:tcPr>
            <w:tcW w:type="dxa" w:w="144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5055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Azione</w:t>
            </w:r>
          </w:p>
        </w:tc>
        <w:tc>
          <w:tcPr>
            <w:tcW w:type="dxa" w:w="2527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Responsabilità</w:t>
            </w:r>
          </w:p>
        </w:tc>
      </w:tr>
      <w:tr>
        <w:trPr>
          <w:tblHeader w:val="false"/>
        </w:trPr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16 agosto</w:t>
            </w:r>
          </w:p>
        </w:tc>
        <w:tc>
          <w:tcPr>
            <w:tcW w:type="dxa" w:w="505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Estrazione dati al 15/8 e verifica base di partenza</w:t>
            </w:r>
          </w:p>
        </w:tc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Analisi</w:t>
            </w:r>
          </w:p>
        </w:tc>
      </w:tr>
      <w:tr>
        <w:trPr>
          <w:tblHeader w:val="false"/>
        </w:trPr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16–17 agosto</w:t>
            </w:r>
          </w:p>
        </w:tc>
        <w:tc>
          <w:tcPr>
            <w:tcW w:type="dxa" w:w="505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Chiusura delle 12 campagne</w:t>
            </w:r>
          </w:p>
        </w:tc>
        <w:tc>
          <w:tcPr>
            <w:tcW w:type="dxa" w:w="252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Gestione campagne</w:t>
            </w:r>
          </w:p>
        </w:tc>
      </w:tr>
      <w:tr>
        <w:trPr>
          <w:tblHeader w:val="false"/>
        </w:trPr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17 agosto</w:t>
            </w:r>
          </w:p>
        </w:tc>
        <w:tc>
          <w:tcPr>
            <w:tcW w:type="dxa" w:w="505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Reset budget: Italia Ambulanza € 60, Piemonte € 30, Aereo € 25</w:t>
            </w:r>
          </w:p>
        </w:tc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Gestione campagne</w:t>
            </w:r>
          </w:p>
        </w:tc>
      </w:tr>
      <w:tr>
        <w:trPr>
          <w:tblHeader w:val="false"/>
        </w:trPr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18 agosto</w:t>
            </w:r>
          </w:p>
        </w:tc>
        <w:tc>
          <w:tcPr>
            <w:tcW w:type="dxa" w:w="505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Rimozione di "Calls from ads" dalle conversioni di offerta</w:t>
            </w:r>
          </w:p>
        </w:tc>
        <w:tc>
          <w:tcPr>
            <w:tcW w:type="dxa" w:w="252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Tracciamento</w:t>
            </w:r>
          </w:p>
        </w:tc>
      </w:tr>
      <w:tr>
        <w:trPr>
          <w:tblHeader w:val="false"/>
        </w:trPr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entro 22 agosto</w:t>
            </w:r>
          </w:p>
        </w:tc>
        <w:tc>
          <w:tcPr>
            <w:tcW w:type="dxa" w:w="505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Chiarimento sulla campagna in pausa che ha speso € 755</w:t>
            </w:r>
          </w:p>
        </w:tc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Gestione campagne</w:t>
            </w:r>
          </w:p>
        </w:tc>
      </w:tr>
      <w:tr>
        <w:trPr>
          <w:tblHeader w:val="false"/>
        </w:trPr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1–15 settembre</w:t>
            </w:r>
          </w:p>
        </w:tc>
        <w:tc>
          <w:tcPr>
            <w:tcW w:type="dxa" w:w="505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Import delle 4 azioni + cancellazioni; rifacimento asset Piemonte</w:t>
            </w:r>
          </w:p>
        </w:tc>
        <w:tc>
          <w:tcPr>
            <w:tcW w:type="dxa" w:w="252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Tracciamento / creatività</w:t>
            </w:r>
          </w:p>
        </w:tc>
      </w:tr>
      <w:tr>
        <w:trPr>
          <w:tblHeader w:val="false"/>
        </w:trPr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entro 15 settembre</w:t>
            </w:r>
          </w:p>
        </w:tc>
        <w:tc>
          <w:tcPr>
            <w:tcW w:type="dxa" w:w="505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Decisione sul take rate</w:t>
            </w:r>
          </w:p>
        </w:tc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Direzione commerciale</w:t>
            </w:r>
          </w:p>
        </w:tc>
      </w:tr>
      <w:tr>
        <w:trPr>
          <w:tblHeader w:val="false"/>
        </w:trPr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16 settembre</w:t>
            </w:r>
          </w:p>
        </w:tc>
        <w:tc>
          <w:tcPr>
            <w:tcW w:type="dxa" w:w="505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Gate F2 · Italia Ambulanza € 60 → € 90 in due step</w:t>
            </w:r>
          </w:p>
        </w:tc>
        <w:tc>
          <w:tcPr>
            <w:tcW w:type="dxa" w:w="252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Direzione / campagne</w:t>
            </w:r>
          </w:p>
        </w:tc>
      </w:tr>
      <w:tr>
        <w:trPr>
          <w:tblHeader w:val="false"/>
        </w:trPr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 ottobre</w:t>
            </w:r>
          </w:p>
        </w:tc>
        <w:tc>
          <w:tcPr>
            <w:tcW w:type="dxa" w:w="505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Gate F3 · budget fermo tutto il mese; test lunga percorrenza € 30/gg</w:t>
            </w:r>
          </w:p>
        </w:tc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Direzione / campagne</w:t>
            </w:r>
          </w:p>
        </w:tc>
      </w:tr>
      <w:tr>
        <w:trPr>
          <w:tblHeader w:val="false"/>
        </w:trPr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 novembre</w:t>
            </w:r>
          </w:p>
        </w:tc>
        <w:tc>
          <w:tcPr>
            <w:tcW w:type="dxa" w:w="505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Gate F4 · budget € 225 → € 300 in tre step settimanali</w:t>
            </w:r>
          </w:p>
        </w:tc>
        <w:tc>
          <w:tcPr>
            <w:tcW w:type="dxa" w:w="252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Direzione / campagne</w:t>
            </w:r>
          </w:p>
        </w:tc>
      </w:tr>
      <w:tr>
        <w:trPr>
          <w:tblHeader w:val="false"/>
        </w:trPr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 dicembre</w:t>
            </w:r>
          </w:p>
        </w:tc>
        <w:tc>
          <w:tcPr>
            <w:tcW w:type="dxa" w:w="505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Gate F5 · budget € 300 → € 380</w:t>
            </w:r>
          </w:p>
        </w:tc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Direzione / campagne</w:t>
            </w:r>
          </w:p>
        </w:tc>
      </w:tr>
      <w:tr>
        <w:trPr>
          <w:tblHeader w:val="false"/>
        </w:trPr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31 dicembre</w:t>
            </w:r>
          </w:p>
        </w:tc>
        <w:tc>
          <w:tcPr>
            <w:tcW w:type="dxa" w:w="505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Consuntivo e piano 2027 sul ticket, non sul budget</w:t>
            </w:r>
          </w:p>
        </w:tc>
        <w:tc>
          <w:tcPr>
            <w:tcW w:type="dxa" w:w="252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Direzione</w:t>
            </w:r>
          </w:p>
        </w:tc>
      </w:tr>
      <w:tr>
        <w:trPr>
          <w:tblHeader w:val="false"/>
        </w:trPr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ogni lunedì</w:t>
            </w:r>
          </w:p>
        </w:tc>
        <w:tc>
          <w:tcPr>
            <w:tcW w:type="dxa" w:w="505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Verifica dei sette KPI e delle soglie</w:t>
            </w:r>
          </w:p>
        </w:tc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Analisi</w:t>
            </w:r>
          </w:p>
        </w:tc>
      </w:tr>
    </w:tbl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APPENDICE B — ASSUNZIONI DEL MODELLO</w:t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2889"/>
        <w:gridCol w:w="3610"/>
        <w:gridCol w:w="2527"/>
      </w:tblGrid>
      <w:tr>
        <w:trPr>
          <w:tblHeader/>
        </w:trPr>
        <w:tc>
          <w:tcPr>
            <w:tcW w:type="dxa" w:w="2889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Assunzione</w:t>
            </w:r>
          </w:p>
        </w:tc>
        <w:tc>
          <w:tcPr>
            <w:tcW w:type="dxa" w:w="361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Valore</w:t>
            </w:r>
          </w:p>
        </w:tc>
        <w:tc>
          <w:tcPr>
            <w:tcW w:type="dxa" w:w="2527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Natura</w:t>
            </w:r>
          </w:p>
        </w:tc>
      </w:tr>
      <w:tr>
        <w:trPr>
          <w:tblHeader w:val="false"/>
        </w:trPr>
        <w:tc>
          <w:tcPr>
            <w:tcW w:type="dxa" w:w="288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Run rate di partenza</w:t>
            </w:r>
          </w:p>
        </w:tc>
        <w:tc>
          <w:tcPr>
            <w:tcW w:type="dxa" w:w="361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€ 567,67/giorno, ROAS Fee 0,19×</w:t>
            </w:r>
          </w:p>
        </w:tc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Reale (1–9 agosto)</w:t>
            </w:r>
          </w:p>
        </w:tc>
      </w:tr>
      <w:tr>
        <w:trPr>
          <w:tblHeader w:val="false"/>
        </w:trPr>
        <w:tc>
          <w:tcPr>
            <w:tcW w:type="dxa" w:w="2889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ROAS Fee e CPA per campagna</w:t>
            </w:r>
          </w:p>
        </w:tc>
        <w:tc>
          <w:tcPr>
            <w:tcW w:type="dxa" w:w="361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Valori dei 40 giorni</w:t>
            </w:r>
          </w:p>
        </w:tc>
        <w:tc>
          <w:tcPr>
            <w:tcW w:type="dxa" w:w="252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Reale</w:t>
            </w:r>
          </w:p>
        </w:tc>
      </w:tr>
      <w:tr>
        <w:trPr>
          <w:tblHeader w:val="false"/>
        </w:trPr>
        <w:tc>
          <w:tcPr>
            <w:tcW w:type="dxa" w:w="288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Calo di F1</w:t>
            </w:r>
          </w:p>
        </w:tc>
        <w:tc>
          <w:tcPr>
            <w:tcW w:type="dxa" w:w="361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0,79× → 0,70× durante il rifacimento delle conversioni</w:t>
            </w:r>
          </w:p>
        </w:tc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Assunzione prudenziale</w:t>
            </w:r>
          </w:p>
        </w:tc>
      </w:tr>
      <w:tr>
        <w:trPr>
          <w:tblHeader w:val="false"/>
        </w:trPr>
        <w:tc>
          <w:tcPr>
            <w:tcW w:type="dxa" w:w="2889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Curva di saturazione Italia Ambulanza</w:t>
            </w:r>
          </w:p>
        </w:tc>
        <w:tc>
          <w:tcPr>
            <w:tcW w:type="dxa" w:w="361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1,85× a € 60 → 1,00× a € 150</w:t>
            </w:r>
          </w:p>
        </w:tc>
        <w:tc>
          <w:tcPr>
            <w:tcW w:type="dxa" w:w="252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Assunzione — due soli punti osservati</w:t>
            </w:r>
          </w:p>
        </w:tc>
      </w:tr>
      <w:tr>
        <w:trPr>
          <w:tblHeader w:val="false"/>
        </w:trPr>
        <w:tc>
          <w:tcPr>
            <w:tcW w:type="dxa" w:w="288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Ticket medio F2–F5</w:t>
            </w:r>
          </w:p>
        </w:tc>
        <w:tc>
          <w:tcPr>
            <w:tcW w:type="dxa" w:w="361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€ 440 → € 520</w:t>
            </w:r>
          </w:p>
        </w:tc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Assunzione — sopra luglio solo in F5</w:t>
            </w:r>
          </w:p>
        </w:tc>
      </w:tr>
      <w:tr>
        <w:trPr>
          <w:tblHeader w:val="false"/>
        </w:trPr>
        <w:tc>
          <w:tcPr>
            <w:tcW w:type="dxa" w:w="2889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Take rate F4–F5</w:t>
            </w:r>
          </w:p>
        </w:tc>
        <w:tc>
          <w:tcPr>
            <w:tcW w:type="dxa" w:w="361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11,5% → 12,0%</w:t>
            </w:r>
          </w:p>
        </w:tc>
        <w:tc>
          <w:tcPr>
            <w:tcW w:type="dxa" w:w="252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Assunzione — richiede decisione commerciale</w:t>
            </w:r>
          </w:p>
        </w:tc>
      </w:tr>
      <w:tr>
        <w:trPr>
          <w:tblHeader w:val="false"/>
        </w:trPr>
        <w:tc>
          <w:tcPr>
            <w:tcW w:type="dxa" w:w="288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Stagionalità Q4</w:t>
            </w:r>
          </w:p>
        </w:tc>
        <w:tc>
          <w:tcPr>
            <w:tcW w:type="dxa" w:w="361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Non modellata</w:t>
            </w:r>
          </w:p>
        </w:tc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Nessun dato storico disponibile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Cosa il modello fa di conservativo: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usa il ROAS Fee dei 40 giorni e non quello di luglio, che era migliore; mette a bilancio un calo esplicito in F1; tiene Search Purchase Milano a 0,80× invece dell'1,19× osservato ad agosto; non assume alcun effetto positivo delle correzioni di tracciamento sul comportamento degli algoritmi, pur essendo il motivo per cui si fanno.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444444"/>
        <w:sz w:val="16"/>
        <w:szCs w:val="16"/>
      </w:rPr>
      <w:t xml:space="preserve">Piano di Crescita — 16 agosto / 31 dicembre 2026    ·    </w:t>
    </w:r>
    <w:r>
      <w:rPr>
        <w:rFonts w:ascii="Calibri" w:cs="Calibri" w:eastAsia="Calibri" w:hAnsi="Calibri"/>
        <w:color w:val="44444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1d984f363a648e2bd4adc184cb9efcbefe68fc9.png"/><Relationship Id="rId9" Type="http://schemas.openxmlformats.org/officeDocument/2006/relationships/image" Target="media/280a55a2b82c02a357d9f6c1f2fd1635326b440c.png"/><Relationship Id="rId10" Type="http://schemas.openxmlformats.org/officeDocument/2006/relationships/image" Target="media/eb9ce684d90e65c4c82292bed465cdcedb9fece6.png"/><Relationship Id="rId11" Type="http://schemas.openxmlformats.org/officeDocument/2006/relationships/image" Target="media/766da03b08e41b305bfe238bf16485d366985f48.png"/><Relationship Id="rId12" Type="http://schemas.openxmlformats.org/officeDocument/2006/relationships/image" Target="media/02f89a8aa4bf133ef8d74c5c578c7535915f5db6.png"/><Relationship Id="rId13" Type="http://schemas.openxmlformats.org/officeDocument/2006/relationships/image" Target="media/68ceb8ee04a8c3e310d747f93b6eabbc81c62643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Piano di Crescita e Report Predittivo — 16 agosto / 31 dicembre 2026</dc:title>
  <dc:creator>Indigit Marketing</dc:creator>
  <dc:description>Strategia, scenari e piano operativo dal 16 agosto al 31 dicembre 2026</dc:description>
  <cp:lastModifiedBy>Un-named</cp:lastModifiedBy>
  <cp:revision>1</cp:revision>
  <dcterms:created xsi:type="dcterms:W3CDTF">2026-08-15T12:40:17.485Z</dcterms:created>
  <dcterms:modified xsi:type="dcterms:W3CDTF">2026-08-15T12:40:17.485Z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