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i w:val="false"/>
          <w:iCs w:val="false"/>
          <w:color w:val="1F3864"/>
          <w:sz w:val="56"/>
          <w:szCs w:val="56"/>
        </w:rPr>
        <w:t xml:space="preserve">REPORT PREDITTIVO</w:t>
      </w:r>
    </w:p>
    <w:p>
      <w:pPr>
        <w:spacing w:after="60"/>
      </w:pPr>
      <w:r>
        <w:rPr>
          <w:rFonts w:ascii="Calibri" w:cs="Calibri" w:eastAsia="Calibri" w:hAnsi="Calibri"/>
          <w:b/>
          <w:bCs/>
          <w:i w:val="false"/>
          <w:iCs w:val="false"/>
          <w:color w:val="2E5C8A"/>
          <w:sz w:val="56"/>
          <w:szCs w:val="56"/>
        </w:rPr>
        <w:t xml:space="preserve">Piano di crescita</w:t>
      </w:r>
    </w:p>
    <w:p>
      <w:pPr>
        <w:pBdr>
          <w:bottom w:val="single" w:color="1F3864" w:sz="18" w:space="10"/>
        </w:pBdr>
        <w:spacing w:after="200"/>
      </w:pPr>
      <w:r>
        <w:rPr>
          <w:rFonts w:ascii="Calibri" w:cs="Calibri" w:eastAsia="Calibri" w:hAnsi="Calibri"/>
          <w:b/>
          <w:bCs/>
          <w:i w:val="false"/>
          <w:iCs w:val="false"/>
          <w:color w:val="2E5C8A"/>
          <w:sz w:val="30"/>
          <w:szCs w:val="30"/>
        </w:rPr>
        <w:t xml:space="preserve">16 agosto → 30 settembre 2026</w:t>
      </w:r>
    </w:p>
    <w:p>
      <w:pPr>
        <w:spacing w:after="80" w:line="264"/>
      </w:pPr>
      <w:r>
        <w:rPr>
          <w:rFonts w:ascii="Calibri" w:cs="Calibri" w:eastAsia="Calibri" w:hAnsi="Calibri"/>
          <w:b/>
          <w:bCs/>
          <w:i w:val="false"/>
          <w:iCs w:val="false"/>
          <w:color w:val="1F3864"/>
          <w:sz w:val="20"/>
          <w:szCs w:val="20"/>
        </w:rPr>
        <w:t xml:space="preserve">Data di riferimento: </w:t>
      </w:r>
      <w:r>
        <w:rPr>
          <w:rFonts w:ascii="Calibri" w:cs="Calibri" w:eastAsia="Calibri" w:hAnsi="Calibri"/>
          <w:b w:val="false"/>
          <w:bCs w:val="false"/>
          <w:i w:val="false"/>
          <w:iCs w:val="false"/>
          <w:color w:val="000000"/>
          <w:sz w:val="20"/>
          <w:szCs w:val="20"/>
        </w:rPr>
        <w:t xml:space="preserve">15 agosto 2026</w:t>
      </w:r>
    </w:p>
    <w:p>
      <w:pPr>
        <w:spacing w:after="80" w:line="264"/>
      </w:pPr>
      <w:r>
        <w:rPr>
          <w:rFonts w:ascii="Calibri" w:cs="Calibri" w:eastAsia="Calibri" w:hAnsi="Calibri"/>
          <w:b/>
          <w:bCs/>
          <w:i w:val="false"/>
          <w:iCs w:val="false"/>
          <w:color w:val="1F3864"/>
          <w:sz w:val="20"/>
          <w:szCs w:val="20"/>
        </w:rPr>
        <w:t xml:space="preserve">Orizzonte: </w:t>
      </w:r>
      <w:r>
        <w:rPr>
          <w:rFonts w:ascii="Calibri" w:cs="Calibri" w:eastAsia="Calibri" w:hAnsi="Calibri"/>
          <w:b w:val="false"/>
          <w:bCs w:val="false"/>
          <w:i w:val="false"/>
          <w:iCs w:val="false"/>
          <w:color w:val="000000"/>
          <w:sz w:val="20"/>
          <w:szCs w:val="20"/>
        </w:rPr>
        <w:t xml:space="preserve">46 giorni (16–31 agosto + settembre)</w:t>
      </w:r>
    </w:p>
    <w:p>
      <w:pPr>
        <w:spacing w:after="80" w:line="264"/>
      </w:pPr>
      <w:r>
        <w:rPr>
          <w:rFonts w:ascii="Calibri" w:cs="Calibri" w:eastAsia="Calibri" w:hAnsi="Calibri"/>
          <w:b/>
          <w:bCs/>
          <w:i w:val="false"/>
          <w:iCs w:val="false"/>
          <w:color w:val="1F3864"/>
          <w:sz w:val="20"/>
          <w:szCs w:val="20"/>
        </w:rPr>
        <w:t xml:space="preserve">Base dati: </w:t>
      </w:r>
      <w:r>
        <w:rPr>
          <w:rFonts w:ascii="Calibri" w:cs="Calibri" w:eastAsia="Calibri" w:hAnsi="Calibri"/>
          <w:b w:val="false"/>
          <w:bCs w:val="false"/>
          <w:i w:val="false"/>
          <w:iCs w:val="false"/>
          <w:color w:val="000000"/>
          <w:sz w:val="20"/>
          <w:szCs w:val="20"/>
        </w:rPr>
        <w:t xml:space="preserve">Report Niino 1/07–31/07 e 1/08–09/08 · export Google Ads 1/07–09/08</w:t>
      </w:r>
    </w:p>
    <w:p>
      <w:pPr>
        <w:spacing w:after="80" w:line="264"/>
      </w:pPr>
      <w:r>
        <w:rPr>
          <w:rFonts w:ascii="Calibri" w:cs="Calibri" w:eastAsia="Calibri" w:hAnsi="Calibri"/>
          <w:b/>
          <w:bCs/>
          <w:i w:val="false"/>
          <w:iCs w:val="false"/>
          <w:color w:val="1F3864"/>
          <w:sz w:val="20"/>
          <w:szCs w:val="20"/>
        </w:rPr>
        <w:t xml:space="preserve">Valuta: </w:t>
      </w:r>
      <w:r>
        <w:rPr>
          <w:rFonts w:ascii="Calibri" w:cs="Calibri" w:eastAsia="Calibri" w:hAnsi="Calibri"/>
          <w:b w:val="false"/>
          <w:bCs w:val="false"/>
          <w:i w:val="false"/>
          <w:iCs w:val="false"/>
          <w:color w:val="000000"/>
          <w:sz w:val="20"/>
          <w:szCs w:val="20"/>
        </w:rPr>
        <w:t xml:space="preserve">EUR</w:t>
      </w:r>
    </w:p>
    <w:p>
      <w:pPr>
        <w:spacing w:after="240"/>
      </w:pPr>
      <w:r>
        <w:rPr>
          <w:rFonts w:ascii="Calibri" w:cs="Calibri" w:eastAsia="Calibri" w:hAnsi="Calibri"/>
          <w:b w:val="false"/>
          <w:bCs w:val="false"/>
          <w:i w:val="false"/>
          <w:iCs w:val="false"/>
          <w:color w:val="000000"/>
          <w:sz w:val="20"/>
          <w:szCs w:val="20"/>
        </w:rPr>
        <w:t xml:space="preserve"/>
      </w:r>
    </w:p>
    <w:p>
      <w:pPr>
        <w:spacing w:after="60" w:before="160"/>
      </w:pPr>
      <w:r>
        <w:rPr>
          <w:rFonts w:ascii="Calibri" w:cs="Calibri" w:eastAsia="Calibri" w:hAnsi="Calibri"/>
          <w:b/>
          <w:bCs/>
          <w:i w:val="false"/>
          <w:iCs w:val="false"/>
          <w:color w:val="2E5C8A"/>
          <w:sz w:val="19"/>
          <w:szCs w:val="19"/>
        </w:rPr>
        <w:t xml:space="preserve">AVVERTENZA SULLA BASE DATI</w:t>
      </w:r>
    </w:p>
    <w:p>
      <w:pPr>
        <w:spacing w:after="120" w:before="0" w:line="264"/>
      </w:pPr>
      <w:r>
        <w:rPr>
          <w:rFonts w:ascii="Calibri" w:cs="Calibri" w:eastAsia="Calibri" w:hAnsi="Calibri"/>
          <w:b/>
          <w:bCs/>
          <w:i w:val="false"/>
          <w:iCs w:val="false"/>
          <w:color w:val="000000"/>
          <w:sz w:val="20"/>
          <w:szCs w:val="20"/>
        </w:rPr>
        <w:t xml:space="preserve">L'ultimo dato osservato è il 9 agosto. I sei giorni dal 10 al 15 agosto non sono coperti da nessuna fonte.</w:t>
      </w:r>
      <w:r>
        <w:rPr>
          <w:rFonts w:ascii="Calibri" w:cs="Calibri" w:eastAsia="Calibri" w:hAnsi="Calibri"/>
          <w:b w:val="false"/>
          <w:bCs w:val="false"/>
          <w:i w:val="false"/>
          <w:iCs w:val="false"/>
          <w:color w:val="000000"/>
          <w:sz w:val="20"/>
          <w:szCs w:val="20"/>
        </w:rPr>
        <w:t xml:space="preserve"> Tutte le proiezioni partono dal run rate 1–9 agosto.</w:t>
      </w:r>
    </w:p>
    <w:p>
      <w:pPr>
        <w:spacing w:after="120" w:before="0" w:line="264"/>
      </w:pPr>
      <w:r>
        <w:rPr>
          <w:rFonts w:ascii="Calibri" w:cs="Calibri" w:eastAsia="Calibri" w:hAnsi="Calibri"/>
          <w:b/>
          <w:bCs/>
          <w:i w:val="false"/>
          <w:iCs w:val="false"/>
          <w:color w:val="000000"/>
          <w:sz w:val="20"/>
          <w:szCs w:val="20"/>
        </w:rPr>
        <w:t xml:space="preserve">Prima azione del piano, prima di ogni altra: estrarre un report Niino e un export Google Ads aggiornati al 15 agosto</w:t>
      </w:r>
      <w:r>
        <w:rPr>
          <w:rFonts w:ascii="Calibri" w:cs="Calibri" w:eastAsia="Calibri" w:hAnsi="Calibri"/>
          <w:b w:val="false"/>
          <w:bCs w:val="false"/>
          <w:i w:val="false"/>
          <w:iCs w:val="false"/>
          <w:color w:val="000000"/>
          <w:sz w:val="20"/>
          <w:szCs w:val="20"/>
        </w:rPr>
        <w:t xml:space="preserve"> per verificare che la base di partenza non si sia già mossa. Se il ticket medio è risalito o la spesa è calata, le cifre di questo documento vanno riparametrate — il metodo resta valido, i numeri no.</w:t>
      </w:r>
    </w:p>
    <w:p>
      <w:r>
        <w:br w:type="page"/>
      </w:r>
    </w:p>
    <w:p>
      <w:pPr>
        <w:pStyle w:val="Heading1"/>
        <w:pBdr>
          <w:bottom w:val="single" w:color="1F3864" w:sz="12" w:space="6"/>
        </w:pBdr>
        <w:spacing w:after="60" w:before="420" w:line="264"/>
      </w:pPr>
      <w:r>
        <w:rPr>
          <w:rFonts w:ascii="Calibri" w:cs="Calibri" w:eastAsia="Calibri" w:hAnsi="Calibri"/>
          <w:b/>
          <w:bCs/>
          <w:i w:val="false"/>
          <w:iCs w:val="false"/>
          <w:color w:val="1F3864"/>
          <w:sz w:val="30"/>
          <w:szCs w:val="30"/>
        </w:rPr>
        <w:t xml:space="preserve">1. IL PUNTO DI PARTENZA</w:t>
      </w:r>
    </w:p>
    <w:p>
      <w:pPr>
        <w:spacing w:after="120" w:before="0" w:line="264"/>
      </w:pPr>
      <w:r>
        <w:rPr>
          <w:rFonts w:ascii="Calibri" w:cs="Calibri" w:eastAsia="Calibri" w:hAnsi="Calibri"/>
          <w:b w:val="false"/>
          <w:bCs w:val="false"/>
          <w:i w:val="false"/>
          <w:iCs w:val="false"/>
          <w:color w:val="000000"/>
          <w:sz w:val="20"/>
          <w:szCs w:val="20"/>
        </w:rPr>
        <w:t xml:space="preserve">Run rate degli ultimi 9 giorni osservati:</w:t>
      </w:r>
    </w:p>
    <w:p>
      <w:pPr>
        <w:spacing w:after="80"/>
      </w:pPr>
      <w:r>
        <w:rPr>
          <w:rFonts w:ascii="Calibri" w:cs="Calibri" w:eastAsia="Calibri" w:hAnsi="Calibri"/>
          <w:b w:val="false"/>
          <w:bCs w:val="false"/>
          <w:i w:val="false"/>
          <w:iCs w:val="false"/>
          <w:color w:val="000000"/>
          <w:sz w:val="20"/>
          <w:szCs w:val="20"/>
        </w:rPr>
        <w:t xml:space="preserve"/>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5596"/>
        <w:gridCol w:w="3430"/>
      </w:tblGrid>
      <w:tr>
        <w:trPr>
          <w:tblHeader/>
        </w:trPr>
        <w:tc>
          <w:tcPr>
            <w:tcW w:type="dxa" w:w="5596"/>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Metrica</w:t>
            </w:r>
          </w:p>
        </w:tc>
        <w:tc>
          <w:tcPr>
            <w:tcW w:type="dxa" w:w="3430"/>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Valore/giorno</w:t>
            </w:r>
          </w:p>
        </w:tc>
      </w:tr>
      <w:tr>
        <w:trPr>
          <w:tblHeader w:val="false"/>
        </w:trPr>
        <w:tc>
          <w:tcPr>
            <w:tcW w:type="dxa" w:w="5596"/>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Spesa (Google + Meta)</w:t>
            </w:r>
          </w:p>
        </w:tc>
        <w:tc>
          <w:tcPr>
            <w:tcW w:type="dxa" w:w="3430"/>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€ 567,67</w:t>
            </w:r>
          </w:p>
        </w:tc>
      </w:tr>
      <w:tr>
        <w:trPr>
          <w:tblHeader w:val="false"/>
        </w:trPr>
        <w:tc>
          <w:tcPr>
            <w:tcW w:type="dxa" w:w="5596"/>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Fee Niino netta</w:t>
            </w:r>
          </w:p>
        </w:tc>
        <w:tc>
          <w:tcPr>
            <w:tcW w:type="dxa" w:w="3430"/>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€ 106,22</w:t>
            </w:r>
          </w:p>
        </w:tc>
      </w:tr>
      <w:tr>
        <w:trPr>
          <w:tblHeader w:val="false"/>
        </w:trPr>
        <w:tc>
          <w:tcPr>
            <w:tcW w:type="dxa" w:w="5596"/>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Margine</w:t>
            </w:r>
          </w:p>
        </w:tc>
        <w:tc>
          <w:tcPr>
            <w:tcW w:type="dxa" w:w="3430"/>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−€ 461,44</w:t>
            </w:r>
          </w:p>
        </w:tc>
      </w:tr>
      <w:tr>
        <w:trPr>
          <w:tblHeader w:val="false"/>
        </w:trPr>
        <w:tc>
          <w:tcPr>
            <w:tcW w:type="dxa" w:w="5596"/>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Corse nette</w:t>
            </w:r>
          </w:p>
        </w:tc>
        <w:tc>
          <w:tcPr>
            <w:tcW w:type="dxa" w:w="3430"/>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5,78</w:t>
            </w:r>
          </w:p>
        </w:tc>
      </w:tr>
      <w:tr>
        <w:trPr>
          <w:tblHeader w:val="false"/>
        </w:trPr>
        <w:tc>
          <w:tcPr>
            <w:tcW w:type="dxa" w:w="5596"/>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ROAS Fee</w:t>
            </w:r>
          </w:p>
        </w:tc>
        <w:tc>
          <w:tcPr>
            <w:tcW w:type="dxa" w:w="3430"/>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0,19×</w:t>
            </w:r>
          </w:p>
        </w:tc>
      </w:tr>
      <w:tr>
        <w:trPr>
          <w:tblHeader w:val="false"/>
        </w:trPr>
        <w:tc>
          <w:tcPr>
            <w:tcW w:type="dxa" w:w="5596"/>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CPA per corsa netta</w:t>
            </w:r>
          </w:p>
        </w:tc>
        <w:tc>
          <w:tcPr>
            <w:tcW w:type="dxa" w:w="3430"/>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€ 98,25</w:t>
            </w:r>
          </w:p>
        </w:tc>
      </w:tr>
      <w:tr>
        <w:trPr>
          <w:tblHeader w:val="false"/>
        </w:trPr>
        <w:tc>
          <w:tcPr>
            <w:tcW w:type="dxa" w:w="5596"/>
            <w:shd w:fill="E4E9F2"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Fee per corsa netta</w:t>
            </w:r>
          </w:p>
        </w:tc>
        <w:tc>
          <w:tcPr>
            <w:tcW w:type="dxa" w:w="3430"/>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€ 18,38</w:t>
            </w:r>
          </w:p>
        </w:tc>
      </w:tr>
    </w:tbl>
    <w:p>
      <w:pPr>
        <w:spacing w:after="16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val="false"/>
          <w:bCs w:val="false"/>
          <w:i w:val="false"/>
          <w:iCs w:val="false"/>
          <w:color w:val="000000"/>
          <w:sz w:val="20"/>
          <w:szCs w:val="20"/>
        </w:rPr>
        <w:t xml:space="preserve">L'account brucia </w:t>
      </w:r>
      <w:r>
        <w:rPr>
          <w:rFonts w:ascii="Calibri" w:cs="Calibri" w:eastAsia="Calibri" w:hAnsi="Calibri"/>
          <w:b/>
          <w:bCs/>
          <w:i w:val="false"/>
          <w:iCs w:val="false"/>
          <w:color w:val="000000"/>
          <w:sz w:val="20"/>
          <w:szCs w:val="20"/>
        </w:rPr>
        <w:t xml:space="preserve">€461 al giorno</w:t>
      </w:r>
      <w:r>
        <w:rPr>
          <w:rFonts w:ascii="Calibri" w:cs="Calibri" w:eastAsia="Calibri" w:hAnsi="Calibri"/>
          <w:b w:val="false"/>
          <w:bCs w:val="false"/>
          <w:i w:val="false"/>
          <w:iCs w:val="false"/>
          <w:color w:val="000000"/>
          <w:sz w:val="20"/>
          <w:szCs w:val="20"/>
        </w:rPr>
        <w:t xml:space="preserve">. È il dato da cui parte ogni proiezione.</w:t>
      </w:r>
    </w:p>
    <w:p>
      <w:pPr>
        <w:pStyle w:val="Heading1"/>
        <w:pBdr>
          <w:bottom w:val="single" w:color="1F3864" w:sz="12" w:space="6"/>
        </w:pBdr>
        <w:spacing w:after="60" w:before="420" w:line="264"/>
      </w:pPr>
      <w:r>
        <w:rPr>
          <w:rFonts w:ascii="Calibri" w:cs="Calibri" w:eastAsia="Calibri" w:hAnsi="Calibri"/>
          <w:b/>
          <w:bCs/>
          <w:i w:val="false"/>
          <w:iCs w:val="false"/>
          <w:color w:val="1F3864"/>
          <w:sz w:val="30"/>
          <w:szCs w:val="30"/>
        </w:rPr>
        <w:t xml:space="preserve">2. SCENARIO A — INERZIALE: COSA SUCCEDE SE NON SI TOCCA NULLA</w:t>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5596"/>
        <w:gridCol w:w="3430"/>
      </w:tblGrid>
      <w:tr>
        <w:trPr>
          <w:tblHeader/>
        </w:trPr>
        <w:tc>
          <w:tcPr>
            <w:tcW w:type="dxa" w:w="5596"/>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
            </w:r>
          </w:p>
        </w:tc>
        <w:tc>
          <w:tcPr>
            <w:tcW w:type="dxa" w:w="3430"/>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16/8 – 30/9 (46 gg)</w:t>
            </w:r>
          </w:p>
        </w:tc>
      </w:tr>
      <w:tr>
        <w:trPr>
          <w:tblHeader w:val="false"/>
        </w:trPr>
        <w:tc>
          <w:tcPr>
            <w:tcW w:type="dxa" w:w="5596"/>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Spesa</w:t>
            </w:r>
          </w:p>
        </w:tc>
        <w:tc>
          <w:tcPr>
            <w:tcW w:type="dxa" w:w="3430"/>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€ 26.113</w:t>
            </w:r>
          </w:p>
        </w:tc>
      </w:tr>
      <w:tr>
        <w:trPr>
          <w:tblHeader w:val="false"/>
        </w:trPr>
        <w:tc>
          <w:tcPr>
            <w:tcW w:type="dxa" w:w="5596"/>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Fee Niino netta</w:t>
            </w:r>
          </w:p>
        </w:tc>
        <w:tc>
          <w:tcPr>
            <w:tcW w:type="dxa" w:w="3430"/>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€ 4.886</w:t>
            </w:r>
          </w:p>
        </w:tc>
      </w:tr>
      <w:tr>
        <w:trPr>
          <w:tblHeader w:val="false"/>
        </w:trPr>
        <w:tc>
          <w:tcPr>
            <w:tcW w:type="dxa" w:w="5596"/>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Margine</w:t>
            </w:r>
          </w:p>
        </w:tc>
        <w:tc>
          <w:tcPr>
            <w:tcW w:type="dxa" w:w="3430"/>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−€ 21.226</w:t>
            </w:r>
          </w:p>
        </w:tc>
      </w:tr>
      <w:tr>
        <w:trPr>
          <w:tblHeader w:val="false"/>
        </w:trPr>
        <w:tc>
          <w:tcPr>
            <w:tcW w:type="dxa" w:w="5596"/>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Corse nette</w:t>
            </w:r>
          </w:p>
        </w:tc>
        <w:tc>
          <w:tcPr>
            <w:tcW w:type="dxa" w:w="3430"/>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266</w:t>
            </w:r>
          </w:p>
        </w:tc>
      </w:tr>
      <w:tr>
        <w:trPr>
          <w:tblHeader w:val="false"/>
        </w:trPr>
        <w:tc>
          <w:tcPr>
            <w:tcW w:type="dxa" w:w="5596"/>
            <w:shd w:fill="E4E9F2"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ROAS Fee</w:t>
            </w:r>
          </w:p>
        </w:tc>
        <w:tc>
          <w:tcPr>
            <w:tcW w:type="dxa" w:w="3430"/>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0,19×</w:t>
            </w:r>
          </w:p>
        </w:tc>
      </w:tr>
    </w:tbl>
    <w:p>
      <w:pPr>
        <w:spacing w:after="16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bCs/>
          <w:i w:val="false"/>
          <w:iCs w:val="false"/>
          <w:color w:val="000000"/>
          <w:sz w:val="20"/>
          <w:szCs w:val="20"/>
        </w:rPr>
        <w:t xml:space="preserve">Non intervenire costa €21.226 in 46 giorni.</w:t>
      </w:r>
      <w:r>
        <w:rPr>
          <w:rFonts w:ascii="Calibri" w:cs="Calibri" w:eastAsia="Calibri" w:hAnsi="Calibri"/>
          <w:b w:val="false"/>
          <w:bCs w:val="false"/>
          <w:i w:val="false"/>
          <w:iCs w:val="false"/>
          <w:color w:val="000000"/>
          <w:sz w:val="20"/>
          <w:szCs w:val="20"/>
        </w:rPr>
        <w:t xml:space="preserve"> Sommati ai €12.510 già persi nei 40 giorni precedenti, la perdita complessiva 1 luglio → 30 settembre arriverebbe a </w:t>
      </w:r>
      <w:r>
        <w:rPr>
          <w:rFonts w:ascii="Calibri" w:cs="Calibri" w:eastAsia="Calibri" w:hAnsi="Calibri"/>
          <w:b/>
          <w:bCs/>
          <w:i w:val="false"/>
          <w:iCs w:val="false"/>
          <w:color w:val="000000"/>
          <w:sz w:val="20"/>
          <w:szCs w:val="20"/>
        </w:rPr>
        <w:t xml:space="preserve">−€33.736</w:t>
      </w:r>
      <w:r>
        <w:rPr>
          <w:rFonts w:ascii="Calibri" w:cs="Calibri" w:eastAsia="Calibri" w:hAnsi="Calibri"/>
          <w:b w:val="false"/>
          <w:bCs w:val="false"/>
          <w:i w:val="false"/>
          <w:iCs w:val="false"/>
          <w:color w:val="000000"/>
          <w:sz w:val="20"/>
          <w:szCs w:val="20"/>
        </w:rPr>
        <w:t xml:space="preserve">.</w:t>
      </w:r>
    </w:p>
    <w:p>
      <w:pPr>
        <w:pStyle w:val="Heading2"/>
        <w:spacing w:after="100" w:before="280" w:line="264"/>
      </w:pPr>
      <w:r>
        <w:rPr>
          <w:rFonts w:ascii="Calibri" w:cs="Calibri" w:eastAsia="Calibri" w:hAnsi="Calibri"/>
          <w:b/>
          <w:bCs/>
          <w:i w:val="false"/>
          <w:iCs w:val="false"/>
          <w:color w:val="2E5C8A"/>
          <w:sz w:val="24"/>
          <w:szCs w:val="24"/>
        </w:rPr>
        <w:t xml:space="preserve">Agosto chiuderà sopra il budget, non sotto</w:t>
      </w:r>
    </w:p>
    <w:p>
      <w:pPr>
        <w:spacing w:after="120" w:before="0" w:line="264"/>
      </w:pPr>
      <w:r>
        <w:rPr>
          <w:rFonts w:ascii="Calibri" w:cs="Calibri" w:eastAsia="Calibri" w:hAnsi="Calibri"/>
          <w:b w:val="false"/>
          <w:bCs w:val="false"/>
          <w:i w:val="false"/>
          <w:iCs w:val="false"/>
          <w:color w:val="000000"/>
          <w:sz w:val="20"/>
          <w:szCs w:val="20"/>
        </w:rPr>
        <w:t xml:space="preserve">Il report Niino proietta la spesa di agosto a </w:t>
      </w:r>
      <w:r>
        <w:rPr>
          <w:rFonts w:ascii="Calibri" w:cs="Calibri" w:eastAsia="Calibri" w:hAnsi="Calibri"/>
          <w:b/>
          <w:bCs/>
          <w:i w:val="false"/>
          <w:iCs w:val="false"/>
          <w:color w:val="000000"/>
          <w:sz w:val="20"/>
          <w:szCs w:val="20"/>
        </w:rPr>
        <w:t xml:space="preserve">€10.559</w:t>
      </w:r>
      <w:r>
        <w:rPr>
          <w:rFonts w:ascii="Calibri" w:cs="Calibri" w:eastAsia="Calibri" w:hAnsi="Calibri"/>
          <w:b w:val="false"/>
          <w:bCs w:val="false"/>
          <w:i w:val="false"/>
          <w:iCs w:val="false"/>
          <w:color w:val="000000"/>
          <w:sz w:val="20"/>
          <w:szCs w:val="20"/>
        </w:rPr>
        <w:t xml:space="preserve">, sotto il target BP di €13.529 (−22%). </w:t>
      </w:r>
      <w:r>
        <w:rPr>
          <w:rFonts w:ascii="Calibri" w:cs="Calibri" w:eastAsia="Calibri" w:hAnsi="Calibri"/>
          <w:b/>
          <w:bCs/>
          <w:i w:val="false"/>
          <w:iCs w:val="false"/>
          <w:color w:val="000000"/>
          <w:sz w:val="20"/>
          <w:szCs w:val="20"/>
        </w:rPr>
        <w:t xml:space="preserve">La proiezione è sbagliata:</w:t>
      </w:r>
      <w:r>
        <w:rPr>
          <w:rFonts w:ascii="Calibri" w:cs="Calibri" w:eastAsia="Calibri" w:hAnsi="Calibri"/>
          <w:b w:val="false"/>
          <w:bCs w:val="false"/>
          <w:i w:val="false"/>
          <w:iCs w:val="false"/>
          <w:color w:val="000000"/>
          <w:sz w:val="20"/>
          <w:szCs w:val="20"/>
        </w:rPr>
        <w:t xml:space="preserve"> divide 9 giorni di spesa su 15 giorni trascorsi.</w:t>
      </w:r>
    </w:p>
    <w:p>
      <w:pPr>
        <w:spacing w:after="80"/>
      </w:pPr>
      <w:r>
        <w:rPr>
          <w:rFonts w:ascii="Calibri" w:cs="Calibri" w:eastAsia="Calibri" w:hAnsi="Calibri"/>
          <w:b w:val="false"/>
          <w:bCs w:val="false"/>
          <w:i w:val="false"/>
          <w:iCs w:val="false"/>
          <w:color w:val="000000"/>
          <w:sz w:val="20"/>
          <w:szCs w:val="20"/>
        </w:rPr>
        <w:t xml:space="preserve"/>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5596"/>
        <w:gridCol w:w="3430"/>
      </w:tblGrid>
      <w:tr>
        <w:trPr>
          <w:tblHeader/>
        </w:trPr>
        <w:tc>
          <w:tcPr>
            <w:tcW w:type="dxa" w:w="5596"/>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
            </w:r>
          </w:p>
        </w:tc>
        <w:tc>
          <w:tcPr>
            <w:tcW w:type="dxa" w:w="3430"/>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Valore</w:t>
            </w:r>
          </w:p>
        </w:tc>
      </w:tr>
      <w:tr>
        <w:trPr>
          <w:tblHeader w:val="false"/>
        </w:trPr>
        <w:tc>
          <w:tcPr>
            <w:tcW w:type="dxa" w:w="5596"/>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Spesa 1–9 agosto (reale)</w:t>
            </w:r>
          </w:p>
        </w:tc>
        <w:tc>
          <w:tcPr>
            <w:tcW w:type="dxa" w:w="3430"/>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€ 5.109</w:t>
            </w:r>
          </w:p>
        </w:tc>
      </w:tr>
      <w:tr>
        <w:trPr>
          <w:tblHeader w:val="false"/>
        </w:trPr>
        <w:tc>
          <w:tcPr>
            <w:tcW w:type="dxa" w:w="5596"/>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Run rate</w:t>
            </w:r>
          </w:p>
        </w:tc>
        <w:tc>
          <w:tcPr>
            <w:tcW w:type="dxa" w:w="3430"/>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€ 567,67/giorno</w:t>
            </w:r>
          </w:p>
        </w:tc>
      </w:tr>
      <w:tr>
        <w:trPr>
          <w:tblHeader w:val="false"/>
        </w:trPr>
        <w:tc>
          <w:tcPr>
            <w:tcW w:type="dxa" w:w="5596"/>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Proiezione corretta a fine agosto</w:t>
            </w:r>
          </w:p>
        </w:tc>
        <w:tc>
          <w:tcPr>
            <w:tcW w:type="dxa" w:w="3430"/>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€ 17.598</w:t>
            </w:r>
          </w:p>
        </w:tc>
      </w:tr>
      <w:tr>
        <w:trPr>
          <w:tblHeader w:val="false"/>
        </w:trPr>
        <w:tc>
          <w:tcPr>
            <w:tcW w:type="dxa" w:w="5596"/>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Target BP agosto</w:t>
            </w:r>
          </w:p>
        </w:tc>
        <w:tc>
          <w:tcPr>
            <w:tcW w:type="dxa" w:w="3430"/>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€ 13.529</w:t>
            </w:r>
          </w:p>
        </w:tc>
      </w:tr>
      <w:tr>
        <w:trPr>
          <w:tblHeader w:val="false"/>
        </w:trPr>
        <w:tc>
          <w:tcPr>
            <w:tcW w:type="dxa" w:w="5596"/>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Scostamento reale</w:t>
            </w:r>
          </w:p>
        </w:tc>
        <w:tc>
          <w:tcPr>
            <w:tcW w:type="dxa" w:w="3430"/>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+30,1%</w:t>
            </w:r>
          </w:p>
        </w:tc>
      </w:tr>
      <w:tr>
        <w:trPr>
          <w:tblHeader w:val="false"/>
        </w:trPr>
        <w:tc>
          <w:tcPr>
            <w:tcW w:type="dxa" w:w="5596"/>
            <w:shd w:fill="E4E9F2"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Proiezione dichiarata nel PDF</w:t>
            </w:r>
          </w:p>
        </w:tc>
        <w:tc>
          <w:tcPr>
            <w:tcW w:type="dxa" w:w="3430"/>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€ 10.559 (−40%)</w:t>
            </w:r>
          </w:p>
        </w:tc>
      </w:tr>
    </w:tbl>
    <w:p>
      <w:pPr>
        <w:spacing w:after="16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bCs/>
          <w:i w:val="false"/>
          <w:iCs w:val="false"/>
          <w:color w:val="000000"/>
          <w:sz w:val="20"/>
          <w:szCs w:val="20"/>
        </w:rPr>
        <w:t xml:space="preserve">Agosto non sta spendendo il 22% in meno del budget: ne sta spendendo il 30% in più.</w:t>
      </w:r>
      <w:r>
        <w:rPr>
          <w:rFonts w:ascii="Calibri" w:cs="Calibri" w:eastAsia="Calibri" w:hAnsi="Calibri"/>
          <w:b w:val="false"/>
          <w:bCs w:val="false"/>
          <w:i w:val="false"/>
          <w:iCs w:val="false"/>
          <w:color w:val="000000"/>
          <w:sz w:val="20"/>
          <w:szCs w:val="20"/>
        </w:rPr>
        <w:t xml:space="preserve"> Questo va corretto nel report Niino prima che diventi la base di una decisione.</w:t>
      </w:r>
    </w:p>
    <w:p>
      <w:r>
        <w:br w:type="page"/>
      </w:r>
    </w:p>
    <w:p>
      <w:pPr>
        <w:pStyle w:val="Heading1"/>
        <w:pBdr>
          <w:bottom w:val="single" w:color="1F3864" w:sz="12" w:space="6"/>
        </w:pBdr>
        <w:spacing w:after="60" w:before="420" w:line="264"/>
      </w:pPr>
      <w:r>
        <w:rPr>
          <w:rFonts w:ascii="Calibri" w:cs="Calibri" w:eastAsia="Calibri" w:hAnsi="Calibri"/>
          <w:b/>
          <w:bCs/>
          <w:i w:val="false"/>
          <w:iCs w:val="false"/>
          <w:color w:val="1F3864"/>
          <w:sz w:val="30"/>
          <w:szCs w:val="30"/>
        </w:rPr>
        <w:t xml:space="preserve">3. IL VINCOLO CHE DECIDE TUTTO: IL CPA DI PAREGGIO</w:t>
      </w:r>
    </w:p>
    <w:p>
      <w:pPr>
        <w:spacing w:after="120" w:before="0" w:line="264"/>
      </w:pPr>
      <w:r>
        <w:rPr>
          <w:rFonts w:ascii="Calibri" w:cs="Calibri" w:eastAsia="Calibri" w:hAnsi="Calibri"/>
          <w:b w:val="false"/>
          <w:bCs w:val="false"/>
          <w:i w:val="false"/>
          <w:iCs w:val="false"/>
          <w:color w:val="000000"/>
          <w:sz w:val="20"/>
          <w:szCs w:val="20"/>
        </w:rPr>
        <w:t xml:space="preserve">Niino incassa la fee. Perché una corsa si ripaghi, </w:t>
      </w:r>
      <w:r>
        <w:rPr>
          <w:rFonts w:ascii="Calibri" w:cs="Calibri" w:eastAsia="Calibri" w:hAnsi="Calibri"/>
          <w:b/>
          <w:bCs/>
          <w:i w:val="false"/>
          <w:iCs w:val="false"/>
          <w:color w:val="000000"/>
          <w:sz w:val="20"/>
          <w:szCs w:val="20"/>
        </w:rPr>
        <w:t xml:space="preserve">il costo di acquisizione deve essere inferiore alla fee che quella corsa genera.</w:t>
      </w:r>
    </w:p>
    <w:p>
      <w:pPr>
        <w:spacing w:after="80"/>
      </w:pPr>
      <w:r>
        <w:rPr>
          <w:rFonts w:ascii="Calibri" w:cs="Calibri" w:eastAsia="Calibri" w:hAnsi="Calibri"/>
          <w:b w:val="false"/>
          <w:bCs w:val="false"/>
          <w:i w:val="false"/>
          <w:iCs w:val="false"/>
          <w:color w:val="000000"/>
          <w:sz w:val="20"/>
          <w:szCs w:val="20"/>
        </w:rPr>
        <w:t xml:space="preserve"/>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4152"/>
        <w:gridCol w:w="2437"/>
        <w:gridCol w:w="2437"/>
      </w:tblGrid>
      <w:tr>
        <w:trPr>
          <w:tblHeader/>
        </w:trPr>
        <w:tc>
          <w:tcPr>
            <w:tcW w:type="dxa" w:w="4152"/>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Base di calcolo</w:t>
            </w:r>
          </w:p>
        </w:tc>
        <w:tc>
          <w:tcPr>
            <w:tcW w:type="dxa" w:w="2437"/>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Fee per corsa netta</w:t>
            </w:r>
          </w:p>
        </w:tc>
        <w:tc>
          <w:tcPr>
            <w:tcW w:type="dxa" w:w="2437"/>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 CPA di pareggio</w:t>
            </w:r>
          </w:p>
        </w:tc>
      </w:tr>
      <w:tr>
        <w:trPr>
          <w:tblHeader w:val="false"/>
        </w:trPr>
        <w:tc>
          <w:tcPr>
            <w:tcW w:type="dxa" w:w="4152"/>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Luglio</w:t>
            </w:r>
          </w:p>
        </w:tc>
        <w:tc>
          <w:tcPr>
            <w:tcW w:type="dxa" w:w="2437"/>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€ 52,68</w:t>
            </w:r>
          </w:p>
        </w:tc>
        <w:tc>
          <w:tcPr>
            <w:tcW w:type="dxa" w:w="2437"/>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€ 52,68</w:t>
            </w:r>
          </w:p>
        </w:tc>
      </w:tr>
      <w:tr>
        <w:trPr>
          <w:tblHeader w:val="false"/>
        </w:trPr>
        <w:tc>
          <w:tcPr>
            <w:tcW w:type="dxa" w:w="4152"/>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40 giorni (1/7 – 9/8)</w:t>
            </w:r>
          </w:p>
        </w:tc>
        <w:tc>
          <w:tcPr>
            <w:tcW w:type="dxa" w:w="2437"/>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€ 44,36</w:t>
            </w:r>
          </w:p>
        </w:tc>
        <w:tc>
          <w:tcPr>
            <w:tcW w:type="dxa" w:w="2437"/>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€ 44,36</w:t>
            </w:r>
          </w:p>
        </w:tc>
      </w:tr>
      <w:tr>
        <w:trPr>
          <w:tblHeader w:val="false"/>
        </w:trPr>
        <w:tc>
          <w:tcPr>
            <w:tcW w:type="dxa" w:w="4152"/>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1–9 agosto</w:t>
            </w:r>
          </w:p>
        </w:tc>
        <w:tc>
          <w:tcPr>
            <w:tcW w:type="dxa" w:w="2437"/>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€ 18,38</w:t>
            </w:r>
          </w:p>
        </w:tc>
        <w:tc>
          <w:tcPr>
            <w:tcW w:type="dxa" w:w="2437"/>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€ 18,38</w:t>
            </w:r>
          </w:p>
        </w:tc>
      </w:tr>
      <w:tr>
        <w:trPr>
          <w:tblHeader w:val="false"/>
        </w:trPr>
        <w:tc>
          <w:tcPr>
            <w:tcW w:type="dxa" w:w="4152"/>
            <w:shd w:fill="E4E9F2"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CPA reale attuale</w:t>
            </w:r>
          </w:p>
        </w:tc>
        <w:tc>
          <w:tcPr>
            <w:tcW w:type="dxa" w:w="2437"/>
            <w:shd w:fill="E4E9F2"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
            </w:r>
          </w:p>
        </w:tc>
        <w:tc>
          <w:tcPr>
            <w:tcW w:type="dxa" w:w="2437"/>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€ 98,25</w:t>
            </w:r>
          </w:p>
        </w:tc>
      </w:tr>
    </w:tbl>
    <w:p>
      <w:pPr>
        <w:spacing w:after="16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bCs/>
          <w:i w:val="false"/>
          <w:iCs w:val="false"/>
          <w:color w:val="000000"/>
          <w:sz w:val="20"/>
          <w:szCs w:val="20"/>
        </w:rPr>
        <w:t xml:space="preserve">Oggi ogni corsa costa €98 e ne rende €18: si perdono €80 per corsa acquisita.</w:t>
      </w:r>
    </w:p>
    <w:p>
      <w:pPr>
        <w:pStyle w:val="Heading2"/>
        <w:spacing w:after="100" w:before="280" w:line="264"/>
      </w:pPr>
      <w:r>
        <w:rPr>
          <w:rFonts w:ascii="Calibri" w:cs="Calibri" w:eastAsia="Calibri" w:hAnsi="Calibri"/>
          <w:b/>
          <w:bCs/>
          <w:i w:val="false"/>
          <w:iCs w:val="false"/>
          <w:color w:val="2E5C8A"/>
          <w:sz w:val="24"/>
          <w:szCs w:val="24"/>
        </w:rPr>
        <w:t xml:space="preserve">Il target del business plan è sopra la soglia di pareggio</w:t>
      </w:r>
    </w:p>
    <w:p>
      <w:pPr>
        <w:spacing w:after="120" w:before="0" w:line="264"/>
      </w:pPr>
      <w:r>
        <w:rPr>
          <w:rFonts w:ascii="Calibri" w:cs="Calibri" w:eastAsia="Calibri" w:hAnsi="Calibri"/>
          <w:b w:val="false"/>
          <w:bCs w:val="false"/>
          <w:i w:val="false"/>
          <w:iCs w:val="false"/>
          <w:color w:val="000000"/>
          <w:sz w:val="20"/>
          <w:szCs w:val="20"/>
        </w:rPr>
        <w:t xml:space="preserve">Il BP fissa un CPA target di </w:t>
      </w:r>
      <w:r>
        <w:rPr>
          <w:rFonts w:ascii="Calibri" w:cs="Calibri" w:eastAsia="Calibri" w:hAnsi="Calibri"/>
          <w:b/>
          <w:bCs/>
          <w:i w:val="false"/>
          <w:iCs w:val="false"/>
          <w:color w:val="000000"/>
          <w:sz w:val="20"/>
          <w:szCs w:val="20"/>
        </w:rPr>
        <w:t xml:space="preserve">€70 per corsa</w:t>
      </w:r>
      <w:r>
        <w:rPr>
          <w:rFonts w:ascii="Calibri" w:cs="Calibri" w:eastAsia="Calibri" w:hAnsi="Calibri"/>
          <w:b w:val="false"/>
          <w:bCs w:val="false"/>
          <w:i w:val="false"/>
          <w:iCs w:val="false"/>
          <w:color w:val="000000"/>
          <w:sz w:val="20"/>
          <w:szCs w:val="20"/>
        </w:rPr>
        <w:t xml:space="preserve">. Ma:</w:t>
      </w:r>
    </w:p>
    <w:p>
      <w:pPr>
        <w:spacing w:after="80"/>
      </w:pPr>
      <w:r>
        <w:rPr>
          <w:rFonts w:ascii="Calibri" w:cs="Calibri" w:eastAsia="Calibri" w:hAnsi="Calibri"/>
          <w:b w:val="false"/>
          <w:bCs w:val="false"/>
          <w:i w:val="false"/>
          <w:iCs w:val="false"/>
          <w:color w:val="000000"/>
          <w:sz w:val="20"/>
          <w:szCs w:val="20"/>
        </w:rPr>
        <w:t xml:space="preserve"/>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3068"/>
        <w:gridCol w:w="1986"/>
        <w:gridCol w:w="1986"/>
        <w:gridCol w:w="1986"/>
      </w:tblGrid>
      <w:tr>
        <w:trPr>
          <w:tblHeader/>
        </w:trPr>
        <w:tc>
          <w:tcPr>
            <w:tcW w:type="dxa" w:w="3068"/>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Scenario</w:t>
            </w:r>
          </w:p>
        </w:tc>
        <w:tc>
          <w:tcPr>
            <w:tcW w:type="dxa" w:w="1986"/>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Fee per corsa</w:t>
            </w:r>
          </w:p>
        </w:tc>
        <w:tc>
          <w:tcPr>
            <w:tcW w:type="dxa" w:w="1986"/>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CPA target BP</w:t>
            </w:r>
          </w:p>
        </w:tc>
        <w:tc>
          <w:tcPr>
            <w:tcW w:type="dxa" w:w="1986"/>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Margine per corsa</w:t>
            </w:r>
          </w:p>
        </w:tc>
      </w:tr>
      <w:tr>
        <w:trPr>
          <w:tblHeader w:val="false"/>
        </w:trPr>
        <w:tc>
          <w:tcPr>
            <w:tcW w:type="dxa" w:w="306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Ai ticket di luglio</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€ 52,68</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€ 70</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−€ 17,32</w:t>
            </w:r>
          </w:p>
        </w:tc>
      </w:tr>
      <w:tr>
        <w:trPr>
          <w:tblHeader w:val="false"/>
        </w:trPr>
        <w:tc>
          <w:tcPr>
            <w:tcW w:type="dxa" w:w="306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Ai ticket dei 40 giorni</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€ 44,36</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€ 70</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−€ 25,64</w:t>
            </w:r>
          </w:p>
        </w:tc>
      </w:tr>
      <w:tr>
        <w:trPr>
          <w:tblHeader w:val="false"/>
        </w:trPr>
        <w:tc>
          <w:tcPr>
            <w:tcW w:type="dxa" w:w="306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Ai ticket di agosto</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€ 18,38</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€ 70</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−€ 51,62</w:t>
            </w:r>
          </w:p>
        </w:tc>
      </w:tr>
    </w:tbl>
    <w:p>
      <w:pPr>
        <w:spacing w:after="16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bCs/>
          <w:i w:val="false"/>
          <w:iCs w:val="false"/>
          <w:color w:val="000000"/>
          <w:sz w:val="20"/>
          <w:szCs w:val="20"/>
        </w:rPr>
        <w:t xml:space="preserve">Il target CPA del BP non produce margine in nessuno degli scenari misurati.</w:t>
      </w:r>
      <w:r>
        <w:rPr>
          <w:rFonts w:ascii="Calibri" w:cs="Calibri" w:eastAsia="Calibri" w:hAnsi="Calibri"/>
          <w:b w:val="false"/>
          <w:bCs w:val="false"/>
          <w:i w:val="false"/>
          <w:iCs w:val="false"/>
          <w:color w:val="000000"/>
          <w:sz w:val="20"/>
          <w:szCs w:val="20"/>
        </w:rPr>
        <w:t xml:space="preserve"> Anche raggiungendolo perfettamente, l'account resterebbe in perdita.</w:t>
      </w:r>
    </w:p>
    <w:p>
      <w:pPr>
        <w:spacing w:after="120" w:before="0" w:line="264"/>
      </w:pPr>
      <w:r>
        <w:rPr>
          <w:rFonts w:ascii="Calibri" w:cs="Calibri" w:eastAsia="Calibri" w:hAnsi="Calibri"/>
          <w:b w:val="false"/>
          <w:bCs w:val="false"/>
          <w:i w:val="false"/>
          <w:iCs w:val="false"/>
          <w:color w:val="000000"/>
          <w:sz w:val="20"/>
          <w:szCs w:val="20"/>
        </w:rPr>
        <w:t xml:space="preserve">Perché €70 di CPA sia sostenibile serve una fee di €70 per corsa, cioè — al take rate del 10,7% — </w:t>
      </w:r>
      <w:r>
        <w:rPr>
          <w:rFonts w:ascii="Calibri" w:cs="Calibri" w:eastAsia="Calibri" w:hAnsi="Calibri"/>
          <w:b/>
          <w:bCs/>
          <w:i w:val="false"/>
          <w:iCs w:val="false"/>
          <w:color w:val="000000"/>
          <w:sz w:val="20"/>
          <w:szCs w:val="20"/>
        </w:rPr>
        <w:t xml:space="preserve">un ticket medio di €654</w:t>
      </w:r>
      <w:r>
        <w:rPr>
          <w:rFonts w:ascii="Calibri" w:cs="Calibri" w:eastAsia="Calibri" w:hAnsi="Calibri"/>
          <w:b w:val="false"/>
          <w:bCs w:val="false"/>
          <w:i w:val="false"/>
          <w:iCs w:val="false"/>
          <w:color w:val="000000"/>
          <w:sz w:val="20"/>
          <w:szCs w:val="20"/>
        </w:rPr>
        <w:t xml:space="preserve">. Il ticket attuale è €397 sui 40 giorni e €181 in agosto.</w:t>
      </w:r>
    </w:p>
    <w:p>
      <w:pPr>
        <w:pBdr>
          <w:left w:val="single" w:color="2E5C8A" w:sz="18" w:space="10"/>
        </w:pBdr>
        <w:shd w:fill="F2F4F7" w:color="auto" w:val="clear"/>
        <w:spacing w:after="200" w:before="160" w:line="264"/>
        <w:ind w:left="340" w:right="200"/>
      </w:pPr>
      <w:r>
        <w:rPr>
          <w:rFonts w:ascii="Calibri" w:cs="Calibri" w:eastAsia="Calibri" w:hAnsi="Calibri"/>
          <w:b w:val="false"/>
          <w:bCs w:val="false"/>
          <w:i w:val="false"/>
          <w:iCs w:val="false"/>
          <w:color w:val="1F3864"/>
          <w:sz w:val="20"/>
          <w:szCs w:val="20"/>
        </w:rPr>
        <w:t xml:space="preserve">Questo è il punto strategico dell'intero piano: la crescita non può venire dal volume. Deve venire dal ticket medio e dal take rate.</w:t>
      </w:r>
    </w:p>
    <w:p>
      <w:r>
        <w:br w:type="page"/>
      </w:r>
    </w:p>
    <w:p>
      <w:pPr>
        <w:pStyle w:val="Heading1"/>
        <w:pBdr>
          <w:bottom w:val="single" w:color="1F3864" w:sz="12" w:space="6"/>
        </w:pBdr>
        <w:spacing w:after="60" w:before="420" w:line="264"/>
      </w:pPr>
      <w:r>
        <w:rPr>
          <w:rFonts w:ascii="Calibri" w:cs="Calibri" w:eastAsia="Calibri" w:hAnsi="Calibri"/>
          <w:b/>
          <w:bCs/>
          <w:i w:val="false"/>
          <w:iCs w:val="false"/>
          <w:color w:val="1F3864"/>
          <w:sz w:val="30"/>
          <w:szCs w:val="30"/>
        </w:rPr>
        <w:t xml:space="preserve">4. IL PORTAFOGLIO TARGET DAL 16 AGOSTO</w:t>
      </w:r>
    </w:p>
    <w:p>
      <w:pPr>
        <w:spacing w:after="120" w:before="0" w:line="264"/>
      </w:pPr>
      <w:r>
        <w:rPr>
          <w:rFonts w:ascii="Calibri" w:cs="Calibri" w:eastAsia="Calibri" w:hAnsi="Calibri"/>
          <w:b w:val="false"/>
          <w:bCs w:val="false"/>
          <w:i w:val="false"/>
          <w:iCs w:val="false"/>
          <w:color w:val="000000"/>
          <w:sz w:val="20"/>
          <w:szCs w:val="20"/>
        </w:rPr>
        <w:t xml:space="preserve">Ricostruito campagna per campagna, con i budget giornalieri proposti e il ROAS Fee assunto per ciascuna (dichiarato, non stimato al ribasso).</w:t>
      </w:r>
    </w:p>
    <w:p>
      <w:pPr>
        <w:pStyle w:val="Heading2"/>
        <w:spacing w:after="100" w:before="280" w:line="264"/>
      </w:pPr>
      <w:r>
        <w:rPr>
          <w:rFonts w:ascii="Calibri" w:cs="Calibri" w:eastAsia="Calibri" w:hAnsi="Calibri"/>
          <w:b/>
          <w:bCs/>
          <w:i w:val="false"/>
          <w:iCs w:val="false"/>
          <w:color w:val="2E5C8A"/>
          <w:sz w:val="24"/>
          <w:szCs w:val="24"/>
        </w:rPr>
        <w:t xml:space="preserve">Da chiudere subito — 12 campagne</w:t>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6318"/>
        <w:gridCol w:w="2708"/>
      </w:tblGrid>
      <w:tr>
        <w:trPr>
          <w:tblHeader/>
        </w:trPr>
        <w:tc>
          <w:tcPr>
            <w:tcW w:type="dxa" w:w="6318"/>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Campagna</w:t>
            </w:r>
          </w:p>
        </w:tc>
        <w:tc>
          <w:tcPr>
            <w:tcW w:type="dxa" w:w="2708"/>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Spesa/gg oggi</w:t>
            </w:r>
          </w:p>
        </w:tc>
      </w:tr>
      <w:tr>
        <w:trPr>
          <w:tblHeader w:val="false"/>
        </w:trPr>
        <w:tc>
          <w:tcPr>
            <w:tcW w:type="dxa" w:w="631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AMBULANZA | CHIAMATA | ROMA</w:t>
            </w:r>
          </w:p>
        </w:tc>
        <w:tc>
          <w:tcPr>
            <w:tcW w:type="dxa" w:w="2708"/>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€ 86,89</w:t>
            </w:r>
          </w:p>
        </w:tc>
      </w:tr>
      <w:tr>
        <w:trPr>
          <w:tblHeader w:val="false"/>
        </w:trPr>
        <w:tc>
          <w:tcPr>
            <w:tcW w:type="dxa" w:w="631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CHIAMATA | LUNGA PERCORRENZA (attiva)</w:t>
            </w:r>
          </w:p>
        </w:tc>
        <w:tc>
          <w:tcPr>
            <w:tcW w:type="dxa" w:w="2708"/>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€ 51,89</w:t>
            </w:r>
          </w:p>
        </w:tc>
      </w:tr>
      <w:tr>
        <w:trPr>
          <w:tblHeader w:val="false"/>
        </w:trPr>
        <w:tc>
          <w:tcPr>
            <w:tcW w:type="dxa" w:w="631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AMBULANZA | CHIAMATA | PUGLIA</w:t>
            </w:r>
          </w:p>
        </w:tc>
        <w:tc>
          <w:tcPr>
            <w:tcW w:type="dxa" w:w="2708"/>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€ 29,67</w:t>
            </w:r>
          </w:p>
        </w:tc>
      </w:tr>
      <w:tr>
        <w:trPr>
          <w:tblHeader w:val="false"/>
        </w:trPr>
        <w:tc>
          <w:tcPr>
            <w:tcW w:type="dxa" w:w="631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AMBULANZA | CHIAMATA | MILANO</w:t>
            </w:r>
          </w:p>
        </w:tc>
        <w:tc>
          <w:tcPr>
            <w:tcW w:type="dxa" w:w="2708"/>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€ 21,56</w:t>
            </w:r>
          </w:p>
        </w:tc>
      </w:tr>
      <w:tr>
        <w:trPr>
          <w:tblHeader w:val="false"/>
        </w:trPr>
        <w:tc>
          <w:tcPr>
            <w:tcW w:type="dxa" w:w="631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IG - FOLLERS (Meta)</w:t>
            </w:r>
          </w:p>
        </w:tc>
        <w:tc>
          <w:tcPr>
            <w:tcW w:type="dxa" w:w="2708"/>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€ 20,33</w:t>
            </w:r>
          </w:p>
        </w:tc>
      </w:tr>
      <w:tr>
        <w:trPr>
          <w:tblHeader w:val="false"/>
        </w:trPr>
        <w:tc>
          <w:tcPr>
            <w:tcW w:type="dxa" w:w="631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PMAX | LOMBARDIA | AMBULANZA</w:t>
            </w:r>
          </w:p>
        </w:tc>
        <w:tc>
          <w:tcPr>
            <w:tcW w:type="dxa" w:w="2708"/>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€ 19,67</w:t>
            </w:r>
          </w:p>
        </w:tc>
      </w:tr>
      <w:tr>
        <w:trPr>
          <w:tblHeader w:val="false"/>
        </w:trPr>
        <w:tc>
          <w:tcPr>
            <w:tcW w:type="dxa" w:w="631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AMBULANZA | CHIAMATA | TORINO</w:t>
            </w:r>
          </w:p>
        </w:tc>
        <w:tc>
          <w:tcPr>
            <w:tcW w:type="dxa" w:w="2708"/>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€ 17,89</w:t>
            </w:r>
          </w:p>
        </w:tc>
      </w:tr>
      <w:tr>
        <w:trPr>
          <w:tblHeader w:val="false"/>
        </w:trPr>
        <w:tc>
          <w:tcPr>
            <w:tcW w:type="dxa" w:w="631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AMBULANZA | CHIAMATA | BOLOGNA</w:t>
            </w:r>
          </w:p>
        </w:tc>
        <w:tc>
          <w:tcPr>
            <w:tcW w:type="dxa" w:w="2708"/>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€ 11,67</w:t>
            </w:r>
          </w:p>
        </w:tc>
      </w:tr>
      <w:tr>
        <w:trPr>
          <w:tblHeader w:val="false"/>
        </w:trPr>
        <w:tc>
          <w:tcPr>
            <w:tcW w:type="dxa" w:w="631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AMBULANZA | CHIAMATA | AGRIGENTO</w:t>
            </w:r>
          </w:p>
        </w:tc>
        <w:tc>
          <w:tcPr>
            <w:tcW w:type="dxa" w:w="2708"/>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€ 9,11</w:t>
            </w:r>
          </w:p>
        </w:tc>
      </w:tr>
      <w:tr>
        <w:trPr>
          <w:tblHeader w:val="false"/>
        </w:trPr>
        <w:tc>
          <w:tcPr>
            <w:tcW w:type="dxa" w:w="631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AMBULANZA | CHIAMATA | BARI</w:t>
            </w:r>
          </w:p>
        </w:tc>
        <w:tc>
          <w:tcPr>
            <w:tcW w:type="dxa" w:w="2708"/>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€ 6,33</w:t>
            </w:r>
          </w:p>
        </w:tc>
      </w:tr>
      <w:tr>
        <w:trPr>
          <w:tblHeader w:val="false"/>
        </w:trPr>
        <w:tc>
          <w:tcPr>
            <w:tcW w:type="dxa" w:w="631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AMBULANZA | CHIAMATA | VARESE 2</w:t>
            </w:r>
          </w:p>
        </w:tc>
        <w:tc>
          <w:tcPr>
            <w:tcW w:type="dxa" w:w="2708"/>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€ 4,33</w:t>
            </w:r>
          </w:p>
        </w:tc>
      </w:tr>
      <w:tr>
        <w:trPr>
          <w:tblHeader w:val="false"/>
        </w:trPr>
        <w:tc>
          <w:tcPr>
            <w:tcW w:type="dxa" w:w="631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CHIAMATA | LUNGA PERCORRENZA (in pausa)</w:t>
            </w:r>
          </w:p>
        </w:tc>
        <w:tc>
          <w:tcPr>
            <w:tcW w:type="dxa" w:w="2708"/>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€ 0 — ma € 755 nei 40 gg</w:t>
            </w:r>
          </w:p>
        </w:tc>
      </w:tr>
      <w:tr>
        <w:trPr>
          <w:tblHeader w:val="false"/>
        </w:trPr>
        <w:tc>
          <w:tcPr>
            <w:tcW w:type="dxa" w:w="6318"/>
            <w:shd w:fill="E4E9F2"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Totale</w:t>
            </w:r>
          </w:p>
        </w:tc>
        <w:tc>
          <w:tcPr>
            <w:tcW w:type="dxa" w:w="2708"/>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€ 279,33/giorno</w:t>
            </w:r>
          </w:p>
        </w:tc>
      </w:tr>
    </w:tbl>
    <w:p>
      <w:pPr>
        <w:spacing w:after="16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val="false"/>
          <w:bCs w:val="false"/>
          <w:i w:val="false"/>
          <w:iCs w:val="false"/>
          <w:color w:val="000000"/>
          <w:sz w:val="20"/>
          <w:szCs w:val="20"/>
        </w:rPr>
        <w:t xml:space="preserve">Queste 12 campagne, nei 9 giorni di agosto, hanno prodotto </w:t>
      </w:r>
      <w:r>
        <w:rPr>
          <w:rFonts w:ascii="Calibri" w:cs="Calibri" w:eastAsia="Calibri" w:hAnsi="Calibri"/>
          <w:b/>
          <w:bCs/>
          <w:i w:val="false"/>
          <w:iCs w:val="false"/>
          <w:color w:val="000000"/>
          <w:sz w:val="20"/>
          <w:szCs w:val="20"/>
        </w:rPr>
        <w:t xml:space="preserve">€7,89/giorno di fee</w:t>
      </w:r>
      <w:r>
        <w:rPr>
          <w:rFonts w:ascii="Calibri" w:cs="Calibri" w:eastAsia="Calibri" w:hAnsi="Calibri"/>
          <w:b w:val="false"/>
          <w:bCs w:val="false"/>
          <w:i w:val="false"/>
          <w:iCs w:val="false"/>
          <w:color w:val="000000"/>
          <w:sz w:val="20"/>
          <w:szCs w:val="20"/>
        </w:rPr>
        <w:t xml:space="preserve">. Chiuderle libera €279/giorno e costa €8/giorno: </w:t>
      </w:r>
      <w:r>
        <w:rPr>
          <w:rFonts w:ascii="Calibri" w:cs="Calibri" w:eastAsia="Calibri" w:hAnsi="Calibri"/>
          <w:b/>
          <w:bCs/>
          <w:i w:val="false"/>
          <w:iCs w:val="false"/>
          <w:color w:val="000000"/>
          <w:sz w:val="20"/>
          <w:szCs w:val="20"/>
        </w:rPr>
        <w:t xml:space="preserve">+€271/giorno di margine.</w:t>
      </w:r>
    </w:p>
    <w:p>
      <w:pPr>
        <w:pStyle w:val="Heading2"/>
        <w:spacing w:after="100" w:before="280" w:line="264"/>
      </w:pPr>
      <w:r>
        <w:rPr>
          <w:rFonts w:ascii="Calibri" w:cs="Calibri" w:eastAsia="Calibri" w:hAnsi="Calibri"/>
          <w:b/>
          <w:bCs/>
          <w:i w:val="false"/>
          <w:iCs w:val="false"/>
          <w:color w:val="2E5C8A"/>
          <w:sz w:val="24"/>
          <w:szCs w:val="24"/>
        </w:rPr>
        <w:t xml:space="preserve">Da mantenere — 9 campagne, budget riparametrato</w:t>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3068"/>
        <w:gridCol w:w="1264"/>
        <w:gridCol w:w="1264"/>
        <w:gridCol w:w="1264"/>
        <w:gridCol w:w="1083"/>
        <w:gridCol w:w="1083"/>
      </w:tblGrid>
      <w:tr>
        <w:trPr>
          <w:tblHeader/>
        </w:trPr>
        <w:tc>
          <w:tcPr>
            <w:tcW w:type="dxa" w:w="3068"/>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Campagna</w:t>
            </w:r>
          </w:p>
        </w:tc>
        <w:tc>
          <w:tcPr>
            <w:tcW w:type="dxa" w:w="1264"/>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Spesa/gg oggi</w:t>
            </w:r>
          </w:p>
        </w:tc>
        <w:tc>
          <w:tcPr>
            <w:tcW w:type="dxa" w:w="1264"/>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Spesa/gg piano</w:t>
            </w:r>
          </w:p>
        </w:tc>
        <w:tc>
          <w:tcPr>
            <w:tcW w:type="dxa" w:w="1264"/>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ROAS Fee assunto</w:t>
            </w:r>
          </w:p>
        </w:tc>
        <w:tc>
          <w:tcPr>
            <w:tcW w:type="dxa" w:w="1083"/>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Fee/gg attesa</w:t>
            </w:r>
          </w:p>
        </w:tc>
        <w:tc>
          <w:tcPr>
            <w:tcW w:type="dxa" w:w="1083"/>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Corse/gg</w:t>
            </w:r>
          </w:p>
        </w:tc>
      </w:tr>
      <w:tr>
        <w:trPr>
          <w:tblHeader w:val="false"/>
        </w:trPr>
        <w:tc>
          <w:tcPr>
            <w:tcW w:type="dxa" w:w="306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PMAX | ITALIA | AMBULANZA</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€ 118,78</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€ 60</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1,30×</w:t>
            </w:r>
          </w:p>
        </w:tc>
        <w:tc>
          <w:tcPr>
            <w:tcW w:type="dxa" w:w="108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€ 78,00</w:t>
            </w:r>
          </w:p>
        </w:tc>
        <w:tc>
          <w:tcPr>
            <w:tcW w:type="dxa" w:w="108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0,45</w:t>
            </w:r>
          </w:p>
        </w:tc>
      </w:tr>
      <w:tr>
        <w:trPr>
          <w:tblHeader w:val="false"/>
        </w:trPr>
        <w:tc>
          <w:tcPr>
            <w:tcW w:type="dxa" w:w="306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PMAX | PIEMONTE | AMBULANZA</w:t>
            </w:r>
          </w:p>
        </w:tc>
        <w:tc>
          <w:tcPr>
            <w:tcW w:type="dxa" w:w="126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€ 66,22</w:t>
            </w:r>
          </w:p>
        </w:tc>
        <w:tc>
          <w:tcPr>
            <w:tcW w:type="dxa" w:w="126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€ 30</w:t>
            </w:r>
          </w:p>
        </w:tc>
        <w:tc>
          <w:tcPr>
            <w:tcW w:type="dxa" w:w="126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0,61×</w:t>
            </w:r>
          </w:p>
        </w:tc>
        <w:tc>
          <w:tcPr>
            <w:tcW w:type="dxa" w:w="108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€ 18,30</w:t>
            </w:r>
          </w:p>
        </w:tc>
        <w:tc>
          <w:tcPr>
            <w:tcW w:type="dxa" w:w="108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0,52</w:t>
            </w:r>
          </w:p>
        </w:tc>
      </w:tr>
      <w:tr>
        <w:trPr>
          <w:tblHeader w:val="false"/>
        </w:trPr>
        <w:tc>
          <w:tcPr>
            <w:tcW w:type="dxa" w:w="306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PMAX | ITALIA | AEREO</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€ 51,11</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€ 25</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0,43×</w:t>
            </w:r>
          </w:p>
        </w:tc>
        <w:tc>
          <w:tcPr>
            <w:tcW w:type="dxa" w:w="108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€ 10,75</w:t>
            </w:r>
          </w:p>
        </w:tc>
        <w:tc>
          <w:tcPr>
            <w:tcW w:type="dxa" w:w="108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0,54</w:t>
            </w:r>
          </w:p>
        </w:tc>
      </w:tr>
      <w:tr>
        <w:trPr>
          <w:tblHeader w:val="false"/>
        </w:trPr>
        <w:tc>
          <w:tcPr>
            <w:tcW w:type="dxa" w:w="306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AMBULANZA | PURCHASE | MILANO</w:t>
            </w:r>
          </w:p>
        </w:tc>
        <w:tc>
          <w:tcPr>
            <w:tcW w:type="dxa" w:w="126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€ 5,89</w:t>
            </w:r>
          </w:p>
        </w:tc>
        <w:tc>
          <w:tcPr>
            <w:tcW w:type="dxa" w:w="126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€ 25</w:t>
            </w:r>
          </w:p>
        </w:tc>
        <w:tc>
          <w:tcPr>
            <w:tcW w:type="dxa" w:w="126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0,80×</w:t>
            </w:r>
          </w:p>
        </w:tc>
        <w:tc>
          <w:tcPr>
            <w:tcW w:type="dxa" w:w="108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€ 20,00</w:t>
            </w:r>
          </w:p>
        </w:tc>
        <w:tc>
          <w:tcPr>
            <w:tcW w:type="dxa" w:w="108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0,47</w:t>
            </w:r>
          </w:p>
        </w:tc>
      </w:tr>
      <w:tr>
        <w:trPr>
          <w:tblHeader w:val="false"/>
        </w:trPr>
        <w:tc>
          <w:tcPr>
            <w:tcW w:type="dxa" w:w="306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AMBULANZA | PURCHASE | ROMA</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€ 1,22</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€ 15</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0,60×</w:t>
            </w:r>
          </w:p>
        </w:tc>
        <w:tc>
          <w:tcPr>
            <w:tcW w:type="dxa" w:w="108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€ 9,00</w:t>
            </w:r>
          </w:p>
        </w:tc>
        <w:tc>
          <w:tcPr>
            <w:tcW w:type="dxa" w:w="108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0,44</w:t>
            </w:r>
          </w:p>
        </w:tc>
      </w:tr>
      <w:tr>
        <w:trPr>
          <w:tblHeader w:val="false"/>
        </w:trPr>
        <w:tc>
          <w:tcPr>
            <w:tcW w:type="dxa" w:w="306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MILANO | DIMISSIONI</w:t>
            </w:r>
          </w:p>
        </w:tc>
        <w:tc>
          <w:tcPr>
            <w:tcW w:type="dxa" w:w="126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€ 29,89</w:t>
            </w:r>
          </w:p>
        </w:tc>
        <w:tc>
          <w:tcPr>
            <w:tcW w:type="dxa" w:w="126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€ 20</w:t>
            </w:r>
          </w:p>
        </w:tc>
        <w:tc>
          <w:tcPr>
            <w:tcW w:type="dxa" w:w="126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0,51×</w:t>
            </w:r>
          </w:p>
        </w:tc>
        <w:tc>
          <w:tcPr>
            <w:tcW w:type="dxa" w:w="108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€ 10,20</w:t>
            </w:r>
          </w:p>
        </w:tc>
        <w:tc>
          <w:tcPr>
            <w:tcW w:type="dxa" w:w="108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0,21</w:t>
            </w:r>
          </w:p>
        </w:tc>
      </w:tr>
      <w:tr>
        <w:trPr>
          <w:tblHeader w:val="false"/>
        </w:trPr>
        <w:tc>
          <w:tcPr>
            <w:tcW w:type="dxa" w:w="306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AMBULANZA | CHIAMATA | PALERMO</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€ 9,33</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€ 10</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0,45×</w:t>
            </w:r>
          </w:p>
        </w:tc>
        <w:tc>
          <w:tcPr>
            <w:tcW w:type="dxa" w:w="108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€ 4,50</w:t>
            </w:r>
          </w:p>
        </w:tc>
        <w:tc>
          <w:tcPr>
            <w:tcW w:type="dxa" w:w="108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0,16</w:t>
            </w:r>
          </w:p>
        </w:tc>
      </w:tr>
      <w:tr>
        <w:trPr>
          <w:tblHeader w:val="false"/>
        </w:trPr>
        <w:tc>
          <w:tcPr>
            <w:tcW w:type="dxa" w:w="306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ANZIANI | MILANO</w:t>
            </w:r>
          </w:p>
        </w:tc>
        <w:tc>
          <w:tcPr>
            <w:tcW w:type="dxa" w:w="126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€ 0,56</w:t>
            </w:r>
          </w:p>
        </w:tc>
        <w:tc>
          <w:tcPr>
            <w:tcW w:type="dxa" w:w="126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€ 5</w:t>
            </w:r>
          </w:p>
        </w:tc>
        <w:tc>
          <w:tcPr>
            <w:tcW w:type="dxa" w:w="126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0,49×</w:t>
            </w:r>
          </w:p>
        </w:tc>
        <w:tc>
          <w:tcPr>
            <w:tcW w:type="dxa" w:w="108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€ 2,45</w:t>
            </w:r>
          </w:p>
        </w:tc>
        <w:tc>
          <w:tcPr>
            <w:tcW w:type="dxa" w:w="108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0,10</w:t>
            </w:r>
          </w:p>
        </w:tc>
      </w:tr>
      <w:tr>
        <w:trPr>
          <w:tblHeader w:val="false"/>
        </w:trPr>
        <w:tc>
          <w:tcPr>
            <w:tcW w:type="dxa" w:w="306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SN - 1225 - Brand</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€ 5,33</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€ 5</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0,27×</w:t>
            </w:r>
          </w:p>
        </w:tc>
        <w:tc>
          <w:tcPr>
            <w:tcW w:type="dxa" w:w="108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€ 1,35</w:t>
            </w:r>
          </w:p>
        </w:tc>
        <w:tc>
          <w:tcPr>
            <w:tcW w:type="dxa" w:w="108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0,05</w:t>
            </w:r>
          </w:p>
        </w:tc>
      </w:tr>
      <w:tr>
        <w:trPr>
          <w:tblHeader w:val="false"/>
        </w:trPr>
        <w:tc>
          <w:tcPr>
            <w:tcW w:type="dxa" w:w="3068"/>
            <w:shd w:fill="E4E9F2"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Totale portafoglio</w:t>
            </w:r>
          </w:p>
        </w:tc>
        <w:tc>
          <w:tcPr>
            <w:tcW w:type="dxa" w:w="1264"/>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€ 288,33</w:t>
            </w:r>
          </w:p>
        </w:tc>
        <w:tc>
          <w:tcPr>
            <w:tcW w:type="dxa" w:w="1264"/>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€ 195</w:t>
            </w:r>
          </w:p>
        </w:tc>
        <w:tc>
          <w:tcPr>
            <w:tcW w:type="dxa" w:w="1264"/>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B26A00"/>
                <w:sz w:val="19"/>
                <w:szCs w:val="19"/>
              </w:rPr>
              <w:t xml:space="preserve">0,79×</w:t>
            </w:r>
          </w:p>
        </w:tc>
        <w:tc>
          <w:tcPr>
            <w:tcW w:type="dxa" w:w="1083"/>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€ 154,55</w:t>
            </w:r>
          </w:p>
        </w:tc>
        <w:tc>
          <w:tcPr>
            <w:tcW w:type="dxa" w:w="1083"/>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2,95</w:t>
            </w:r>
          </w:p>
        </w:tc>
      </w:tr>
    </w:tbl>
    <w:p>
      <w:pPr>
        <w:spacing w:after="16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bCs/>
          <w:i w:val="false"/>
          <w:iCs w:val="false"/>
          <w:color w:val="000000"/>
          <w:sz w:val="20"/>
          <w:szCs w:val="20"/>
        </w:rPr>
        <w:t xml:space="preserve">Le uniche due campagne che aumentano di budget sono le Search Purchase di Milano e Roma</w:t>
      </w:r>
      <w:r>
        <w:rPr>
          <w:rFonts w:ascii="Calibri" w:cs="Calibri" w:eastAsia="Calibri" w:hAnsi="Calibri"/>
          <w:b w:val="false"/>
          <w:bCs w:val="false"/>
          <w:i w:val="false"/>
          <w:iCs w:val="false"/>
          <w:color w:val="000000"/>
          <w:sz w:val="20"/>
          <w:szCs w:val="20"/>
        </w:rPr>
        <w:t xml:space="preserve"> — le sole con ROAS Fee in tenuta o in miglioramento, e con cancellazioni basse o nulle.</w:t>
      </w:r>
    </w:p>
    <w:p>
      <w:pPr>
        <w:pStyle w:val="Heading2"/>
        <w:spacing w:after="100" w:before="280" w:line="264"/>
      </w:pPr>
      <w:r>
        <w:rPr>
          <w:rFonts w:ascii="Calibri" w:cs="Calibri" w:eastAsia="Calibri" w:hAnsi="Calibri"/>
          <w:b/>
          <w:bCs/>
          <w:i w:val="false"/>
          <w:iCs w:val="false"/>
          <w:color w:val="2E5C8A"/>
          <w:sz w:val="24"/>
          <w:szCs w:val="24"/>
        </w:rPr>
        <w:t xml:space="preserve">L'effetto immediato</w:t>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3611"/>
        <w:gridCol w:w="1805"/>
        <w:gridCol w:w="1805"/>
        <w:gridCol w:w="1805"/>
      </w:tblGrid>
      <w:tr>
        <w:trPr>
          <w:tblHeader/>
        </w:trPr>
        <w:tc>
          <w:tcPr>
            <w:tcW w:type="dxa" w:w="3611"/>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
            </w:r>
          </w:p>
        </w:tc>
        <w:tc>
          <w:tcPr>
            <w:tcW w:type="dxa" w:w="1805"/>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Oggi</w:t>
            </w:r>
          </w:p>
        </w:tc>
        <w:tc>
          <w:tcPr>
            <w:tcW w:type="dxa" w:w="1805"/>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Piano</w:t>
            </w:r>
          </w:p>
        </w:tc>
        <w:tc>
          <w:tcPr>
            <w:tcW w:type="dxa" w:w="1805"/>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Variazione</w:t>
            </w:r>
          </w:p>
        </w:tc>
      </w:tr>
      <w:tr>
        <w:trPr>
          <w:tblHeader w:val="false"/>
        </w:trPr>
        <w:tc>
          <w:tcPr>
            <w:tcW w:type="dxa" w:w="3611"/>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Spesa/giorno</w:t>
            </w:r>
          </w:p>
        </w:tc>
        <w:tc>
          <w:tcPr>
            <w:tcW w:type="dxa" w:w="180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€ 567,67</w:t>
            </w:r>
          </w:p>
        </w:tc>
        <w:tc>
          <w:tcPr>
            <w:tcW w:type="dxa" w:w="180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€ 195</w:t>
            </w:r>
          </w:p>
        </w:tc>
        <w:tc>
          <w:tcPr>
            <w:tcW w:type="dxa" w:w="180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−66%</w:t>
            </w:r>
          </w:p>
        </w:tc>
      </w:tr>
      <w:tr>
        <w:trPr>
          <w:tblHeader w:val="false"/>
        </w:trPr>
        <w:tc>
          <w:tcPr>
            <w:tcW w:type="dxa" w:w="3611"/>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Fee/giorno</w:t>
            </w:r>
          </w:p>
        </w:tc>
        <w:tc>
          <w:tcPr>
            <w:tcW w:type="dxa" w:w="1805"/>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€ 106,22</w:t>
            </w:r>
          </w:p>
        </w:tc>
        <w:tc>
          <w:tcPr>
            <w:tcW w:type="dxa" w:w="1805"/>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€ 154,55</w:t>
            </w:r>
          </w:p>
        </w:tc>
        <w:tc>
          <w:tcPr>
            <w:tcW w:type="dxa" w:w="1805"/>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+45%</w:t>
            </w:r>
          </w:p>
        </w:tc>
      </w:tr>
      <w:tr>
        <w:trPr>
          <w:tblHeader w:val="false"/>
        </w:trPr>
        <w:tc>
          <w:tcPr>
            <w:tcW w:type="dxa" w:w="3611"/>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Margine/giorno</w:t>
            </w:r>
          </w:p>
        </w:tc>
        <w:tc>
          <w:tcPr>
            <w:tcW w:type="dxa" w:w="180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−€ 461,44</w:t>
            </w:r>
          </w:p>
        </w:tc>
        <w:tc>
          <w:tcPr>
            <w:tcW w:type="dxa" w:w="180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B26A00"/>
                <w:sz w:val="19"/>
                <w:szCs w:val="19"/>
              </w:rPr>
              <w:t xml:space="preserve">−€ 40,45</w:t>
            </w:r>
          </w:p>
        </w:tc>
        <w:tc>
          <w:tcPr>
            <w:tcW w:type="dxa" w:w="180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+€ 421</w:t>
            </w:r>
          </w:p>
        </w:tc>
      </w:tr>
      <w:tr>
        <w:trPr>
          <w:tblHeader w:val="false"/>
        </w:trPr>
        <w:tc>
          <w:tcPr>
            <w:tcW w:type="dxa" w:w="3611"/>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Corse nette/giorno</w:t>
            </w:r>
          </w:p>
        </w:tc>
        <w:tc>
          <w:tcPr>
            <w:tcW w:type="dxa" w:w="1805"/>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5,78</w:t>
            </w:r>
          </w:p>
        </w:tc>
        <w:tc>
          <w:tcPr>
            <w:tcW w:type="dxa" w:w="1805"/>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2,95</w:t>
            </w:r>
          </w:p>
        </w:tc>
        <w:tc>
          <w:tcPr>
            <w:tcW w:type="dxa" w:w="1805"/>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−49%</w:t>
            </w:r>
          </w:p>
        </w:tc>
      </w:tr>
      <w:tr>
        <w:trPr>
          <w:tblHeader w:val="false"/>
        </w:trPr>
        <w:tc>
          <w:tcPr>
            <w:tcW w:type="dxa" w:w="3611"/>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CPA per corsa</w:t>
            </w:r>
          </w:p>
        </w:tc>
        <w:tc>
          <w:tcPr>
            <w:tcW w:type="dxa" w:w="180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€ 98,25</w:t>
            </w:r>
          </w:p>
        </w:tc>
        <w:tc>
          <w:tcPr>
            <w:tcW w:type="dxa" w:w="180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€ 66,14</w:t>
            </w:r>
          </w:p>
        </w:tc>
        <w:tc>
          <w:tcPr>
            <w:tcW w:type="dxa" w:w="180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−33%</w:t>
            </w:r>
          </w:p>
        </w:tc>
      </w:tr>
      <w:tr>
        <w:trPr>
          <w:tblHeader w:val="false"/>
        </w:trPr>
        <w:tc>
          <w:tcPr>
            <w:tcW w:type="dxa" w:w="3611"/>
            <w:shd w:fill="E4E9F2"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ROAS Fee</w:t>
            </w:r>
          </w:p>
        </w:tc>
        <w:tc>
          <w:tcPr>
            <w:tcW w:type="dxa" w:w="1805"/>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0,19×</w:t>
            </w:r>
          </w:p>
        </w:tc>
        <w:tc>
          <w:tcPr>
            <w:tcW w:type="dxa" w:w="1805"/>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B26A00"/>
                <w:sz w:val="19"/>
                <w:szCs w:val="19"/>
              </w:rPr>
              <w:t xml:space="preserve">0,79×</w:t>
            </w:r>
          </w:p>
        </w:tc>
        <w:tc>
          <w:tcPr>
            <w:tcW w:type="dxa" w:w="1805"/>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+316%</w:t>
            </w:r>
          </w:p>
        </w:tc>
      </w:tr>
    </w:tbl>
    <w:p>
      <w:pPr>
        <w:spacing w:after="16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bCs/>
          <w:i w:val="false"/>
          <w:iCs w:val="false"/>
          <w:color w:val="000000"/>
          <w:sz w:val="20"/>
          <w:szCs w:val="20"/>
        </w:rPr>
        <w:t xml:space="preserve">Il piano non porta l'account in profitto immediato: lo porta da −€461 a −€40 al giorno.</w:t>
      </w:r>
      <w:r>
        <w:rPr>
          <w:rFonts w:ascii="Calibri" w:cs="Calibri" w:eastAsia="Calibri" w:hAnsi="Calibri"/>
          <w:b w:val="false"/>
          <w:bCs w:val="false"/>
          <w:i w:val="false"/>
          <w:iCs w:val="false"/>
          <w:color w:val="000000"/>
          <w:sz w:val="20"/>
          <w:szCs w:val="20"/>
        </w:rPr>
        <w:t xml:space="preserve"> E dimezza il numero di corse. Entrambe le cose vanno dette con la stessa chiarezza.</w:t>
      </w:r>
    </w:p>
    <w:p>
      <w:r>
        <w:br w:type="page"/>
      </w:r>
    </w:p>
    <w:p>
      <w:pPr>
        <w:pStyle w:val="Heading1"/>
        <w:pBdr>
          <w:bottom w:val="single" w:color="1F3864" w:sz="12" w:space="6"/>
        </w:pBdr>
        <w:spacing w:after="60" w:before="420" w:line="264"/>
      </w:pPr>
      <w:r>
        <w:rPr>
          <w:rFonts w:ascii="Calibri" w:cs="Calibri" w:eastAsia="Calibri" w:hAnsi="Calibri"/>
          <w:b/>
          <w:bCs/>
          <w:i w:val="false"/>
          <w:iCs w:val="false"/>
          <w:color w:val="1F3864"/>
          <w:sz w:val="30"/>
          <w:szCs w:val="30"/>
        </w:rPr>
        <w:t xml:space="preserve">5. I TRE SCENARI A CONFRONTO</w:t>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3069"/>
        <w:gridCol w:w="1354"/>
        <w:gridCol w:w="1173"/>
        <w:gridCol w:w="1444"/>
        <w:gridCol w:w="993"/>
        <w:gridCol w:w="993"/>
      </w:tblGrid>
      <w:tr>
        <w:trPr>
          <w:tblHeader/>
        </w:trPr>
        <w:tc>
          <w:tcPr>
            <w:tcW w:type="dxa" w:w="3069"/>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Scenario</w:t>
            </w:r>
          </w:p>
        </w:tc>
        <w:tc>
          <w:tcPr>
            <w:tcW w:type="dxa" w:w="1354"/>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Spesa</w:t>
            </w:r>
          </w:p>
        </w:tc>
        <w:tc>
          <w:tcPr>
            <w:tcW w:type="dxa" w:w="1173"/>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Fee</w:t>
            </w:r>
          </w:p>
        </w:tc>
        <w:tc>
          <w:tcPr>
            <w:tcW w:type="dxa" w:w="1444"/>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Margine</w:t>
            </w:r>
          </w:p>
        </w:tc>
        <w:tc>
          <w:tcPr>
            <w:tcW w:type="dxa" w:w="993"/>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ROAS Fee</w:t>
            </w:r>
          </w:p>
        </w:tc>
        <w:tc>
          <w:tcPr>
            <w:tcW w:type="dxa" w:w="993"/>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Corse</w:t>
            </w:r>
          </w:p>
        </w:tc>
      </w:tr>
      <w:tr>
        <w:trPr>
          <w:tblHeader w:val="false"/>
        </w:trPr>
        <w:tc>
          <w:tcPr>
            <w:tcW w:type="dxa" w:w="3069"/>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A — inerziale</w:t>
            </w:r>
          </w:p>
        </w:tc>
        <w:tc>
          <w:tcPr>
            <w:tcW w:type="dxa" w:w="135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€ 26.113</w:t>
            </w:r>
          </w:p>
        </w:tc>
        <w:tc>
          <w:tcPr>
            <w:tcW w:type="dxa" w:w="117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€ 4.886</w:t>
            </w:r>
          </w:p>
        </w:tc>
        <w:tc>
          <w:tcPr>
            <w:tcW w:type="dxa" w:w="144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−€ 21.226</w:t>
            </w:r>
          </w:p>
        </w:tc>
        <w:tc>
          <w:tcPr>
            <w:tcW w:type="dxa" w:w="99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0,19×</w:t>
            </w:r>
          </w:p>
        </w:tc>
        <w:tc>
          <w:tcPr>
            <w:tcW w:type="dxa" w:w="99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266</w:t>
            </w:r>
          </w:p>
        </w:tc>
      </w:tr>
      <w:tr>
        <w:trPr>
          <w:tblHeader w:val="false"/>
        </w:trPr>
        <w:tc>
          <w:tcPr>
            <w:tcW w:type="dxa" w:w="3069"/>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B — piano base</w:t>
            </w:r>
          </w:p>
        </w:tc>
        <w:tc>
          <w:tcPr>
            <w:tcW w:type="dxa" w:w="135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€ 8.970</w:t>
            </w:r>
          </w:p>
        </w:tc>
        <w:tc>
          <w:tcPr>
            <w:tcW w:type="dxa" w:w="117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€ 7.109</w:t>
            </w:r>
          </w:p>
        </w:tc>
        <w:tc>
          <w:tcPr>
            <w:tcW w:type="dxa" w:w="144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B26A00"/>
                <w:sz w:val="19"/>
                <w:szCs w:val="19"/>
              </w:rPr>
              <w:t xml:space="preserve">−€ 1.861</w:t>
            </w:r>
          </w:p>
        </w:tc>
        <w:tc>
          <w:tcPr>
            <w:tcW w:type="dxa" w:w="99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B26A00"/>
                <w:sz w:val="19"/>
                <w:szCs w:val="19"/>
              </w:rPr>
              <w:t xml:space="preserve">0,79×</w:t>
            </w:r>
          </w:p>
        </w:tc>
        <w:tc>
          <w:tcPr>
            <w:tcW w:type="dxa" w:w="99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136</w:t>
            </w:r>
          </w:p>
        </w:tc>
      </w:tr>
      <w:tr>
        <w:trPr>
          <w:tblHeader w:val="false"/>
        </w:trPr>
        <w:tc>
          <w:tcPr>
            <w:tcW w:type="dxa" w:w="3069"/>
            <w:shd w:fill="E4E9F2"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C — piano + recupero</w:t>
            </w:r>
          </w:p>
        </w:tc>
        <w:tc>
          <w:tcPr>
            <w:tcW w:type="dxa" w:w="1354"/>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€ 9.420</w:t>
            </w:r>
          </w:p>
        </w:tc>
        <w:tc>
          <w:tcPr>
            <w:tcW w:type="dxa" w:w="1173"/>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€ 8.437</w:t>
            </w:r>
          </w:p>
        </w:tc>
        <w:tc>
          <w:tcPr>
            <w:tcW w:type="dxa" w:w="1444"/>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−€ 983</w:t>
            </w:r>
          </w:p>
        </w:tc>
        <w:tc>
          <w:tcPr>
            <w:tcW w:type="dxa" w:w="993"/>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0,90×</w:t>
            </w:r>
          </w:p>
        </w:tc>
        <w:tc>
          <w:tcPr>
            <w:tcW w:type="dxa" w:w="993"/>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139</w:t>
            </w:r>
          </w:p>
        </w:tc>
      </w:tr>
    </w:tbl>
    <w:p>
      <w:pPr>
        <w:spacing w:after="16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bCs/>
          <w:i w:val="false"/>
          <w:iCs w:val="false"/>
          <w:color w:val="000000"/>
          <w:sz w:val="20"/>
          <w:szCs w:val="20"/>
        </w:rPr>
        <w:t xml:space="preserve">Differenza tra non fare nulla e fare il piano: €20.243 di margine su 46 giorni</w:t>
      </w:r>
      <w:r>
        <w:rPr>
          <w:rFonts w:ascii="Calibri" w:cs="Calibri" w:eastAsia="Calibri" w:hAnsi="Calibri"/>
          <w:b w:val="false"/>
          <w:bCs w:val="false"/>
          <w:i w:val="false"/>
          <w:iCs w:val="false"/>
          <w:color w:val="000000"/>
          <w:sz w:val="20"/>
          <w:szCs w:val="20"/>
        </w:rPr>
        <w:t xml:space="preserve">, con €16.693 di spesa in meno e 127 corse in meno.</w:t>
      </w:r>
    </w:p>
    <w:p>
      <w:pPr>
        <w:pStyle w:val="Heading2"/>
        <w:spacing w:after="100" w:before="280" w:line="264"/>
      </w:pPr>
      <w:r>
        <w:rPr>
          <w:rFonts w:ascii="Calibri" w:cs="Calibri" w:eastAsia="Calibri" w:hAnsi="Calibri"/>
          <w:b/>
          <w:bCs/>
          <w:i w:val="false"/>
          <w:iCs w:val="false"/>
          <w:color w:val="2E5C8A"/>
          <w:sz w:val="24"/>
          <w:szCs w:val="24"/>
        </w:rPr>
        <w:t xml:space="preserve">Lo scenario C in dettaglio</w:t>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3248"/>
        <w:gridCol w:w="903"/>
        <w:gridCol w:w="1264"/>
        <w:gridCol w:w="1264"/>
        <w:gridCol w:w="1264"/>
        <w:gridCol w:w="1083"/>
      </w:tblGrid>
      <w:tr>
        <w:trPr>
          <w:tblHeader/>
        </w:trPr>
        <w:tc>
          <w:tcPr>
            <w:tcW w:type="dxa" w:w="3248"/>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Fase</w:t>
            </w:r>
          </w:p>
        </w:tc>
        <w:tc>
          <w:tcPr>
            <w:tcW w:type="dxa" w:w="903"/>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Giorni</w:t>
            </w:r>
          </w:p>
        </w:tc>
        <w:tc>
          <w:tcPr>
            <w:tcW w:type="dxa" w:w="1264"/>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Spesa/gg</w:t>
            </w:r>
          </w:p>
        </w:tc>
        <w:tc>
          <w:tcPr>
            <w:tcW w:type="dxa" w:w="1264"/>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Fee/gg</w:t>
            </w:r>
          </w:p>
        </w:tc>
        <w:tc>
          <w:tcPr>
            <w:tcW w:type="dxa" w:w="1264"/>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Margine/gg</w:t>
            </w:r>
          </w:p>
        </w:tc>
        <w:tc>
          <w:tcPr>
            <w:tcW w:type="dxa" w:w="1083"/>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ROAS Fee</w:t>
            </w:r>
          </w:p>
        </w:tc>
      </w:tr>
      <w:tr>
        <w:trPr>
          <w:tblHeader w:val="false"/>
        </w:trPr>
        <w:tc>
          <w:tcPr>
            <w:tcW w:type="dxa" w:w="324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Fase 1 — stabilizzazione (16/8 – 15/9)</w:t>
            </w:r>
          </w:p>
        </w:tc>
        <w:tc>
          <w:tcPr>
            <w:tcW w:type="dxa" w:w="90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31</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€ 195</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€ 154,55</w:t>
            </w:r>
          </w:p>
        </w:tc>
        <w:tc>
          <w:tcPr>
            <w:tcW w:type="dxa" w:w="126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B26A00"/>
                <w:sz w:val="19"/>
                <w:szCs w:val="19"/>
              </w:rPr>
              <w:t xml:space="preserve">−€ 40,45</w:t>
            </w:r>
          </w:p>
        </w:tc>
        <w:tc>
          <w:tcPr>
            <w:tcW w:type="dxa" w:w="108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B26A00"/>
                <w:sz w:val="19"/>
                <w:szCs w:val="19"/>
              </w:rPr>
              <w:t xml:space="preserve">0,79×</w:t>
            </w:r>
          </w:p>
        </w:tc>
      </w:tr>
      <w:tr>
        <w:trPr>
          <w:tblHeader w:val="false"/>
        </w:trPr>
        <w:tc>
          <w:tcPr>
            <w:tcW w:type="dxa" w:w="324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Fase 2 — riapertura Italia Ambulanza (16–30/9)</w:t>
            </w:r>
          </w:p>
        </w:tc>
        <w:tc>
          <w:tcPr>
            <w:tcW w:type="dxa" w:w="90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15</w:t>
            </w:r>
          </w:p>
        </w:tc>
        <w:tc>
          <w:tcPr>
            <w:tcW w:type="dxa" w:w="126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€ 225</w:t>
            </w:r>
          </w:p>
        </w:tc>
        <w:tc>
          <w:tcPr>
            <w:tcW w:type="dxa" w:w="126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€ 243,05</w:t>
            </w:r>
          </w:p>
        </w:tc>
        <w:tc>
          <w:tcPr>
            <w:tcW w:type="dxa" w:w="126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+€ 18,05</w:t>
            </w:r>
          </w:p>
        </w:tc>
        <w:tc>
          <w:tcPr>
            <w:tcW w:type="dxa" w:w="108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1,08×</w:t>
            </w:r>
          </w:p>
        </w:tc>
      </w:tr>
    </w:tbl>
    <w:p>
      <w:pPr>
        <w:spacing w:after="16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bCs/>
          <w:i w:val="false"/>
          <w:iCs w:val="false"/>
          <w:color w:val="000000"/>
          <w:sz w:val="20"/>
          <w:szCs w:val="20"/>
        </w:rPr>
        <w:t xml:space="preserve">Settembre chiude a ROAS Fee 0,95× con un margine di −€336 e un'uscita a 1,08×.</w:t>
      </w:r>
    </w:p>
    <w:p>
      <w:pPr>
        <w:spacing w:after="120" w:before="0" w:line="264"/>
      </w:pPr>
      <w:r>
        <w:rPr>
          <w:rFonts w:ascii="Calibri" w:cs="Calibri" w:eastAsia="Calibri" w:hAnsi="Calibri"/>
          <w:b w:val="false"/>
          <w:bCs w:val="false"/>
          <w:i w:val="false"/>
          <w:iCs w:val="false"/>
          <w:color w:val="000000"/>
          <w:sz w:val="20"/>
          <w:szCs w:val="20"/>
        </w:rPr>
        <w:t xml:space="preserve">La fase 2 assume che PMAX | ITALIA | AMBULANZA torni al ROAS Fee di luglio (1,85×) al budget di €90/giorno. </w:t>
      </w:r>
      <w:r>
        <w:rPr>
          <w:rFonts w:ascii="Calibri" w:cs="Calibri" w:eastAsia="Calibri" w:hAnsi="Calibri"/>
          <w:b/>
          <w:bCs/>
          <w:i w:val="false"/>
          <w:iCs w:val="false"/>
          <w:color w:val="000000"/>
          <w:sz w:val="20"/>
          <w:szCs w:val="20"/>
        </w:rPr>
        <w:t xml:space="preserve">È un'assunzione, non una previsione:</w:t>
      </w:r>
      <w:r>
        <w:rPr>
          <w:rFonts w:ascii="Calibri" w:cs="Calibri" w:eastAsia="Calibri" w:hAnsi="Calibri"/>
          <w:b w:val="false"/>
          <w:bCs w:val="false"/>
          <w:i w:val="false"/>
          <w:iCs w:val="false"/>
          <w:color w:val="000000"/>
          <w:sz w:val="20"/>
          <w:szCs w:val="20"/>
        </w:rPr>
        <w:t xml:space="preserve"> dipende interamente dai punti 1 e 2 della Priorità 0. Se il ROAS Fee resta a 1,30×, la fase 2 non si apre e si resta sullo scenario B.</w:t>
      </w:r>
    </w:p>
    <w:p>
      <w:r>
        <w:br w:type="page"/>
      </w:r>
    </w:p>
    <w:p>
      <w:pPr>
        <w:pStyle w:val="Heading1"/>
        <w:pBdr>
          <w:bottom w:val="single" w:color="1F3864" w:sz="12" w:space="6"/>
        </w:pBdr>
        <w:spacing w:after="60" w:before="420" w:line="264"/>
      </w:pPr>
      <w:r>
        <w:rPr>
          <w:rFonts w:ascii="Calibri" w:cs="Calibri" w:eastAsia="Calibri" w:hAnsi="Calibri"/>
          <w:b/>
          <w:bCs/>
          <w:i w:val="false"/>
          <w:iCs w:val="false"/>
          <w:color w:val="1F3864"/>
          <w:sz w:val="30"/>
          <w:szCs w:val="30"/>
        </w:rPr>
        <w:t xml:space="preserve">6. IL CALENDARIO OPERATIVO</w:t>
      </w:r>
    </w:p>
    <w:p>
      <w:pPr>
        <w:pStyle w:val="Heading2"/>
        <w:spacing w:after="100" w:before="280" w:line="264"/>
      </w:pPr>
      <w:r>
        <w:rPr>
          <w:rFonts w:ascii="Calibri" w:cs="Calibri" w:eastAsia="Calibri" w:hAnsi="Calibri"/>
          <w:b/>
          <w:bCs/>
          <w:i w:val="false"/>
          <w:iCs w:val="false"/>
          <w:color w:val="2E5C8A"/>
          <w:sz w:val="24"/>
          <w:szCs w:val="24"/>
        </w:rPr>
        <w:t xml:space="preserve">Settimana del 16–22 agosto — fermare l'emorragia</w:t>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451"/>
        <w:gridCol w:w="4513"/>
        <w:gridCol w:w="4062"/>
      </w:tblGrid>
      <w:tr>
        <w:trPr>
          <w:tblHeader/>
        </w:trPr>
        <w:tc>
          <w:tcPr>
            <w:tcW w:type="dxa" w:w="451"/>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w:t>
            </w:r>
          </w:p>
        </w:tc>
        <w:tc>
          <w:tcPr>
            <w:tcW w:type="dxa" w:w="4513"/>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Azione</w:t>
            </w:r>
          </w:p>
        </w:tc>
        <w:tc>
          <w:tcPr>
            <w:tcW w:type="dxa" w:w="4062"/>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Effetto atteso</w:t>
            </w:r>
          </w:p>
        </w:tc>
      </w:tr>
      <w:tr>
        <w:trPr>
          <w:tblHeader w:val="false"/>
        </w:trPr>
        <w:tc>
          <w:tcPr>
            <w:tcW w:type="dxa" w:w="451"/>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1</w:t>
            </w:r>
          </w:p>
        </w:tc>
        <w:tc>
          <w:tcPr>
            <w:tcW w:type="dxa" w:w="4513"/>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Estrarre report Niino e export Google Ads al 15 agosto</w:t>
            </w:r>
          </w:p>
        </w:tc>
        <w:tc>
          <w:tcPr>
            <w:tcW w:type="dxa" w:w="4062"/>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Verifica della base di partenza. Blocca tutto il resto se i numeri sono cambiati</w:t>
            </w:r>
          </w:p>
        </w:tc>
      </w:tr>
      <w:tr>
        <w:trPr>
          <w:tblHeader w:val="false"/>
        </w:trPr>
        <w:tc>
          <w:tcPr>
            <w:tcW w:type="dxa" w:w="451"/>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2</w:t>
            </w:r>
          </w:p>
        </w:tc>
        <w:tc>
          <w:tcPr>
            <w:tcW w:type="dxa" w:w="4513"/>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Chiudere le 12 campagne dell'elenco</w:t>
            </w:r>
          </w:p>
        </w:tc>
        <w:tc>
          <w:tcPr>
            <w:tcW w:type="dxa" w:w="4062"/>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+€271/giorno di margine, immediato</w:t>
            </w:r>
          </w:p>
        </w:tc>
      </w:tr>
      <w:tr>
        <w:trPr>
          <w:tblHeader w:val="false"/>
        </w:trPr>
        <w:tc>
          <w:tcPr>
            <w:tcW w:type="dxa" w:w="451"/>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3</w:t>
            </w:r>
          </w:p>
        </w:tc>
        <w:tc>
          <w:tcPr>
            <w:tcW w:type="dxa" w:w="4513"/>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Riportare PMAX | ITALIA | AMBULANZA a € 60/giorno</w:t>
            </w:r>
          </w:p>
        </w:tc>
        <w:tc>
          <w:tcPr>
            <w:tcW w:type="dxa" w:w="4062"/>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Torna al livello di spesa in cui faceva 1,85×</w:t>
            </w:r>
          </w:p>
        </w:tc>
      </w:tr>
      <w:tr>
        <w:trPr>
          <w:tblHeader w:val="false"/>
        </w:trPr>
        <w:tc>
          <w:tcPr>
            <w:tcW w:type="dxa" w:w="451"/>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4</w:t>
            </w:r>
          </w:p>
        </w:tc>
        <w:tc>
          <w:tcPr>
            <w:tcW w:type="dxa" w:w="4513"/>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Ridurre Piemonte a € 30 e Aereo a € 25</w:t>
            </w:r>
          </w:p>
        </w:tc>
        <w:tc>
          <w:tcPr>
            <w:tcW w:type="dxa" w:w="4062"/>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−€62/giorno su due campagne a ROAS Fee 0,16× e 0,39×</w:t>
            </w:r>
          </w:p>
        </w:tc>
      </w:tr>
      <w:tr>
        <w:trPr>
          <w:tblHeader w:val="false"/>
        </w:trPr>
        <w:tc>
          <w:tcPr>
            <w:tcW w:type="dxa" w:w="451"/>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5</w:t>
            </w:r>
          </w:p>
        </w:tc>
        <w:tc>
          <w:tcPr>
            <w:tcW w:type="dxa" w:w="4513"/>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Rimuovere "Calls from ads" dalle conversioni di offerta</w:t>
            </w:r>
          </w:p>
        </w:tc>
        <w:tc>
          <w:tcPr>
            <w:tcW w:type="dxa" w:w="4062"/>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Elimina ~50% di doppio conteggio dal denominatore dei CPA target</w:t>
            </w:r>
          </w:p>
        </w:tc>
      </w:tr>
      <w:tr>
        <w:trPr>
          <w:tblHeader w:val="false"/>
        </w:trPr>
        <w:tc>
          <w:tcPr>
            <w:tcW w:type="dxa" w:w="451"/>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6</w:t>
            </w:r>
          </w:p>
        </w:tc>
        <w:tc>
          <w:tcPr>
            <w:tcW w:type="dxa" w:w="4513"/>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Verificare la campagna in pausa che ha speso € 755</w:t>
            </w:r>
          </w:p>
        </w:tc>
        <w:tc>
          <w:tcPr>
            <w:tcW w:type="dxa" w:w="4062"/>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Anomalia irrisolta</w:t>
            </w:r>
          </w:p>
        </w:tc>
      </w:tr>
    </w:tbl>
    <w:p>
      <w:pPr>
        <w:pStyle w:val="Heading2"/>
        <w:spacing w:after="100" w:before="280" w:line="264"/>
      </w:pPr>
      <w:r>
        <w:rPr>
          <w:rFonts w:ascii="Calibri" w:cs="Calibri" w:eastAsia="Calibri" w:hAnsi="Calibri"/>
          <w:b/>
          <w:bCs/>
          <w:i w:val="false"/>
          <w:iCs w:val="false"/>
          <w:color w:val="2E5C8A"/>
          <w:sz w:val="24"/>
          <w:szCs w:val="24"/>
        </w:rPr>
        <w:t xml:space="preserve">Settimana del 23–29 agosto — riparare la misurazione</w:t>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451"/>
        <w:gridCol w:w="4513"/>
        <w:gridCol w:w="4062"/>
      </w:tblGrid>
      <w:tr>
        <w:trPr>
          <w:tblHeader/>
        </w:trPr>
        <w:tc>
          <w:tcPr>
            <w:tcW w:type="dxa" w:w="451"/>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w:t>
            </w:r>
          </w:p>
        </w:tc>
        <w:tc>
          <w:tcPr>
            <w:tcW w:type="dxa" w:w="4513"/>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Azione</w:t>
            </w:r>
          </w:p>
        </w:tc>
        <w:tc>
          <w:tcPr>
            <w:tcW w:type="dxa" w:w="4062"/>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Perché ora</w:t>
            </w:r>
          </w:p>
        </w:tc>
      </w:tr>
      <w:tr>
        <w:trPr>
          <w:tblHeader w:val="false"/>
        </w:trPr>
        <w:tc>
          <w:tcPr>
            <w:tcW w:type="dxa" w:w="451"/>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7</w:t>
            </w:r>
          </w:p>
        </w:tc>
        <w:tc>
          <w:tcPr>
            <w:tcW w:type="dxa" w:w="4513"/>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Importare in Google Ads le 4 azioni a zero: prenotazione, GMV, signup, conversazione</w:t>
            </w:r>
          </w:p>
        </w:tc>
        <w:tc>
          <w:tcPr>
            <w:tcW w:type="dxa" w:w="4062"/>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È il prerequisito della fase 2: senza, l'algoritmo non può ottimizzare sul valore</w:t>
            </w:r>
          </w:p>
        </w:tc>
      </w:tr>
      <w:tr>
        <w:trPr>
          <w:tblHeader w:val="false"/>
        </w:trPr>
        <w:tc>
          <w:tcPr>
            <w:tcW w:type="dxa" w:w="451"/>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8</w:t>
            </w:r>
          </w:p>
        </w:tc>
        <w:tc>
          <w:tcPr>
            <w:tcW w:type="dxa" w:w="4513"/>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Importare le cancellazioni come conversione negativa o rettifica di valore</w:t>
            </w:r>
          </w:p>
        </w:tc>
        <w:tc>
          <w:tcPr>
            <w:tcW w:type="dxa" w:w="4062"/>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Toglie il 25% di prenotazioni che non avverranno dal numeratore</w:t>
            </w:r>
          </w:p>
        </w:tc>
      </w:tr>
      <w:tr>
        <w:trPr>
          <w:tblHeader w:val="false"/>
        </w:trPr>
        <w:tc>
          <w:tcPr>
            <w:tcW w:type="dxa" w:w="451"/>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9</w:t>
            </w:r>
          </w:p>
        </w:tc>
        <w:tc>
          <w:tcPr>
            <w:tcW w:type="dxa" w:w="4513"/>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Verificare l'attribuzione di Niino Revenue per campagna</w:t>
            </w:r>
          </w:p>
        </w:tc>
        <w:tc>
          <w:tcPr>
            <w:tcW w:type="dxa" w:w="4062"/>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Copertura dal 20% al 183%: finché è così, ogni riallocazione automatica è cieca</w:t>
            </w:r>
          </w:p>
        </w:tc>
      </w:tr>
      <w:tr>
        <w:trPr>
          <w:tblHeader w:val="false"/>
        </w:trPr>
        <w:tc>
          <w:tcPr>
            <w:tcW w:type="dxa" w:w="451"/>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10</w:t>
            </w:r>
          </w:p>
        </w:tc>
        <w:tc>
          <w:tcPr>
            <w:tcW w:type="dxa" w:w="4513"/>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Rifare gli asset di Piemonte e affrontare il 29% di cancellazioni</w:t>
            </w:r>
          </w:p>
        </w:tc>
        <w:tc>
          <w:tcPr>
            <w:tcW w:type="dxa" w:w="4062"/>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Il divario con Italia è in parte a valle della campagna</w:t>
            </w:r>
          </w:p>
        </w:tc>
      </w:tr>
    </w:tbl>
    <w:p>
      <w:pPr>
        <w:pStyle w:val="Heading2"/>
        <w:spacing w:after="100" w:before="280" w:line="264"/>
      </w:pPr>
      <w:r>
        <w:rPr>
          <w:rFonts w:ascii="Calibri" w:cs="Calibri" w:eastAsia="Calibri" w:hAnsi="Calibri"/>
          <w:b/>
          <w:bCs/>
          <w:i w:val="false"/>
          <w:iCs w:val="false"/>
          <w:color w:val="2E5C8A"/>
          <w:sz w:val="24"/>
          <w:szCs w:val="24"/>
        </w:rPr>
        <w:t xml:space="preserve">30 agosto – 15 settembre — stabilizzazione e verifica</w:t>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451"/>
        <w:gridCol w:w="8575"/>
      </w:tblGrid>
      <w:tr>
        <w:trPr>
          <w:tblHeader/>
        </w:trPr>
        <w:tc>
          <w:tcPr>
            <w:tcW w:type="dxa" w:w="451"/>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w:t>
            </w:r>
          </w:p>
        </w:tc>
        <w:tc>
          <w:tcPr>
            <w:tcW w:type="dxa" w:w="8575"/>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Azione</w:t>
            </w:r>
          </w:p>
        </w:tc>
      </w:tr>
      <w:tr>
        <w:trPr>
          <w:tblHeader w:val="false"/>
        </w:trPr>
        <w:tc>
          <w:tcPr>
            <w:tcW w:type="dxa" w:w="451"/>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11</w:t>
            </w:r>
          </w:p>
        </w:tc>
        <w:tc>
          <w:tcPr>
            <w:tcW w:type="dxa" w:w="8575"/>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Nessun aumento di budget. Il portafoglio resta a € 195/giorno</w:t>
            </w:r>
          </w:p>
        </w:tc>
      </w:tr>
      <w:tr>
        <w:trPr>
          <w:tblHeader w:val="false"/>
        </w:trPr>
        <w:tc>
          <w:tcPr>
            <w:tcW w:type="dxa" w:w="451"/>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12</w:t>
            </w:r>
          </w:p>
        </w:tc>
        <w:tc>
          <w:tcPr>
            <w:tcW w:type="dxa" w:w="8575"/>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Test di riattivazione di SEARCH | AMBULANZA | PURCHASE | MILANO a € 25/giorno: è l'unica campagna con ROAS Fee in crescita (0,37× → 1,19×)</w:t>
            </w:r>
          </w:p>
        </w:tc>
      </w:tr>
      <w:tr>
        <w:trPr>
          <w:tblHeader w:val="false"/>
        </w:trPr>
        <w:tc>
          <w:tcPr>
            <w:tcW w:type="dxa" w:w="451"/>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13</w:t>
            </w:r>
          </w:p>
        </w:tc>
        <w:tc>
          <w:tcPr>
            <w:tcW w:type="dxa" w:w="8575"/>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Verifica settimanale del ticket medio — la soglia di allarme è € 300</w:t>
            </w:r>
          </w:p>
        </w:tc>
      </w:tr>
      <w:tr>
        <w:trPr>
          <w:tblHeader w:val="false"/>
        </w:trPr>
        <w:tc>
          <w:tcPr>
            <w:tcW w:type="dxa" w:w="451"/>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14</w:t>
            </w:r>
          </w:p>
        </w:tc>
        <w:tc>
          <w:tcPr>
            <w:tcW w:type="dxa" w:w="8575"/>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Al 15 settembre: gate di decisione. Si apre la fase 2 solo se PMAX | ITALIA | AMBULANZA ha ROAS Fee ≥ 1,5× su due settimane consecutive</w:t>
            </w:r>
          </w:p>
        </w:tc>
      </w:tr>
    </w:tbl>
    <w:p>
      <w:pPr>
        <w:pStyle w:val="Heading2"/>
        <w:spacing w:after="100" w:before="280" w:line="264"/>
      </w:pPr>
      <w:r>
        <w:rPr>
          <w:rFonts w:ascii="Calibri" w:cs="Calibri" w:eastAsia="Calibri" w:hAnsi="Calibri"/>
          <w:b/>
          <w:bCs/>
          <w:i w:val="false"/>
          <w:iCs w:val="false"/>
          <w:color w:val="2E5C8A"/>
          <w:sz w:val="24"/>
          <w:szCs w:val="24"/>
        </w:rPr>
        <w:t xml:space="preserve">16–30 settembre — riapertura controllata</w:t>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451"/>
        <w:gridCol w:w="8575"/>
      </w:tblGrid>
      <w:tr>
        <w:trPr>
          <w:tblHeader/>
        </w:trPr>
        <w:tc>
          <w:tcPr>
            <w:tcW w:type="dxa" w:w="451"/>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w:t>
            </w:r>
          </w:p>
        </w:tc>
        <w:tc>
          <w:tcPr>
            <w:tcW w:type="dxa" w:w="8575"/>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Azione</w:t>
            </w:r>
          </w:p>
        </w:tc>
      </w:tr>
      <w:tr>
        <w:trPr>
          <w:tblHeader w:val="false"/>
        </w:trPr>
        <w:tc>
          <w:tcPr>
            <w:tcW w:type="dxa" w:w="451"/>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15</w:t>
            </w:r>
          </w:p>
        </w:tc>
        <w:tc>
          <w:tcPr>
            <w:tcW w:type="dxa" w:w="8575"/>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PMAX | ITALIA | AMBULANZA da € 60 a € 90/giorno, in due step da +25% a distanza di una settimana</w:t>
            </w:r>
          </w:p>
        </w:tc>
      </w:tr>
      <w:tr>
        <w:trPr>
          <w:tblHeader w:val="false"/>
        </w:trPr>
        <w:tc>
          <w:tcPr>
            <w:tcW w:type="dxa" w:w="451"/>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16</w:t>
            </w:r>
          </w:p>
        </w:tc>
        <w:tc>
          <w:tcPr>
            <w:tcW w:type="dxa" w:w="8575"/>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Passaggio da CPA target a Massimizza il valore di conversione — solo dopo il punto 7, mai prima</w:t>
            </w:r>
          </w:p>
        </w:tc>
      </w:tr>
      <w:tr>
        <w:trPr>
          <w:tblHeader w:val="false"/>
        </w:trPr>
        <w:tc>
          <w:tcPr>
            <w:tcW w:type="dxa" w:w="451"/>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17</w:t>
            </w:r>
          </w:p>
        </w:tc>
        <w:tc>
          <w:tcPr>
            <w:tcW w:type="dxa" w:w="8575"/>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Stop automatico: se il ROAS Fee settimanale scende sotto 1,2×, si torna al budget precedente lo stesso giorno</w:t>
            </w:r>
          </w:p>
        </w:tc>
      </w:tr>
      <w:tr>
        <w:trPr>
          <w:tblHeader w:val="false"/>
        </w:trPr>
        <w:tc>
          <w:tcPr>
            <w:tcW w:type="dxa" w:w="451"/>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18</w:t>
            </w:r>
          </w:p>
        </w:tc>
        <w:tc>
          <w:tcPr>
            <w:tcW w:type="dxa" w:w="8575"/>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Preparare la riapertura di ottobre solo su campagne che chiudono settembre sopra 1,5×</w:t>
            </w:r>
          </w:p>
        </w:tc>
      </w:tr>
    </w:tbl>
    <w:p>
      <w:r>
        <w:br w:type="page"/>
      </w:r>
    </w:p>
    <w:p>
      <w:pPr>
        <w:pStyle w:val="Heading1"/>
        <w:pBdr>
          <w:bottom w:val="single" w:color="1F3864" w:sz="12" w:space="6"/>
        </w:pBdr>
        <w:spacing w:after="60" w:before="420" w:line="264"/>
      </w:pPr>
      <w:r>
        <w:rPr>
          <w:rFonts w:ascii="Calibri" w:cs="Calibri" w:eastAsia="Calibri" w:hAnsi="Calibri"/>
          <w:b/>
          <w:bCs/>
          <w:i w:val="false"/>
          <w:iCs w:val="false"/>
          <w:color w:val="1F3864"/>
          <w:sz w:val="30"/>
          <w:szCs w:val="30"/>
        </w:rPr>
        <w:t xml:space="preserve">7. IL CONFLITTO CON IL BUSINESS PLAN: VOLUME O MARGINE</w:t>
      </w:r>
    </w:p>
    <w:p>
      <w:pPr>
        <w:spacing w:after="120" w:before="0" w:line="264"/>
      </w:pPr>
      <w:r>
        <w:rPr>
          <w:rFonts w:ascii="Calibri" w:cs="Calibri" w:eastAsia="Calibri" w:hAnsi="Calibri"/>
          <w:b w:val="false"/>
          <w:bCs w:val="false"/>
          <w:i w:val="false"/>
          <w:iCs w:val="false"/>
          <w:color w:val="000000"/>
          <w:sz w:val="20"/>
          <w:szCs w:val="20"/>
        </w:rPr>
        <w:t xml:space="preserve">Il BP chiede </w:t>
      </w:r>
      <w:r>
        <w:rPr>
          <w:rFonts w:ascii="Calibri" w:cs="Calibri" w:eastAsia="Calibri" w:hAnsi="Calibri"/>
          <w:b/>
          <w:bCs/>
          <w:i w:val="false"/>
          <w:iCs w:val="false"/>
          <w:color w:val="000000"/>
          <w:sz w:val="20"/>
          <w:szCs w:val="20"/>
        </w:rPr>
        <w:t xml:space="preserve">192 corse nette al mese</w:t>
      </w:r>
      <w:r>
        <w:rPr>
          <w:rFonts w:ascii="Calibri" w:cs="Calibri" w:eastAsia="Calibri" w:hAnsi="Calibri"/>
          <w:b w:val="false"/>
          <w:bCs w:val="false"/>
          <w:i w:val="false"/>
          <w:iCs w:val="false"/>
          <w:color w:val="000000"/>
          <w:sz w:val="20"/>
          <w:szCs w:val="20"/>
        </w:rPr>
        <w:t xml:space="preserve">. Il piano ne produce </w:t>
      </w:r>
      <w:r>
        <w:rPr>
          <w:rFonts w:ascii="Calibri" w:cs="Calibri" w:eastAsia="Calibri" w:hAnsi="Calibri"/>
          <w:b/>
          <w:bCs/>
          <w:i w:val="false"/>
          <w:iCs w:val="false"/>
          <w:color w:val="000000"/>
          <w:sz w:val="20"/>
          <w:szCs w:val="20"/>
        </w:rPr>
        <w:t xml:space="preserve">88</w:t>
      </w:r>
      <w:r>
        <w:rPr>
          <w:rFonts w:ascii="Calibri" w:cs="Calibri" w:eastAsia="Calibri" w:hAnsi="Calibri"/>
          <w:b w:val="false"/>
          <w:bCs w:val="false"/>
          <w:i w:val="false"/>
          <w:iCs w:val="false"/>
          <w:color w:val="000000"/>
          <w:sz w:val="20"/>
          <w:szCs w:val="20"/>
        </w:rPr>
        <w:t xml:space="preserve">.</w:t>
      </w:r>
    </w:p>
    <w:p>
      <w:pPr>
        <w:spacing w:after="80"/>
      </w:pPr>
      <w:r>
        <w:rPr>
          <w:rFonts w:ascii="Calibri" w:cs="Calibri" w:eastAsia="Calibri" w:hAnsi="Calibri"/>
          <w:b w:val="false"/>
          <w:bCs w:val="false"/>
          <w:i w:val="false"/>
          <w:iCs w:val="false"/>
          <w:color w:val="000000"/>
          <w:sz w:val="20"/>
          <w:szCs w:val="20"/>
        </w:rPr>
        <w:t xml:space="preserve"/>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3069"/>
        <w:gridCol w:w="1444"/>
        <w:gridCol w:w="1444"/>
        <w:gridCol w:w="1444"/>
        <w:gridCol w:w="1625"/>
      </w:tblGrid>
      <w:tr>
        <w:trPr>
          <w:tblHeader/>
        </w:trPr>
        <w:tc>
          <w:tcPr>
            <w:tcW w:type="dxa" w:w="3069"/>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
            </w:r>
          </w:p>
        </w:tc>
        <w:tc>
          <w:tcPr>
            <w:tcW w:type="dxa" w:w="1444"/>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Corse/mese</w:t>
            </w:r>
          </w:p>
        </w:tc>
        <w:tc>
          <w:tcPr>
            <w:tcW w:type="dxa" w:w="1444"/>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Spesa</w:t>
            </w:r>
          </w:p>
        </w:tc>
        <w:tc>
          <w:tcPr>
            <w:tcW w:type="dxa" w:w="1444"/>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Fee</w:t>
            </w:r>
          </w:p>
        </w:tc>
        <w:tc>
          <w:tcPr>
            <w:tcW w:type="dxa" w:w="1625"/>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Margine</w:t>
            </w:r>
          </w:p>
        </w:tc>
      </w:tr>
      <w:tr>
        <w:trPr>
          <w:tblHeader w:val="false"/>
        </w:trPr>
        <w:tc>
          <w:tcPr>
            <w:tcW w:type="dxa" w:w="3069"/>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Piano (sostenibile)</w:t>
            </w:r>
          </w:p>
        </w:tc>
        <w:tc>
          <w:tcPr>
            <w:tcW w:type="dxa" w:w="144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88</w:t>
            </w:r>
          </w:p>
        </w:tc>
        <w:tc>
          <w:tcPr>
            <w:tcW w:type="dxa" w:w="144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€ 5.850</w:t>
            </w:r>
          </w:p>
        </w:tc>
        <w:tc>
          <w:tcPr>
            <w:tcW w:type="dxa" w:w="144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€ 4.637</w:t>
            </w:r>
          </w:p>
        </w:tc>
        <w:tc>
          <w:tcPr>
            <w:tcW w:type="dxa" w:w="162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B26A00"/>
                <w:sz w:val="19"/>
                <w:szCs w:val="19"/>
              </w:rPr>
              <w:t xml:space="preserve">−€ 1.214</w:t>
            </w:r>
          </w:p>
        </w:tc>
      </w:tr>
      <w:tr>
        <w:trPr>
          <w:tblHeader w:val="false"/>
        </w:trPr>
        <w:tc>
          <w:tcPr>
            <w:tcW w:type="dxa" w:w="3069"/>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Volume BP al CPA del piano</w:t>
            </w:r>
          </w:p>
        </w:tc>
        <w:tc>
          <w:tcPr>
            <w:tcW w:type="dxa" w:w="144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192</w:t>
            </w:r>
          </w:p>
        </w:tc>
        <w:tc>
          <w:tcPr>
            <w:tcW w:type="dxa" w:w="144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€ 12.700</w:t>
            </w:r>
          </w:p>
        </w:tc>
        <w:tc>
          <w:tcPr>
            <w:tcW w:type="dxa" w:w="144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€ 10.065</w:t>
            </w:r>
          </w:p>
        </w:tc>
        <w:tc>
          <w:tcPr>
            <w:tcW w:type="dxa" w:w="1625"/>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−€ 2.634</w:t>
            </w:r>
          </w:p>
        </w:tc>
      </w:tr>
      <w:tr>
        <w:trPr>
          <w:tblHeader w:val="false"/>
        </w:trPr>
        <w:tc>
          <w:tcPr>
            <w:tcW w:type="dxa" w:w="3069"/>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Volume BP al CPA attuale</w:t>
            </w:r>
          </w:p>
        </w:tc>
        <w:tc>
          <w:tcPr>
            <w:tcW w:type="dxa" w:w="144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192</w:t>
            </w:r>
          </w:p>
        </w:tc>
        <w:tc>
          <w:tcPr>
            <w:tcW w:type="dxa" w:w="144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€ 18.864</w:t>
            </w:r>
          </w:p>
        </w:tc>
        <w:tc>
          <w:tcPr>
            <w:tcW w:type="dxa" w:w="144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€ 3.530</w:t>
            </w:r>
          </w:p>
        </w:tc>
        <w:tc>
          <w:tcPr>
            <w:tcW w:type="dxa" w:w="162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−€ 15.334</w:t>
            </w:r>
          </w:p>
        </w:tc>
      </w:tr>
    </w:tbl>
    <w:p>
      <w:pPr>
        <w:spacing w:after="16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bCs/>
          <w:i w:val="false"/>
          <w:iCs w:val="false"/>
          <w:color w:val="000000"/>
          <w:sz w:val="20"/>
          <w:szCs w:val="20"/>
        </w:rPr>
        <w:t xml:space="preserve">1. Il volume del BP è raggiungibile, ma non a margine positivo.</w:t>
      </w:r>
      <w:r>
        <w:rPr>
          <w:rFonts w:ascii="Calibri" w:cs="Calibri" w:eastAsia="Calibri" w:hAnsi="Calibri"/>
          <w:b w:val="false"/>
          <w:bCs w:val="false"/>
          <w:i w:val="false"/>
          <w:iCs w:val="false"/>
          <w:color w:val="000000"/>
          <w:sz w:val="20"/>
          <w:szCs w:val="20"/>
        </w:rPr>
        <w:t xml:space="preserve"> Anche con il CPA migliorato del piano (€66 contro €98), 192 corse costano €12.700 e ne rendono €10.065: </w:t>
      </w:r>
      <w:r>
        <w:rPr>
          <w:rFonts w:ascii="Calibri" w:cs="Calibri" w:eastAsia="Calibri" w:hAnsi="Calibri"/>
          <w:b/>
          <w:bCs/>
          <w:i w:val="false"/>
          <w:iCs w:val="false"/>
          <w:color w:val="000000"/>
          <w:sz w:val="20"/>
          <w:szCs w:val="20"/>
        </w:rPr>
        <w:t xml:space="preserve">−€2.634 al mese.</w:t>
      </w:r>
      <w:r>
        <w:rPr>
          <w:rFonts w:ascii="Calibri" w:cs="Calibri" w:eastAsia="Calibri" w:hAnsi="Calibri"/>
          <w:b w:val="false"/>
          <w:bCs w:val="false"/>
          <w:i w:val="false"/>
          <w:iCs w:val="false"/>
          <w:color w:val="000000"/>
          <w:sz w:val="20"/>
          <w:szCs w:val="20"/>
        </w:rPr>
        <w:t xml:space="preserve"> E questa cifra assume che l'efficienza regga al raddoppio del volume — cosa che i dati di agosto dicono esplicitamente che non succede.</w:t>
      </w:r>
    </w:p>
    <w:p>
      <w:pPr>
        <w:spacing w:after="120" w:before="0" w:line="264"/>
      </w:pPr>
      <w:r>
        <w:rPr>
          <w:rFonts w:ascii="Calibri" w:cs="Calibri" w:eastAsia="Calibri" w:hAnsi="Calibri"/>
          <w:b/>
          <w:bCs/>
          <w:i w:val="false"/>
          <w:iCs w:val="false"/>
          <w:color w:val="000000"/>
          <w:sz w:val="20"/>
          <w:szCs w:val="20"/>
        </w:rPr>
        <w:t xml:space="preserve">2. Inseguire il volume oggi costa €15.334 al mese.</w:t>
      </w:r>
      <w:r>
        <w:rPr>
          <w:rFonts w:ascii="Calibri" w:cs="Calibri" w:eastAsia="Calibri" w:hAnsi="Calibri"/>
          <w:b w:val="false"/>
          <w:bCs w:val="false"/>
          <w:i w:val="false"/>
          <w:iCs w:val="false"/>
          <w:color w:val="000000"/>
          <w:sz w:val="20"/>
          <w:szCs w:val="20"/>
        </w:rPr>
        <w:t xml:space="preserve"> Ai CPA attuali, arrivare a 192 corse significa spendere €18.864 per €3.530 di fee.</w:t>
      </w:r>
    </w:p>
    <w:p>
      <w:pPr>
        <w:spacing w:after="120" w:before="0" w:line="264"/>
      </w:pPr>
      <w:r>
        <w:rPr>
          <w:rFonts w:ascii="Calibri" w:cs="Calibri" w:eastAsia="Calibri" w:hAnsi="Calibri"/>
          <w:b/>
          <w:bCs/>
          <w:i w:val="false"/>
          <w:iCs w:val="false"/>
          <w:color w:val="000000"/>
          <w:sz w:val="20"/>
          <w:szCs w:val="20"/>
        </w:rPr>
        <w:t xml:space="preserve">3. La decisione è del business, non della gestione campagne.</w:t>
      </w:r>
      <w:r>
        <w:rPr>
          <w:rFonts w:ascii="Calibri" w:cs="Calibri" w:eastAsia="Calibri" w:hAnsi="Calibri"/>
          <w:b w:val="false"/>
          <w:bCs w:val="false"/>
          <w:i w:val="false"/>
          <w:iCs w:val="false"/>
          <w:color w:val="000000"/>
          <w:sz w:val="20"/>
          <w:szCs w:val="20"/>
        </w:rPr>
        <w:t xml:space="preserve"> Le due opzioni sono esplicite:</w:t>
      </w:r>
    </w:p>
    <w:p>
      <w:pPr>
        <w:spacing w:after="80"/>
      </w:pPr>
      <w:r>
        <w:rPr>
          <w:rFonts w:ascii="Calibri" w:cs="Calibri" w:eastAsia="Calibri" w:hAnsi="Calibri"/>
          <w:b w:val="false"/>
          <w:bCs w:val="false"/>
          <w:i w:val="false"/>
          <w:iCs w:val="false"/>
          <w:color w:val="000000"/>
          <w:sz w:val="20"/>
          <w:szCs w:val="20"/>
        </w:rPr>
        <w:t xml:space="preserve"/>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1624"/>
        <w:gridCol w:w="1354"/>
        <w:gridCol w:w="1625"/>
        <w:gridCol w:w="4423"/>
      </w:tblGrid>
      <w:tr>
        <w:trPr>
          <w:tblHeader/>
        </w:trPr>
        <w:tc>
          <w:tcPr>
            <w:tcW w:type="dxa" w:w="1624"/>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Opzione</w:t>
            </w:r>
          </w:p>
        </w:tc>
        <w:tc>
          <w:tcPr>
            <w:tcW w:type="dxa" w:w="1354"/>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Corse/mese</w:t>
            </w:r>
          </w:p>
        </w:tc>
        <w:tc>
          <w:tcPr>
            <w:tcW w:type="dxa" w:w="1625"/>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Margine/mese</w:t>
            </w:r>
          </w:p>
        </w:tc>
        <w:tc>
          <w:tcPr>
            <w:tcW w:type="dxa" w:w="4423"/>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Cosa comporta</w:t>
            </w:r>
          </w:p>
        </w:tc>
      </w:tr>
      <w:tr>
        <w:trPr>
          <w:tblHeader w:val="false"/>
        </w:trPr>
        <w:tc>
          <w:tcPr>
            <w:tcW w:type="dxa" w:w="1624"/>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Margine</w:t>
            </w:r>
          </w:p>
        </w:tc>
        <w:tc>
          <w:tcPr>
            <w:tcW w:type="dxa" w:w="135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88</w:t>
            </w:r>
          </w:p>
        </w:tc>
        <w:tc>
          <w:tcPr>
            <w:tcW w:type="dxa" w:w="162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B26A00"/>
                <w:sz w:val="19"/>
                <w:szCs w:val="19"/>
              </w:rPr>
              <w:t xml:space="preserve">−€ 1.214</w:t>
            </w:r>
          </w:p>
        </w:tc>
        <w:tc>
          <w:tcPr>
            <w:tcW w:type="dxa" w:w="4423"/>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Si rinuncia al target di volume del BP fino a quando il ticket medio non risale</w:t>
            </w:r>
          </w:p>
        </w:tc>
      </w:tr>
      <w:tr>
        <w:trPr>
          <w:tblHeader w:val="false"/>
        </w:trPr>
        <w:tc>
          <w:tcPr>
            <w:tcW w:type="dxa" w:w="1624"/>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Volume</w:t>
            </w:r>
          </w:p>
        </w:tc>
        <w:tc>
          <w:tcPr>
            <w:tcW w:type="dxa" w:w="135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192</w:t>
            </w:r>
          </w:p>
        </w:tc>
        <w:tc>
          <w:tcPr>
            <w:tcW w:type="dxa" w:w="1625"/>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−€ 2.634</w:t>
            </w:r>
          </w:p>
        </w:tc>
        <w:tc>
          <w:tcPr>
            <w:tcW w:type="dxa" w:w="4423"/>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Si accetta un costo di ~€2.600/mese per tenere il target BP, come investimento di acquisizione</w:t>
            </w:r>
          </w:p>
        </w:tc>
      </w:tr>
    </w:tbl>
    <w:p>
      <w:pPr>
        <w:spacing w:after="16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bCs/>
          <w:i w:val="false"/>
          <w:iCs w:val="false"/>
          <w:color w:val="000000"/>
          <w:sz w:val="20"/>
          <w:szCs w:val="20"/>
        </w:rPr>
        <w:t xml:space="preserve">Raccomandazione: opzione margine fino al 30 settembre</w:t>
      </w:r>
      <w:r>
        <w:rPr>
          <w:rFonts w:ascii="Calibri" w:cs="Calibri" w:eastAsia="Calibri" w:hAnsi="Calibri"/>
          <w:b w:val="false"/>
          <w:bCs w:val="false"/>
          <w:i w:val="false"/>
          <w:iCs w:val="false"/>
          <w:color w:val="000000"/>
          <w:sz w:val="20"/>
          <w:szCs w:val="20"/>
        </w:rPr>
        <w:t xml:space="preserve">, perché al momento non esiste alcuna evidenza che l'efficienza tenga al raddoppio del volume — l'unica prova disponibile, agosto, dice il contrario. La scelta va riaperta a ottobre, con due mesi di dati puliti.</w:t>
      </w:r>
    </w:p>
    <w:p>
      <w:pPr>
        <w:pStyle w:val="Heading1"/>
        <w:pBdr>
          <w:bottom w:val="single" w:color="1F3864" w:sz="12" w:space="6"/>
        </w:pBdr>
        <w:spacing w:after="60" w:before="420" w:line="264"/>
      </w:pPr>
      <w:r>
        <w:rPr>
          <w:rFonts w:ascii="Calibri" w:cs="Calibri" w:eastAsia="Calibri" w:hAnsi="Calibri"/>
          <w:b/>
          <w:bCs/>
          <w:i w:val="false"/>
          <w:iCs w:val="false"/>
          <w:color w:val="1F3864"/>
          <w:sz w:val="30"/>
          <w:szCs w:val="30"/>
        </w:rPr>
        <w:t xml:space="preserve">8. LA LEVA DI CRESCITA VERA: TICKET MEDIO E TAKE RATE</w:t>
      </w:r>
    </w:p>
    <w:p>
      <w:pPr>
        <w:spacing w:after="120" w:before="0" w:line="264"/>
      </w:pPr>
      <w:r>
        <w:rPr>
          <w:rFonts w:ascii="Calibri" w:cs="Calibri" w:eastAsia="Calibri" w:hAnsi="Calibri"/>
          <w:b w:val="false"/>
          <w:bCs w:val="false"/>
          <w:i w:val="false"/>
          <w:iCs w:val="false"/>
          <w:color w:val="000000"/>
          <w:sz w:val="20"/>
          <w:szCs w:val="20"/>
        </w:rPr>
        <w:t xml:space="preserve">Il volume è un moltiplicatore delle perdite finché la fee per corsa resta sotto il CPA. Le due leve che spostano l'equazione sono a monte.</w:t>
      </w:r>
    </w:p>
    <w:p>
      <w:pPr>
        <w:pStyle w:val="Heading2"/>
        <w:spacing w:after="100" w:before="280" w:line="264"/>
      </w:pPr>
      <w:r>
        <w:rPr>
          <w:rFonts w:ascii="Calibri" w:cs="Calibri" w:eastAsia="Calibri" w:hAnsi="Calibri"/>
          <w:b/>
          <w:bCs/>
          <w:i w:val="false"/>
          <w:iCs w:val="false"/>
          <w:color w:val="2E5C8A"/>
          <w:sz w:val="24"/>
          <w:szCs w:val="24"/>
        </w:rPr>
        <w:t xml:space="preserve">Leva 1 — ticket medio</w:t>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3610"/>
        <w:gridCol w:w="1805"/>
        <w:gridCol w:w="1986"/>
        <w:gridCol w:w="1625"/>
      </w:tblGrid>
      <w:tr>
        <w:trPr>
          <w:tblHeader/>
        </w:trPr>
        <w:tc>
          <w:tcPr>
            <w:tcW w:type="dxa" w:w="3610"/>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
            </w:r>
          </w:p>
        </w:tc>
        <w:tc>
          <w:tcPr>
            <w:tcW w:type="dxa" w:w="1805"/>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Ticket medio</w:t>
            </w:r>
          </w:p>
        </w:tc>
        <w:tc>
          <w:tcPr>
            <w:tcW w:type="dxa" w:w="1986"/>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Fee per corsa</w:t>
            </w:r>
          </w:p>
        </w:tc>
        <w:tc>
          <w:tcPr>
            <w:tcW w:type="dxa" w:w="1625"/>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CPA sostenibile</w:t>
            </w:r>
          </w:p>
        </w:tc>
      </w:tr>
      <w:tr>
        <w:trPr>
          <w:tblHeader w:val="false"/>
        </w:trPr>
        <w:tc>
          <w:tcPr>
            <w:tcW w:type="dxa" w:w="3610"/>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Agosto (attuale)</w:t>
            </w:r>
          </w:p>
        </w:tc>
        <w:tc>
          <w:tcPr>
            <w:tcW w:type="dxa" w:w="180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€ 181</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€ 19,37</w:t>
            </w:r>
          </w:p>
        </w:tc>
        <w:tc>
          <w:tcPr>
            <w:tcW w:type="dxa" w:w="162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€ 19</w:t>
            </w:r>
          </w:p>
        </w:tc>
      </w:tr>
      <w:tr>
        <w:trPr>
          <w:tblHeader w:val="false"/>
        </w:trPr>
        <w:tc>
          <w:tcPr>
            <w:tcW w:type="dxa" w:w="3610"/>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40 giorni</w:t>
            </w:r>
          </w:p>
        </w:tc>
        <w:tc>
          <w:tcPr>
            <w:tcW w:type="dxa" w:w="1805"/>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€ 397</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€ 42,48</w:t>
            </w:r>
          </w:p>
        </w:tc>
        <w:tc>
          <w:tcPr>
            <w:tcW w:type="dxa" w:w="1625"/>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€ 42</w:t>
            </w:r>
          </w:p>
        </w:tc>
      </w:tr>
      <w:tr>
        <w:trPr>
          <w:tblHeader w:val="false"/>
        </w:trPr>
        <w:tc>
          <w:tcPr>
            <w:tcW w:type="dxa" w:w="3610"/>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Luglio</w:t>
            </w:r>
          </w:p>
        </w:tc>
        <w:tc>
          <w:tcPr>
            <w:tcW w:type="dxa" w:w="180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€ 481</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€ 51,47</w:t>
            </w:r>
          </w:p>
        </w:tc>
        <w:tc>
          <w:tcPr>
            <w:tcW w:type="dxa" w:w="162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€ 51</w:t>
            </w:r>
          </w:p>
        </w:tc>
      </w:tr>
      <w:tr>
        <w:trPr>
          <w:tblHeader w:val="false"/>
        </w:trPr>
        <w:tc>
          <w:tcPr>
            <w:tcW w:type="dxa" w:w="3610"/>
            <w:shd w:fill="E4E9F2"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Necessario per il CPA target BP di € 70</w:t>
            </w:r>
          </w:p>
        </w:tc>
        <w:tc>
          <w:tcPr>
            <w:tcW w:type="dxa" w:w="1805"/>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€ 654</w:t>
            </w:r>
          </w:p>
        </w:tc>
        <w:tc>
          <w:tcPr>
            <w:tcW w:type="dxa" w:w="1986"/>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€ 70</w:t>
            </w:r>
          </w:p>
        </w:tc>
        <w:tc>
          <w:tcPr>
            <w:tcW w:type="dxa" w:w="1625"/>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€ 70</w:t>
            </w:r>
          </w:p>
        </w:tc>
      </w:tr>
    </w:tbl>
    <w:p>
      <w:pPr>
        <w:spacing w:after="16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bCs/>
          <w:i w:val="false"/>
          <w:iCs w:val="false"/>
          <w:color w:val="000000"/>
          <w:sz w:val="20"/>
          <w:szCs w:val="20"/>
        </w:rPr>
        <w:t xml:space="preserve">Ogni €100 di ticket medio in più valgono €10,70 di CPA sostenibile in più.</w:t>
      </w:r>
      <w:r>
        <w:rPr>
          <w:rFonts w:ascii="Calibri" w:cs="Calibri" w:eastAsia="Calibri" w:hAnsi="Calibri"/>
          <w:b w:val="false"/>
          <w:bCs w:val="false"/>
          <w:i w:val="false"/>
          <w:iCs w:val="false"/>
          <w:color w:val="000000"/>
          <w:sz w:val="20"/>
          <w:szCs w:val="20"/>
        </w:rPr>
        <w:t xml:space="preserve"> È la leva con il rapporto sforzo/risultato migliore dell'intero piano.</w:t>
      </w:r>
    </w:p>
    <w:p>
      <w:pPr>
        <w:spacing w:after="120" w:before="0" w:line="264"/>
      </w:pPr>
      <w:r>
        <w:rPr>
          <w:rFonts w:ascii="Calibri" w:cs="Calibri" w:eastAsia="Calibri" w:hAnsi="Calibri"/>
          <w:b w:val="false"/>
          <w:bCs w:val="false"/>
          <w:i w:val="false"/>
          <w:iCs w:val="false"/>
          <w:color w:val="000000"/>
          <w:sz w:val="20"/>
          <w:szCs w:val="20"/>
        </w:rPr>
        <w:t xml:space="preserve">Dove si trova il ticket alto, dai dati dei 40 giorni:</w:t>
      </w:r>
    </w:p>
    <w:p>
      <w:pPr>
        <w:spacing w:after="80"/>
      </w:pPr>
      <w:r>
        <w:rPr>
          <w:rFonts w:ascii="Calibri" w:cs="Calibri" w:eastAsia="Calibri" w:hAnsi="Calibri"/>
          <w:b w:val="false"/>
          <w:bCs w:val="false"/>
          <w:i w:val="false"/>
          <w:iCs w:val="false"/>
          <w:color w:val="000000"/>
          <w:sz w:val="20"/>
          <w:szCs w:val="20"/>
        </w:rPr>
        <w:t xml:space="preserve"/>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5415"/>
        <w:gridCol w:w="1986"/>
        <w:gridCol w:w="1625"/>
      </w:tblGrid>
      <w:tr>
        <w:trPr>
          <w:tblHeader/>
        </w:trPr>
        <w:tc>
          <w:tcPr>
            <w:tcW w:type="dxa" w:w="5415"/>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Campagna</w:t>
            </w:r>
          </w:p>
        </w:tc>
        <w:tc>
          <w:tcPr>
            <w:tcW w:type="dxa" w:w="1986"/>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Ticket medio</w:t>
            </w:r>
          </w:p>
        </w:tc>
        <w:tc>
          <w:tcPr>
            <w:tcW w:type="dxa" w:w="1625"/>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Corse</w:t>
            </w:r>
          </w:p>
        </w:tc>
      </w:tr>
      <w:tr>
        <w:trPr>
          <w:tblHeader w:val="false"/>
        </w:trPr>
        <w:tc>
          <w:tcPr>
            <w:tcW w:type="dxa" w:w="5415"/>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PMAX | ITALIA | AMBULANZA</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€ 1.994</w:t>
            </w:r>
          </w:p>
        </w:tc>
        <w:tc>
          <w:tcPr>
            <w:tcW w:type="dxa" w:w="162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21</w:t>
            </w:r>
          </w:p>
        </w:tc>
      </w:tr>
      <w:tr>
        <w:trPr>
          <w:tblHeader w:val="false"/>
        </w:trPr>
        <w:tc>
          <w:tcPr>
            <w:tcW w:type="dxa" w:w="5415"/>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MILANO | DIMISSIONI</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€ 374</w:t>
            </w:r>
          </w:p>
        </w:tc>
        <w:tc>
          <w:tcPr>
            <w:tcW w:type="dxa" w:w="1625"/>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9</w:t>
            </w:r>
          </w:p>
        </w:tc>
      </w:tr>
      <w:tr>
        <w:trPr>
          <w:tblHeader w:val="false"/>
        </w:trPr>
        <w:tc>
          <w:tcPr>
            <w:tcW w:type="dxa" w:w="5415"/>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PMAX | PIEMONTE | AMBULANZA</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€ 253</w:t>
            </w:r>
          </w:p>
        </w:tc>
        <w:tc>
          <w:tcPr>
            <w:tcW w:type="dxa" w:w="162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32</w:t>
            </w:r>
          </w:p>
        </w:tc>
      </w:tr>
      <w:tr>
        <w:trPr>
          <w:tblHeader w:val="false"/>
        </w:trPr>
        <w:tc>
          <w:tcPr>
            <w:tcW w:type="dxa" w:w="5415"/>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CHIAMATA | LUNGA PERCORRENZA</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€ 234</w:t>
            </w:r>
          </w:p>
        </w:tc>
        <w:tc>
          <w:tcPr>
            <w:tcW w:type="dxa" w:w="1625"/>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7</w:t>
            </w:r>
          </w:p>
        </w:tc>
      </w:tr>
      <w:tr>
        <w:trPr>
          <w:tblHeader w:val="false"/>
        </w:trPr>
        <w:tc>
          <w:tcPr>
            <w:tcW w:type="dxa" w:w="5415"/>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PMAX | ITALIA | AEREO</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€ 192</w:t>
            </w:r>
          </w:p>
        </w:tc>
        <w:tc>
          <w:tcPr>
            <w:tcW w:type="dxa" w:w="1625"/>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23</w:t>
            </w:r>
          </w:p>
        </w:tc>
      </w:tr>
      <w:tr>
        <w:trPr>
          <w:tblHeader w:val="false"/>
        </w:trPr>
        <w:tc>
          <w:tcPr>
            <w:tcW w:type="dxa" w:w="5415"/>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SEARCH | AMBULANZA | PURCHASE | MILANO</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€ 151</w:t>
            </w:r>
          </w:p>
        </w:tc>
        <w:tc>
          <w:tcPr>
            <w:tcW w:type="dxa" w:w="1625"/>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18</w:t>
            </w:r>
          </w:p>
        </w:tc>
      </w:tr>
    </w:tbl>
    <w:p>
      <w:pPr>
        <w:spacing w:after="16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bCs/>
          <w:i w:val="false"/>
          <w:iCs w:val="false"/>
          <w:color w:val="000000"/>
          <w:sz w:val="20"/>
          <w:szCs w:val="20"/>
        </w:rPr>
        <w:t xml:space="preserve">Il ticket alto è concentrato sui trasferimenti nazionali a lunga distanza, non sulle regionali.</w:t>
      </w:r>
      <w:r>
        <w:rPr>
          <w:rFonts w:ascii="Calibri" w:cs="Calibri" w:eastAsia="Calibri" w:hAnsi="Calibri"/>
          <w:b w:val="false"/>
          <w:bCs w:val="false"/>
          <w:i w:val="false"/>
          <w:iCs w:val="false"/>
          <w:color w:val="000000"/>
          <w:sz w:val="20"/>
          <w:szCs w:val="20"/>
        </w:rPr>
        <w:t xml:space="preserve"> La direzione di crescita è quella: allargare il raggio geografico e la lunghezza della tratta, non moltiplicare le città.</w:t>
      </w:r>
    </w:p>
    <w:p>
      <w:pPr>
        <w:pStyle w:val="Heading2"/>
        <w:spacing w:after="100" w:before="280" w:line="264"/>
      </w:pPr>
      <w:r>
        <w:rPr>
          <w:rFonts w:ascii="Calibri" w:cs="Calibri" w:eastAsia="Calibri" w:hAnsi="Calibri"/>
          <w:b/>
          <w:bCs/>
          <w:i w:val="false"/>
          <w:iCs w:val="false"/>
          <w:color w:val="2E5C8A"/>
          <w:sz w:val="24"/>
          <w:szCs w:val="24"/>
        </w:rPr>
        <w:t xml:space="preserve">Leva 2 — take rate</w:t>
      </w:r>
    </w:p>
    <w:p>
      <w:pPr>
        <w:spacing w:after="120" w:before="0" w:line="264"/>
      </w:pPr>
      <w:r>
        <w:rPr>
          <w:rFonts w:ascii="Calibri" w:cs="Calibri" w:eastAsia="Calibri" w:hAnsi="Calibri"/>
          <w:b w:val="false"/>
          <w:bCs w:val="false"/>
          <w:i w:val="false"/>
          <w:iCs w:val="false"/>
          <w:color w:val="000000"/>
          <w:sz w:val="20"/>
          <w:szCs w:val="20"/>
        </w:rPr>
        <w:t xml:space="preserve">Il take rate medio è </w:t>
      </w:r>
      <w:r>
        <w:rPr>
          <w:rFonts w:ascii="Calibri" w:cs="Calibri" w:eastAsia="Calibri" w:hAnsi="Calibri"/>
          <w:b/>
          <w:bCs/>
          <w:i w:val="false"/>
          <w:iCs w:val="false"/>
          <w:color w:val="000000"/>
          <w:sz w:val="20"/>
          <w:szCs w:val="20"/>
        </w:rPr>
        <w:t xml:space="preserve">10,7%</w:t>
      </w:r>
      <w:r>
        <w:rPr>
          <w:rFonts w:ascii="Calibri" w:cs="Calibri" w:eastAsia="Calibri" w:hAnsi="Calibri"/>
          <w:b w:val="false"/>
          <w:bCs w:val="false"/>
          <w:i w:val="false"/>
          <w:iCs w:val="false"/>
          <w:color w:val="000000"/>
          <w:sz w:val="20"/>
          <w:szCs w:val="20"/>
        </w:rPr>
        <w:t xml:space="preserve">, ma varia dal 6,8% al 20,0% per campagna, e la campagna con il ticket più alto ha il take rate più basso (8,7%). Portare PMAX | ITALIA | AMBULANZA dall'8,7% al 12% — la media delle campagne Purchase — vale </w:t>
      </w:r>
      <w:r>
        <w:rPr>
          <w:rFonts w:ascii="Calibri" w:cs="Calibri" w:eastAsia="Calibri" w:hAnsi="Calibri"/>
          <w:b/>
          <w:bCs/>
          <w:i w:val="false"/>
          <w:iCs w:val="false"/>
          <w:color w:val="000000"/>
          <w:sz w:val="20"/>
          <w:szCs w:val="20"/>
        </w:rPr>
        <w:t xml:space="preserve">+38% di fee a parità di tutto il resto</w:t>
      </w:r>
      <w:r>
        <w:rPr>
          <w:rFonts w:ascii="Calibri" w:cs="Calibri" w:eastAsia="Calibri" w:hAnsi="Calibri"/>
          <w:b w:val="false"/>
          <w:bCs w:val="false"/>
          <w:i w:val="false"/>
          <w:iCs w:val="false"/>
          <w:color w:val="000000"/>
          <w:sz w:val="20"/>
          <w:szCs w:val="20"/>
        </w:rPr>
        <w:t xml:space="preserve">, e trasformerebbe il suo ROAS Fee da 1,30× a 1,79× senza toccare una sola impostazione di campagna.</w:t>
      </w:r>
    </w:p>
    <w:p>
      <w:pPr>
        <w:spacing w:after="120" w:before="0" w:line="264"/>
      </w:pPr>
      <w:r>
        <w:rPr>
          <w:rFonts w:ascii="Calibri" w:cs="Calibri" w:eastAsia="Calibri" w:hAnsi="Calibri"/>
          <w:b/>
          <w:bCs/>
          <w:i w:val="false"/>
          <w:iCs w:val="false"/>
          <w:color w:val="000000"/>
          <w:sz w:val="20"/>
          <w:szCs w:val="20"/>
        </w:rPr>
        <w:t xml:space="preserve">È una leva commerciale, non pubblicitaria</w:t>
      </w:r>
      <w:r>
        <w:rPr>
          <w:rFonts w:ascii="Calibri" w:cs="Calibri" w:eastAsia="Calibri" w:hAnsi="Calibri"/>
          <w:b w:val="false"/>
          <w:bCs w:val="false"/>
          <w:i w:val="false"/>
          <w:iCs w:val="false"/>
          <w:color w:val="000000"/>
          <w:sz w:val="20"/>
          <w:szCs w:val="20"/>
        </w:rPr>
        <w:t xml:space="preserve">, e va verificata con chi definisce le condizioni economiche sui trasferimenti a lunga percorrenza.</w:t>
      </w:r>
    </w:p>
    <w:p>
      <w:r>
        <w:br w:type="page"/>
      </w:r>
    </w:p>
    <w:p>
      <w:pPr>
        <w:pStyle w:val="Heading1"/>
        <w:pBdr>
          <w:bottom w:val="single" w:color="1F3864" w:sz="12" w:space="6"/>
        </w:pBdr>
        <w:spacing w:after="60" w:before="420" w:line="264"/>
      </w:pPr>
      <w:r>
        <w:rPr>
          <w:rFonts w:ascii="Calibri" w:cs="Calibri" w:eastAsia="Calibri" w:hAnsi="Calibri"/>
          <w:b/>
          <w:bCs/>
          <w:i w:val="false"/>
          <w:iCs w:val="false"/>
          <w:color w:val="1F3864"/>
          <w:sz w:val="30"/>
          <w:szCs w:val="30"/>
        </w:rPr>
        <w:t xml:space="preserve">9. KPI E SOGLIE DI CONTROLLO</w:t>
      </w:r>
    </w:p>
    <w:p>
      <w:pPr>
        <w:spacing w:after="120" w:before="0" w:line="264"/>
      </w:pPr>
      <w:r>
        <w:rPr>
          <w:rFonts w:ascii="Calibri" w:cs="Calibri" w:eastAsia="Calibri" w:hAnsi="Calibri"/>
          <w:b w:val="false"/>
          <w:bCs w:val="false"/>
          <w:i w:val="false"/>
          <w:iCs w:val="false"/>
          <w:color w:val="000000"/>
          <w:sz w:val="20"/>
          <w:szCs w:val="20"/>
        </w:rPr>
        <w:t xml:space="preserve">Da monitorare </w:t>
      </w:r>
      <w:r>
        <w:rPr>
          <w:rFonts w:ascii="Calibri" w:cs="Calibri" w:eastAsia="Calibri" w:hAnsi="Calibri"/>
          <w:b/>
          <w:bCs/>
          <w:i w:val="false"/>
          <w:iCs w:val="false"/>
          <w:color w:val="000000"/>
          <w:sz w:val="20"/>
          <w:szCs w:val="20"/>
        </w:rPr>
        <w:t xml:space="preserve">ogni lunedì</w:t>
      </w:r>
      <w:r>
        <w:rPr>
          <w:rFonts w:ascii="Calibri" w:cs="Calibri" w:eastAsia="Calibri" w:hAnsi="Calibri"/>
          <w:b w:val="false"/>
          <w:bCs w:val="false"/>
          <w:i w:val="false"/>
          <w:iCs w:val="false"/>
          <w:color w:val="000000"/>
          <w:sz w:val="20"/>
          <w:szCs w:val="20"/>
        </w:rPr>
        <w:t xml:space="preserve">, sui dati della settimana precedente.</w:t>
      </w:r>
    </w:p>
    <w:p>
      <w:pPr>
        <w:spacing w:after="80"/>
      </w:pPr>
      <w:r>
        <w:rPr>
          <w:rFonts w:ascii="Calibri" w:cs="Calibri" w:eastAsia="Calibri" w:hAnsi="Calibri"/>
          <w:b w:val="false"/>
          <w:bCs w:val="false"/>
          <w:i w:val="false"/>
          <w:iCs w:val="false"/>
          <w:color w:val="000000"/>
          <w:sz w:val="20"/>
          <w:szCs w:val="20"/>
        </w:rPr>
        <w:t xml:space="preserve"/>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1986"/>
        <w:gridCol w:w="1173"/>
        <w:gridCol w:w="1173"/>
        <w:gridCol w:w="1354"/>
        <w:gridCol w:w="3340"/>
      </w:tblGrid>
      <w:tr>
        <w:trPr>
          <w:tblHeader/>
        </w:trPr>
        <w:tc>
          <w:tcPr>
            <w:tcW w:type="dxa" w:w="1986"/>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KPI</w:t>
            </w:r>
          </w:p>
        </w:tc>
        <w:tc>
          <w:tcPr>
            <w:tcW w:type="dxa" w:w="1173"/>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Oggi</w:t>
            </w:r>
          </w:p>
        </w:tc>
        <w:tc>
          <w:tcPr>
            <w:tcW w:type="dxa" w:w="1173"/>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Target 30/9</w:t>
            </w:r>
          </w:p>
        </w:tc>
        <w:tc>
          <w:tcPr>
            <w:tcW w:type="dxa" w:w="1354"/>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Soglia allarme</w:t>
            </w:r>
          </w:p>
        </w:tc>
        <w:tc>
          <w:tcPr>
            <w:tcW w:type="dxa" w:w="3340"/>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Azione se scatta</w:t>
            </w:r>
          </w:p>
        </w:tc>
      </w:tr>
      <w:tr>
        <w:trPr>
          <w:tblHeader w:val="false"/>
        </w:trPr>
        <w:tc>
          <w:tcPr>
            <w:tcW w:type="dxa" w:w="1986"/>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ROAS Fee Niino</w:t>
            </w:r>
          </w:p>
        </w:tc>
        <w:tc>
          <w:tcPr>
            <w:tcW w:type="dxa" w:w="117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0,19×</w:t>
            </w:r>
          </w:p>
        </w:tc>
        <w:tc>
          <w:tcPr>
            <w:tcW w:type="dxa" w:w="117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 1,0×</w:t>
            </w:r>
          </w:p>
        </w:tc>
        <w:tc>
          <w:tcPr>
            <w:tcW w:type="dxa" w:w="135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&lt; 0,7×</w:t>
            </w:r>
          </w:p>
        </w:tc>
        <w:tc>
          <w:tcPr>
            <w:tcW w:type="dxa" w:w="3340"/>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Congelare i budget lo stesso giorno</w:t>
            </w:r>
          </w:p>
        </w:tc>
      </w:tr>
      <w:tr>
        <w:trPr>
          <w:tblHeader w:val="false"/>
        </w:trPr>
        <w:tc>
          <w:tcPr>
            <w:tcW w:type="dxa" w:w="1986"/>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Ticket medio</w:t>
            </w:r>
          </w:p>
        </w:tc>
        <w:tc>
          <w:tcPr>
            <w:tcW w:type="dxa" w:w="117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€ 181</w:t>
            </w:r>
          </w:p>
        </w:tc>
        <w:tc>
          <w:tcPr>
            <w:tcW w:type="dxa" w:w="117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 € 400</w:t>
            </w:r>
          </w:p>
        </w:tc>
        <w:tc>
          <w:tcPr>
            <w:tcW w:type="dxa" w:w="135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&lt; € 300</w:t>
            </w:r>
          </w:p>
        </w:tc>
        <w:tc>
          <w:tcPr>
            <w:tcW w:type="dxa" w:w="3340"/>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Sospendere ogni aumento di budget</w:t>
            </w:r>
          </w:p>
        </w:tc>
      </w:tr>
      <w:tr>
        <w:trPr>
          <w:tblHeader w:val="false"/>
        </w:trPr>
        <w:tc>
          <w:tcPr>
            <w:tcW w:type="dxa" w:w="1986"/>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CPA per corsa netta</w:t>
            </w:r>
          </w:p>
        </w:tc>
        <w:tc>
          <w:tcPr>
            <w:tcW w:type="dxa" w:w="117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€ 98,25</w:t>
            </w:r>
          </w:p>
        </w:tc>
        <w:tc>
          <w:tcPr>
            <w:tcW w:type="dxa" w:w="117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 € 55</w:t>
            </w:r>
          </w:p>
        </w:tc>
        <w:tc>
          <w:tcPr>
            <w:tcW w:type="dxa" w:w="135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&gt; € 75</w:t>
            </w:r>
          </w:p>
        </w:tc>
        <w:tc>
          <w:tcPr>
            <w:tcW w:type="dxa" w:w="3340"/>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Ridurre il budget della campagna fuori soglia del 30%</w:t>
            </w:r>
          </w:p>
        </w:tc>
      </w:tr>
      <w:tr>
        <w:trPr>
          <w:tblHeader w:val="false"/>
        </w:trPr>
        <w:tc>
          <w:tcPr>
            <w:tcW w:type="dxa" w:w="1986"/>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Spesa/giorno</w:t>
            </w:r>
          </w:p>
        </w:tc>
        <w:tc>
          <w:tcPr>
            <w:tcW w:type="dxa" w:w="117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€ 567,67</w:t>
            </w:r>
          </w:p>
        </w:tc>
        <w:tc>
          <w:tcPr>
            <w:tcW w:type="dxa" w:w="117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€ 225</w:t>
            </w:r>
          </w:p>
        </w:tc>
        <w:tc>
          <w:tcPr>
            <w:tcW w:type="dxa" w:w="135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&gt; € 260</w:t>
            </w:r>
          </w:p>
        </w:tc>
        <w:tc>
          <w:tcPr>
            <w:tcW w:type="dxa" w:w="3340"/>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Verifica immediata: il budget si sta riaprendo da solo</w:t>
            </w:r>
          </w:p>
        </w:tc>
      </w:tr>
      <w:tr>
        <w:trPr>
          <w:tblHeader w:val="false"/>
        </w:trPr>
        <w:tc>
          <w:tcPr>
            <w:tcW w:type="dxa" w:w="1986"/>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Cancellazioni</w:t>
            </w:r>
          </w:p>
        </w:tc>
        <w:tc>
          <w:tcPr>
            <w:tcW w:type="dxa" w:w="117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25,4%</w:t>
            </w:r>
          </w:p>
        </w:tc>
        <w:tc>
          <w:tcPr>
            <w:tcW w:type="dxa" w:w="117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20%</w:t>
            </w:r>
          </w:p>
        </w:tc>
        <w:tc>
          <w:tcPr>
            <w:tcW w:type="dxa" w:w="135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&gt; 30%</w:t>
            </w:r>
          </w:p>
        </w:tc>
        <w:tc>
          <w:tcPr>
            <w:tcW w:type="dxa" w:w="3340"/>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Analisi a valle sulla campagna interessata</w:t>
            </w:r>
          </w:p>
        </w:tc>
      </w:tr>
      <w:tr>
        <w:trPr>
          <w:tblHeader w:val="false"/>
        </w:trPr>
        <w:tc>
          <w:tcPr>
            <w:tcW w:type="dxa" w:w="1986"/>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ROAS (GMV)</w:t>
            </w:r>
          </w:p>
        </w:tc>
        <w:tc>
          <w:tcPr>
            <w:tcW w:type="dxa" w:w="117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1,93×</w:t>
            </w:r>
          </w:p>
        </w:tc>
        <w:tc>
          <w:tcPr>
            <w:tcW w:type="dxa" w:w="1173"/>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4,0×</w:t>
            </w:r>
          </w:p>
        </w:tc>
        <w:tc>
          <w:tcPr>
            <w:tcW w:type="dxa" w:w="1354"/>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&lt; 2,5×</w:t>
            </w:r>
          </w:p>
        </w:tc>
        <w:tc>
          <w:tcPr>
            <w:tcW w:type="dxa" w:w="3340"/>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Segnale che il mix si sta spostando su corse piccole</w:t>
            </w:r>
          </w:p>
        </w:tc>
      </w:tr>
      <w:tr>
        <w:trPr>
          <w:tblHeader w:val="false"/>
        </w:trPr>
        <w:tc>
          <w:tcPr>
            <w:tcW w:type="dxa" w:w="1986"/>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Corse nette/giorno</w:t>
            </w:r>
          </w:p>
        </w:tc>
        <w:tc>
          <w:tcPr>
            <w:tcW w:type="dxa" w:w="117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5,78</w:t>
            </w:r>
          </w:p>
        </w:tc>
        <w:tc>
          <w:tcPr>
            <w:tcW w:type="dxa" w:w="1173"/>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3,0</w:t>
            </w:r>
          </w:p>
        </w:tc>
        <w:tc>
          <w:tcPr>
            <w:tcW w:type="dxa" w:w="1354"/>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&lt; 2,0</w:t>
            </w:r>
          </w:p>
        </w:tc>
        <w:tc>
          <w:tcPr>
            <w:tcW w:type="dxa" w:w="3340"/>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Verificare che i tagli non abbiano colpito troppo</w:t>
            </w:r>
          </w:p>
        </w:tc>
      </w:tr>
    </w:tbl>
    <w:p>
      <w:pPr>
        <w:spacing w:after="16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bCs/>
          <w:i w:val="false"/>
          <w:iCs w:val="false"/>
          <w:color w:val="000000"/>
          <w:sz w:val="20"/>
          <w:szCs w:val="20"/>
        </w:rPr>
        <w:t xml:space="preserve">Il ticket medio è il KPI da guardare per primo:</w:t>
      </w:r>
      <w:r>
        <w:rPr>
          <w:rFonts w:ascii="Calibri" w:cs="Calibri" w:eastAsia="Calibri" w:hAnsi="Calibri"/>
          <w:b w:val="false"/>
          <w:bCs w:val="false"/>
          <w:i w:val="false"/>
          <w:iCs w:val="false"/>
          <w:color w:val="000000"/>
          <w:sz w:val="20"/>
          <w:szCs w:val="20"/>
        </w:rPr>
        <w:t xml:space="preserve"> ad agosto si è mosso prima del ROAS Fee ed è stato il segnale anticipatore del crollo.</w:t>
      </w:r>
    </w:p>
    <w:p>
      <w:pPr>
        <w:pStyle w:val="Heading1"/>
        <w:pBdr>
          <w:bottom w:val="single" w:color="1F3864" w:sz="12" w:space="6"/>
        </w:pBdr>
        <w:spacing w:after="60" w:before="420" w:line="264"/>
      </w:pPr>
      <w:r>
        <w:rPr>
          <w:rFonts w:ascii="Calibri" w:cs="Calibri" w:eastAsia="Calibri" w:hAnsi="Calibri"/>
          <w:b/>
          <w:bCs/>
          <w:i w:val="false"/>
          <w:iCs w:val="false"/>
          <w:color w:val="1F3864"/>
          <w:sz w:val="30"/>
          <w:szCs w:val="30"/>
        </w:rPr>
        <w:t xml:space="preserve">10. RISCHI DEL PIANO</w:t>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2527"/>
        <w:gridCol w:w="1083"/>
        <w:gridCol w:w="2347"/>
        <w:gridCol w:w="3069"/>
      </w:tblGrid>
      <w:tr>
        <w:trPr>
          <w:tblHeader/>
        </w:trPr>
        <w:tc>
          <w:tcPr>
            <w:tcW w:type="dxa" w:w="2527"/>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Rischio</w:t>
            </w:r>
          </w:p>
        </w:tc>
        <w:tc>
          <w:tcPr>
            <w:tcW w:type="dxa" w:w="1083"/>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Prob.</w:t>
            </w:r>
          </w:p>
        </w:tc>
        <w:tc>
          <w:tcPr>
            <w:tcW w:type="dxa" w:w="2347"/>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Impatto</w:t>
            </w:r>
          </w:p>
        </w:tc>
        <w:tc>
          <w:tcPr>
            <w:tcW w:type="dxa" w:w="3069"/>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Mitigazione</w:t>
            </w:r>
          </w:p>
        </w:tc>
      </w:tr>
      <w:tr>
        <w:trPr>
          <w:tblHeader w:val="false"/>
        </w:trPr>
        <w:tc>
          <w:tcPr>
            <w:tcW w:type="dxa" w:w="2527"/>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Il ticket medio non risale e resta a € 181</w:t>
            </w:r>
          </w:p>
        </w:tc>
        <w:tc>
          <w:tcPr>
            <w:tcW w:type="dxa" w:w="1083"/>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Media</w:t>
            </w:r>
          </w:p>
        </w:tc>
        <w:tc>
          <w:tcPr>
            <w:tcW w:type="dxa" w:w="2347"/>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Il piano si ferma allo scenario B: −€1.861 invece di −€983</w:t>
            </w:r>
          </w:p>
        </w:tc>
        <w:tc>
          <w:tcPr>
            <w:tcW w:type="dxa" w:w="3069"/>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La fase 2 non si apre: il gate del 15 settembre esiste per questo</w:t>
            </w:r>
          </w:p>
        </w:tc>
      </w:tr>
      <w:tr>
        <w:trPr>
          <w:tblHeader w:val="false"/>
        </w:trPr>
        <w:tc>
          <w:tcPr>
            <w:tcW w:type="dxa" w:w="2527"/>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Italia Ambulanza non recupera dopo il reset di budget</w:t>
            </w:r>
          </w:p>
        </w:tc>
        <w:tc>
          <w:tcPr>
            <w:tcW w:type="dxa" w:w="1083"/>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Media</w:t>
            </w:r>
          </w:p>
        </w:tc>
        <w:tc>
          <w:tcPr>
            <w:tcW w:type="dxa" w:w="2347"/>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Nessuna fase 2; ROAS Fee del portafoglio bloccato a 0,79×</w:t>
            </w:r>
          </w:p>
        </w:tc>
        <w:tc>
          <w:tcPr>
            <w:tcW w:type="dxa" w:w="3069"/>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Verificare prima le 4 azioni di conversione: senza, il recupero è improbabile</w:t>
            </w:r>
          </w:p>
        </w:tc>
      </w:tr>
      <w:tr>
        <w:trPr>
          <w:tblHeader w:val="false"/>
        </w:trPr>
        <w:tc>
          <w:tcPr>
            <w:tcW w:type="dxa" w:w="2527"/>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Tagliare 12 campagne riduce il volume oltre le stime</w:t>
            </w:r>
          </w:p>
        </w:tc>
        <w:tc>
          <w:tcPr>
            <w:tcW w:type="dxa" w:w="1083"/>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Bassa</w:t>
            </w:r>
          </w:p>
        </w:tc>
        <w:tc>
          <w:tcPr>
            <w:tcW w:type="dxa" w:w="2347"/>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Meno di 88 corse/mese</w:t>
            </w:r>
          </w:p>
        </w:tc>
        <w:tc>
          <w:tcPr>
            <w:tcW w:type="dxa" w:w="3069"/>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Le 12 campagne producevano €7,89/giorno di fee su €279 di spesa: contributo marginale per definizione</w:t>
            </w:r>
          </w:p>
        </w:tc>
      </w:tr>
      <w:tr>
        <w:trPr>
          <w:tblHeader w:val="false"/>
        </w:trPr>
        <w:tc>
          <w:tcPr>
            <w:tcW w:type="dxa" w:w="2527"/>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La domanda di settembre sale e i budget ridotti diventano un freno</w:t>
            </w:r>
          </w:p>
        </w:tc>
        <w:tc>
          <w:tcPr>
            <w:tcW w:type="dxa" w:w="1083"/>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Media</w:t>
            </w:r>
          </w:p>
        </w:tc>
        <w:tc>
          <w:tcPr>
            <w:tcW w:type="dxa" w:w="2347"/>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Occasione persa su un mese storicamente più attivo di agosto</w:t>
            </w:r>
          </w:p>
        </w:tc>
        <w:tc>
          <w:tcPr>
            <w:tcW w:type="dxa" w:w="3069"/>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Il gate del 15 settembre permette di riaprire; le soglie sono verificate settimanalmente</w:t>
            </w:r>
          </w:p>
        </w:tc>
      </w:tr>
      <w:tr>
        <w:trPr>
          <w:tblHeader w:val="false"/>
        </w:trPr>
        <w:tc>
          <w:tcPr>
            <w:tcW w:type="dxa" w:w="2527"/>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Le modifiche alle conversioni azzerano lo storico di apprendimento</w:t>
            </w:r>
          </w:p>
        </w:tc>
        <w:tc>
          <w:tcPr>
            <w:tcW w:type="dxa" w:w="1083"/>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Alta</w:t>
            </w:r>
          </w:p>
        </w:tc>
        <w:tc>
          <w:tcPr>
            <w:tcW w:type="dxa" w:w="2347"/>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2–3 settimane di instabilità sulle campagne interessate</w:t>
            </w:r>
          </w:p>
        </w:tc>
        <w:tc>
          <w:tcPr>
            <w:tcW w:type="dxa" w:w="3069"/>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Farle tutte insieme nella settimana del 23–29 agosto, non spalmate</w:t>
            </w:r>
          </w:p>
        </w:tc>
      </w:tr>
      <w:tr>
        <w:trPr>
          <w:tblHeader w:val="false"/>
        </w:trPr>
        <w:tc>
          <w:tcPr>
            <w:tcW w:type="dxa" w:w="2527"/>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I dati del 10–15 agosto smentiscono la base di partenza</w:t>
            </w:r>
          </w:p>
        </w:tc>
        <w:tc>
          <w:tcPr>
            <w:tcW w:type="dxa" w:w="1083"/>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Media</w:t>
            </w:r>
          </w:p>
        </w:tc>
        <w:tc>
          <w:tcPr>
            <w:tcW w:type="dxa" w:w="2347"/>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Tutte le cifre vanno riparametrate</w:t>
            </w:r>
          </w:p>
        </w:tc>
        <w:tc>
          <w:tcPr>
            <w:tcW w:type="dxa" w:w="3069"/>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È il punto 1 del calendario: si verifica prima di agire</w:t>
            </w:r>
          </w:p>
        </w:tc>
      </w:tr>
    </w:tbl>
    <w:p>
      <w:pPr>
        <w:spacing w:after="160"/>
      </w:pPr>
      <w:r>
        <w:rPr>
          <w:rFonts w:ascii="Calibri" w:cs="Calibri" w:eastAsia="Calibri" w:hAnsi="Calibri"/>
          <w:b w:val="false"/>
          <w:bCs w:val="false"/>
          <w:i w:val="false"/>
          <w:iCs w:val="false"/>
          <w:color w:val="000000"/>
          <w:sz w:val="20"/>
          <w:szCs w:val="20"/>
        </w:rPr>
        <w:t xml:space="preserve"/>
      </w:r>
    </w:p>
    <w:p>
      <w:pPr>
        <w:pBdr>
          <w:left w:val="single" w:color="2E5C8A" w:sz="18" w:space="10"/>
        </w:pBdr>
        <w:shd w:fill="F2F4F7" w:color="auto" w:val="clear"/>
        <w:spacing w:after="200" w:before="160" w:line="264"/>
        <w:ind w:left="340" w:right="200"/>
      </w:pPr>
      <w:r>
        <w:rPr>
          <w:rFonts w:ascii="Calibri" w:cs="Calibri" w:eastAsia="Calibri" w:hAnsi="Calibri"/>
          <w:b w:val="false"/>
          <w:bCs w:val="false"/>
          <w:i w:val="false"/>
          <w:iCs w:val="false"/>
          <w:color w:val="1F3864"/>
          <w:sz w:val="20"/>
          <w:szCs w:val="20"/>
        </w:rPr>
        <w:t xml:space="preserve">Il rischio di non fare il piano è l'unico quantificato con certezza: −€21.226 in 46 giorni, e una perdita cumulata dal 1 luglio di −€33.736.</w:t>
      </w:r>
    </w:p>
    <w:p>
      <w:pPr>
        <w:pStyle w:val="Heading1"/>
        <w:pBdr>
          <w:bottom w:val="single" w:color="1F3864" w:sz="12" w:space="6"/>
        </w:pBdr>
        <w:spacing w:after="60" w:before="420" w:line="264"/>
      </w:pPr>
      <w:r>
        <w:rPr>
          <w:rFonts w:ascii="Calibri" w:cs="Calibri" w:eastAsia="Calibri" w:hAnsi="Calibri"/>
          <w:b/>
          <w:bCs/>
          <w:i w:val="false"/>
          <w:iCs w:val="false"/>
          <w:color w:val="1F3864"/>
          <w:sz w:val="30"/>
          <w:szCs w:val="30"/>
        </w:rPr>
        <w:t xml:space="preserve">11. SINTESI DECISIONALE</w:t>
      </w:r>
    </w:p>
    <w:p>
      <w:pPr>
        <w:spacing w:after="120" w:before="0" w:line="264"/>
      </w:pPr>
      <w:r>
        <w:rPr>
          <w:rFonts w:ascii="Calibri" w:cs="Calibri" w:eastAsia="Calibri" w:hAnsi="Calibri"/>
          <w:b/>
          <w:bCs/>
          <w:i w:val="false"/>
          <w:iCs w:val="false"/>
          <w:color w:val="000000"/>
          <w:sz w:val="20"/>
          <w:szCs w:val="20"/>
        </w:rPr>
        <w:t xml:space="preserve">Tre cose da decidere questa settimana:</w:t>
      </w:r>
    </w:p>
    <w:p>
      <w:pPr>
        <w:pStyle w:val="ListParagraph"/>
        <w:numPr>
          <w:ilvl w:val="0"/>
          <w:numId w:val="2"/>
        </w:numPr>
        <w:spacing w:after="90" w:line="264"/>
      </w:pPr>
      <w:r>
        <w:rPr>
          <w:rFonts w:ascii="Calibri" w:cs="Calibri" w:eastAsia="Calibri" w:hAnsi="Calibri"/>
          <w:b/>
          <w:bCs/>
          <w:i w:val="false"/>
          <w:iCs w:val="false"/>
          <w:color w:val="000000"/>
          <w:sz w:val="20"/>
          <w:szCs w:val="20"/>
        </w:rPr>
        <w:t xml:space="preserve">Si tagliano le 12 campagne?</w:t>
      </w:r>
      <w:r>
        <w:rPr>
          <w:rFonts w:ascii="Calibri" w:cs="Calibri" w:eastAsia="Calibri" w:hAnsi="Calibri"/>
          <w:b w:val="false"/>
          <w:bCs w:val="false"/>
          <w:i w:val="false"/>
          <w:iCs w:val="false"/>
          <w:color w:val="000000"/>
          <w:sz w:val="20"/>
          <w:szCs w:val="20"/>
        </w:rPr>
        <w:t xml:space="preserve"> Liberano €279/giorno costando €8/giorno di fee. È la decisione con il rapporto rischio/rendimento migliore del piano.</w:t>
      </w:r>
    </w:p>
    <w:p>
      <w:pPr>
        <w:pStyle w:val="ListParagraph"/>
        <w:numPr>
          <w:ilvl w:val="0"/>
          <w:numId w:val="2"/>
        </w:numPr>
        <w:spacing w:after="90" w:line="264"/>
      </w:pPr>
      <w:r>
        <w:rPr>
          <w:rFonts w:ascii="Calibri" w:cs="Calibri" w:eastAsia="Calibri" w:hAnsi="Calibri"/>
          <w:b/>
          <w:bCs/>
          <w:i w:val="false"/>
          <w:iCs w:val="false"/>
          <w:color w:val="000000"/>
          <w:sz w:val="20"/>
          <w:szCs w:val="20"/>
        </w:rPr>
        <w:t xml:space="preserve">Si accetta di dimezzare le corse (da 5,78 a 2,95 al giorno) per riportare il margine da −€461 a −€40 al giorno?</w:t>
      </w:r>
      <w:r>
        <w:rPr>
          <w:rFonts w:ascii="Calibri" w:cs="Calibri" w:eastAsia="Calibri" w:hAnsi="Calibri"/>
          <w:b w:val="false"/>
          <w:bCs w:val="false"/>
          <w:i w:val="false"/>
          <w:iCs w:val="false"/>
          <w:color w:val="000000"/>
          <w:sz w:val="20"/>
          <w:szCs w:val="20"/>
        </w:rPr>
        <w:t xml:space="preserve"> È il cuore del compromesso volume/margine.</w:t>
      </w:r>
    </w:p>
    <w:p>
      <w:pPr>
        <w:pStyle w:val="ListParagraph"/>
        <w:numPr>
          <w:ilvl w:val="0"/>
          <w:numId w:val="2"/>
        </w:numPr>
        <w:spacing w:after="90" w:line="264"/>
      </w:pPr>
      <w:r>
        <w:rPr>
          <w:rFonts w:ascii="Calibri" w:cs="Calibri" w:eastAsia="Calibri" w:hAnsi="Calibri"/>
          <w:b/>
          <w:bCs/>
          <w:i w:val="false"/>
          <w:iCs w:val="false"/>
          <w:color w:val="000000"/>
          <w:sz w:val="20"/>
          <w:szCs w:val="20"/>
        </w:rPr>
        <w:t xml:space="preserve">Si rivede il target CPA del BP?</w:t>
      </w:r>
      <w:r>
        <w:rPr>
          <w:rFonts w:ascii="Calibri" w:cs="Calibri" w:eastAsia="Calibri" w:hAnsi="Calibri"/>
          <w:b w:val="false"/>
          <w:bCs w:val="false"/>
          <w:i w:val="false"/>
          <w:iCs w:val="false"/>
          <w:color w:val="000000"/>
          <w:sz w:val="20"/>
          <w:szCs w:val="20"/>
        </w:rPr>
        <w:t xml:space="preserve"> €70 è sopra la soglia di pareggio in ogni scenario misurato: o scende a €45–50, o sale il ticket medio a €654.</w:t>
      </w:r>
    </w:p>
    <w:p>
      <w:pPr>
        <w:spacing w:after="120" w:before="0" w:line="264"/>
      </w:pPr>
      <w:r>
        <w:rPr>
          <w:rFonts w:ascii="Calibri" w:cs="Calibri" w:eastAsia="Calibri" w:hAnsi="Calibri"/>
          <w:b/>
          <w:bCs/>
          <w:i w:val="false"/>
          <w:iCs w:val="false"/>
          <w:color w:val="000000"/>
          <w:sz w:val="20"/>
          <w:szCs w:val="20"/>
        </w:rPr>
        <w:t xml:space="preserve">Due cose da fare comunque, indipendentemente dalle decisioni sopra:</w:t>
      </w:r>
    </w:p>
    <w:p>
      <w:pPr>
        <w:pStyle w:val="ListParagraph"/>
        <w:numPr>
          <w:ilvl w:val="0"/>
          <w:numId w:val="2"/>
        </w:numPr>
        <w:spacing w:after="90" w:line="264"/>
      </w:pPr>
      <w:r>
        <w:rPr>
          <w:rFonts w:ascii="Calibri" w:cs="Calibri" w:eastAsia="Calibri" w:hAnsi="Calibri"/>
          <w:b w:val="false"/>
          <w:bCs w:val="false"/>
          <w:i w:val="false"/>
          <w:iCs w:val="false"/>
          <w:color w:val="000000"/>
          <w:sz w:val="20"/>
          <w:szCs w:val="20"/>
        </w:rPr>
        <w:t xml:space="preserve">Estrarre i dati al 15 agosto e verificare la base di partenza.</w:t>
      </w:r>
    </w:p>
    <w:p>
      <w:pPr>
        <w:pStyle w:val="ListParagraph"/>
        <w:numPr>
          <w:ilvl w:val="0"/>
          <w:numId w:val="2"/>
        </w:numPr>
        <w:spacing w:after="90" w:line="264"/>
      </w:pPr>
      <w:r>
        <w:rPr>
          <w:rFonts w:ascii="Calibri" w:cs="Calibri" w:eastAsia="Calibri" w:hAnsi="Calibri"/>
          <w:b w:val="false"/>
          <w:bCs w:val="false"/>
          <w:i w:val="false"/>
          <w:iCs w:val="false"/>
          <w:color w:val="000000"/>
          <w:sz w:val="20"/>
          <w:szCs w:val="20"/>
        </w:rPr>
        <w:t xml:space="preserve">Correggere la proiezione di spesa di fine agosto nel report Niino: non è €10.559, è €17.598.</w:t>
      </w:r>
    </w:p>
    <w:p>
      <w:r>
        <w:br w:type="page"/>
      </w:r>
    </w:p>
    <w:p>
      <w:pPr>
        <w:pStyle w:val="Heading1"/>
        <w:pBdr>
          <w:bottom w:val="single" w:color="1F3864" w:sz="12" w:space="6"/>
        </w:pBdr>
        <w:spacing w:after="60" w:before="420" w:line="264"/>
      </w:pPr>
      <w:r>
        <w:rPr>
          <w:rFonts w:ascii="Calibri" w:cs="Calibri" w:eastAsia="Calibri" w:hAnsi="Calibri"/>
          <w:b/>
          <w:bCs/>
          <w:i w:val="false"/>
          <w:iCs w:val="false"/>
          <w:color w:val="1F3864"/>
          <w:sz w:val="30"/>
          <w:szCs w:val="30"/>
        </w:rPr>
        <w:t xml:space="preserve">APPENDICE A — ASSUNZIONI DEL MODELLO</w:t>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2708"/>
        <w:gridCol w:w="3610"/>
        <w:gridCol w:w="2708"/>
      </w:tblGrid>
      <w:tr>
        <w:trPr>
          <w:tblHeader/>
        </w:trPr>
        <w:tc>
          <w:tcPr>
            <w:tcW w:type="dxa" w:w="2708"/>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Assunzione</w:t>
            </w:r>
          </w:p>
        </w:tc>
        <w:tc>
          <w:tcPr>
            <w:tcW w:type="dxa" w:w="3610"/>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Valore</w:t>
            </w:r>
          </w:p>
        </w:tc>
        <w:tc>
          <w:tcPr>
            <w:tcW w:type="dxa" w:w="2708"/>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Fonte</w:t>
            </w:r>
          </w:p>
        </w:tc>
      </w:tr>
      <w:tr>
        <w:trPr>
          <w:tblHeader w:val="false"/>
        </w:trPr>
        <w:tc>
          <w:tcPr>
            <w:tcW w:type="dxa" w:w="270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Run rate di partenza</w:t>
            </w:r>
          </w:p>
        </w:tc>
        <w:tc>
          <w:tcPr>
            <w:tcW w:type="dxa" w:w="3610"/>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€ 567,67/giorno di spesa, 0,19× di ROAS Fee</w:t>
            </w:r>
          </w:p>
        </w:tc>
        <w:tc>
          <w:tcPr>
            <w:tcW w:type="dxa" w:w="270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Reale, 1–9 agosto</w:t>
            </w:r>
          </w:p>
        </w:tc>
      </w:tr>
      <w:tr>
        <w:trPr>
          <w:tblHeader w:val="false"/>
        </w:trPr>
        <w:tc>
          <w:tcPr>
            <w:tcW w:type="dxa" w:w="270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ROAS Fee per campagna</w:t>
            </w:r>
          </w:p>
        </w:tc>
        <w:tc>
          <w:tcPr>
            <w:tcW w:type="dxa" w:w="3610"/>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Valori dei 40 giorni, tranne Purchase Milano (0,80× contro 1,19× di agosto)</w:t>
            </w:r>
          </w:p>
        </w:tc>
        <w:tc>
          <w:tcPr>
            <w:tcW w:type="dxa" w:w="270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Reale, prudenziale su Milano</w:t>
            </w:r>
          </w:p>
        </w:tc>
      </w:tr>
      <w:tr>
        <w:trPr>
          <w:tblHeader w:val="false"/>
        </w:trPr>
        <w:tc>
          <w:tcPr>
            <w:tcW w:type="dxa" w:w="270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CPA per campagna</w:t>
            </w:r>
          </w:p>
        </w:tc>
        <w:tc>
          <w:tcPr>
            <w:tcW w:type="dxa" w:w="3610"/>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Spesa / corse nette sui 40 giorni</w:t>
            </w:r>
          </w:p>
        </w:tc>
        <w:tc>
          <w:tcPr>
            <w:tcW w:type="dxa" w:w="270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Reale</w:t>
            </w:r>
          </w:p>
        </w:tc>
      </w:tr>
      <w:tr>
        <w:trPr>
          <w:tblHeader w:val="false"/>
        </w:trPr>
        <w:tc>
          <w:tcPr>
            <w:tcW w:type="dxa" w:w="270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Recupero di Italia Ambulanza in fase 2</w:t>
            </w:r>
          </w:p>
        </w:tc>
        <w:tc>
          <w:tcPr>
            <w:tcW w:type="dxa" w:w="3610"/>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ROAS Fee 1,85× a € 90/giorno</w:t>
            </w:r>
          </w:p>
        </w:tc>
        <w:tc>
          <w:tcPr>
            <w:tcW w:type="dxa" w:w="270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Assunzione — è il livello di luglio, non una previsione</w:t>
            </w:r>
          </w:p>
        </w:tc>
      </w:tr>
      <w:tr>
        <w:trPr>
          <w:tblHeader w:val="false"/>
        </w:trPr>
        <w:tc>
          <w:tcPr>
            <w:tcW w:type="dxa" w:w="270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Take rate</w:t>
            </w:r>
          </w:p>
        </w:tc>
        <w:tc>
          <w:tcPr>
            <w:tcW w:type="dxa" w:w="3610"/>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10,7% costante</w:t>
            </w:r>
          </w:p>
        </w:tc>
        <w:tc>
          <w:tcPr>
            <w:tcW w:type="dxa" w:w="270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Reale sui 40 giorni</w:t>
            </w:r>
          </w:p>
        </w:tc>
      </w:tr>
      <w:tr>
        <w:trPr>
          <w:tblHeader w:val="false"/>
        </w:trPr>
        <w:tc>
          <w:tcPr>
            <w:tcW w:type="dxa" w:w="270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Stagionalità settembre</w:t>
            </w:r>
          </w:p>
        </w:tc>
        <w:tc>
          <w:tcPr>
            <w:tcW w:type="dxa" w:w="3610"/>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Non modellata</w:t>
            </w:r>
          </w:p>
        </w:tc>
        <w:tc>
          <w:tcPr>
            <w:tcW w:type="dxa" w:w="270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Nessun dato storico disponibile</w:t>
            </w:r>
          </w:p>
        </w:tc>
      </w:tr>
      <w:tr>
        <w:trPr>
          <w:tblHeader w:val="false"/>
        </w:trPr>
        <w:tc>
          <w:tcPr>
            <w:tcW w:type="dxa" w:w="270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Effetto delle correzioni di misurazione</w:t>
            </w:r>
          </w:p>
        </w:tc>
        <w:tc>
          <w:tcPr>
            <w:tcW w:type="dxa" w:w="3610"/>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Non modellato</w:t>
            </w:r>
          </w:p>
        </w:tc>
        <w:tc>
          <w:tcPr>
            <w:tcW w:type="dxa" w:w="270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Prerequisito qualitativo, non quantificabile</w:t>
            </w:r>
          </w:p>
        </w:tc>
      </w:tr>
    </w:tbl>
    <w:p>
      <w:pPr>
        <w:spacing w:after="140"/>
      </w:pPr>
      <w:r>
        <w:rPr>
          <w:rFonts w:ascii="Calibri" w:cs="Calibri" w:eastAsia="Calibri" w:hAnsi="Calibri"/>
          <w:b w:val="false"/>
          <w:bCs w:val="false"/>
          <w:i w:val="false"/>
          <w:iCs w:val="false"/>
          <w:color w:val="000000"/>
          <w:sz w:val="20"/>
          <w:szCs w:val="20"/>
        </w:rPr>
        <w:t xml:space="preserve"/>
      </w:r>
    </w:p>
    <w:p>
      <w:pPr>
        <w:spacing w:after="120" w:before="0" w:line="264"/>
      </w:pPr>
      <w:r>
        <w:rPr>
          <w:rFonts w:ascii="Calibri" w:cs="Calibri" w:eastAsia="Calibri" w:hAnsi="Calibri"/>
          <w:b/>
          <w:bCs/>
          <w:i w:val="false"/>
          <w:iCs w:val="false"/>
          <w:color w:val="000000"/>
          <w:sz w:val="20"/>
          <w:szCs w:val="20"/>
        </w:rPr>
        <w:t xml:space="preserve">Cosa il modello non fa:</w:t>
      </w:r>
      <w:r>
        <w:rPr>
          <w:rFonts w:ascii="Calibri" w:cs="Calibri" w:eastAsia="Calibri" w:hAnsi="Calibri"/>
          <w:b w:val="false"/>
          <w:bCs w:val="false"/>
          <w:i w:val="false"/>
          <w:iCs w:val="false"/>
          <w:color w:val="000000"/>
          <w:sz w:val="20"/>
          <w:szCs w:val="20"/>
        </w:rPr>
        <w:t xml:space="preserve"> non prevede l'effetto delle correzioni di tracciamento sul comportamento degli algoritmi di offerta, non modella la stagionalità di settembre, non assume alcun miglioramento del ticket medio. Sono tutte variabili che possono solo migliorare gli scenari B e C, mai peggiorarli.</w:t>
      </w:r>
    </w:p>
    <w:p>
      <w:pPr>
        <w:pStyle w:val="Heading1"/>
        <w:pBdr>
          <w:bottom w:val="single" w:color="1F3864" w:sz="12" w:space="6"/>
        </w:pBdr>
        <w:spacing w:after="60" w:before="420" w:line="264"/>
      </w:pPr>
      <w:r>
        <w:rPr>
          <w:rFonts w:ascii="Calibri" w:cs="Calibri" w:eastAsia="Calibri" w:hAnsi="Calibri"/>
          <w:b/>
          <w:bCs/>
          <w:i w:val="false"/>
          <w:iCs w:val="false"/>
          <w:color w:val="1F3864"/>
          <w:sz w:val="30"/>
          <w:szCs w:val="30"/>
        </w:rPr>
        <w:t xml:space="preserve">APPENDICE B — PROIEZIONE MENSILE A CONFRONTO</w:t>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3068"/>
        <w:gridCol w:w="1986"/>
        <w:gridCol w:w="1986"/>
        <w:gridCol w:w="1986"/>
      </w:tblGrid>
      <w:tr>
        <w:trPr>
          <w:tblHeader/>
        </w:trPr>
        <w:tc>
          <w:tcPr>
            <w:tcW w:type="dxa" w:w="3068"/>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
            </w:r>
          </w:p>
        </w:tc>
        <w:tc>
          <w:tcPr>
            <w:tcW w:type="dxa" w:w="1986"/>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Agosto (proiezione)</w:t>
            </w:r>
          </w:p>
        </w:tc>
        <w:tc>
          <w:tcPr>
            <w:tcW w:type="dxa" w:w="1986"/>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Settembre scen. A</w:t>
            </w:r>
          </w:p>
        </w:tc>
        <w:tc>
          <w:tcPr>
            <w:tcW w:type="dxa" w:w="1986"/>
            <w:shd w:fill="1F3864"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FFFFFF"/>
                <w:sz w:val="19"/>
                <w:szCs w:val="19"/>
              </w:rPr>
              <w:t xml:space="preserve">Settembre scen. C</w:t>
            </w:r>
          </w:p>
        </w:tc>
      </w:tr>
      <w:tr>
        <w:trPr>
          <w:tblHeader w:val="false"/>
        </w:trPr>
        <w:tc>
          <w:tcPr>
            <w:tcW w:type="dxa" w:w="306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Spesa</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€ 17.598</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€ 17.030</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€ 6.300</w:t>
            </w:r>
          </w:p>
        </w:tc>
      </w:tr>
      <w:tr>
        <w:trPr>
          <w:tblHeader w:val="false"/>
        </w:trPr>
        <w:tc>
          <w:tcPr>
            <w:tcW w:type="dxa" w:w="306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Fee Niino netta</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€ 3.291</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€ 3.186</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000000"/>
                <w:sz w:val="19"/>
                <w:szCs w:val="19"/>
              </w:rPr>
              <w:t xml:space="preserve">€ 5.964</w:t>
            </w:r>
          </w:p>
        </w:tc>
      </w:tr>
      <w:tr>
        <w:trPr>
          <w:tblHeader w:val="false"/>
        </w:trPr>
        <w:tc>
          <w:tcPr>
            <w:tcW w:type="dxa" w:w="306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Margine</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−€ 14.307</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−€ 13.844</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−€ 336</w:t>
            </w:r>
          </w:p>
        </w:tc>
      </w:tr>
      <w:tr>
        <w:trPr>
          <w:tblHeader w:val="false"/>
        </w:trPr>
        <w:tc>
          <w:tcPr>
            <w:tcW w:type="dxa" w:w="306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ROAS Fee</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0,19×</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0,19×</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0,95×</w:t>
            </w:r>
          </w:p>
        </w:tc>
      </w:tr>
      <w:tr>
        <w:trPr>
          <w:tblHeader w:val="false"/>
        </w:trPr>
        <w:tc>
          <w:tcPr>
            <w:tcW w:type="dxa" w:w="3068"/>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Corse nette</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179</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173</w:t>
            </w:r>
          </w:p>
        </w:tc>
        <w:tc>
          <w:tcPr>
            <w:tcW w:type="dxa" w:w="1986"/>
            <w:shd w:fill="FFFFFF"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92</w:t>
            </w:r>
          </w:p>
        </w:tc>
      </w:tr>
      <w:tr>
        <w:trPr>
          <w:tblHeader w:val="false"/>
        </w:trPr>
        <w:tc>
          <w:tcPr>
            <w:tcW w:type="dxa" w:w="3068"/>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vs target BP corse (192)</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−7%</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−10%</w:t>
            </w:r>
          </w:p>
        </w:tc>
        <w:tc>
          <w:tcPr>
            <w:tcW w:type="dxa" w:w="1986"/>
            <w:shd w:fill="F2F4F7" w:color="auto" w:val="clear"/>
            <w:tcMar>
              <w:top w:type="dxa" w:w="60"/>
              <w:left w:type="dxa" w:w="110"/>
              <w:bottom w:type="dxa" w:w="60"/>
              <w:right w:type="dxa" w:w="110"/>
            </w:tcMar>
          </w:tcPr>
          <w:p>
            <w:pPr>
              <w:spacing w:after="50" w:before="50" w:line="240"/>
              <w:jc w:val="right"/>
            </w:pPr>
            <w:r>
              <w:rPr>
                <w:rFonts w:ascii="Calibri" w:cs="Calibri" w:eastAsia="Calibri" w:hAnsi="Calibri"/>
                <w:b w:val="false"/>
                <w:bCs w:val="false"/>
                <w:i w:val="false"/>
                <w:iCs w:val="false"/>
                <w:color w:val="000000"/>
                <w:sz w:val="19"/>
                <w:szCs w:val="19"/>
              </w:rPr>
              <w:t xml:space="preserve">−52%</w:t>
            </w:r>
          </w:p>
        </w:tc>
      </w:tr>
      <w:tr>
        <w:trPr>
          <w:tblHeader w:val="false"/>
        </w:trPr>
        <w:tc>
          <w:tcPr>
            <w:tcW w:type="dxa" w:w="3068"/>
            <w:shd w:fill="E4E9F2"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vs target BP spesa (€ 13.529)</w:t>
            </w:r>
          </w:p>
        </w:tc>
        <w:tc>
          <w:tcPr>
            <w:tcW w:type="dxa" w:w="1986"/>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+30%</w:t>
            </w:r>
          </w:p>
        </w:tc>
        <w:tc>
          <w:tcPr>
            <w:tcW w:type="dxa" w:w="1986"/>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C00000"/>
                <w:sz w:val="19"/>
                <w:szCs w:val="19"/>
              </w:rPr>
              <w:t xml:space="preserve">+26%</w:t>
            </w:r>
          </w:p>
        </w:tc>
        <w:tc>
          <w:tcPr>
            <w:tcW w:type="dxa" w:w="1986"/>
            <w:shd w:fill="E4E9F2" w:color="auto" w:val="clear"/>
            <w:tcMar>
              <w:top w:type="dxa" w:w="60"/>
              <w:left w:type="dxa" w:w="110"/>
              <w:bottom w:type="dxa" w:w="60"/>
              <w:right w:type="dxa" w:w="110"/>
            </w:tcMar>
          </w:tcPr>
          <w:p>
            <w:pPr>
              <w:spacing w:after="50" w:before="50" w:line="240"/>
              <w:jc w:val="right"/>
            </w:pPr>
            <w:r>
              <w:rPr>
                <w:rFonts w:ascii="Calibri" w:cs="Calibri" w:eastAsia="Calibri" w:hAnsi="Calibri"/>
                <w:b/>
                <w:bCs/>
                <w:i w:val="false"/>
                <w:iCs w:val="false"/>
                <w:color w:val="2E7D32"/>
                <w:sz w:val="19"/>
                <w:szCs w:val="19"/>
              </w:rPr>
              <w:t xml:space="preserve">−53%</w:t>
            </w:r>
          </w:p>
        </w:tc>
      </w:tr>
    </w:tbl>
    <w:p>
      <w:pPr>
        <w:pStyle w:val="Heading1"/>
        <w:pBdr>
          <w:bottom w:val="single" w:color="1F3864" w:sz="12" w:space="6"/>
        </w:pBdr>
        <w:spacing w:after="60" w:before="420" w:line="264"/>
      </w:pPr>
      <w:r>
        <w:rPr>
          <w:rFonts w:ascii="Calibri" w:cs="Calibri" w:eastAsia="Calibri" w:hAnsi="Calibri"/>
          <w:b/>
          <w:bCs/>
          <w:i w:val="false"/>
          <w:iCs w:val="false"/>
          <w:color w:val="1F3864"/>
          <w:sz w:val="30"/>
          <w:szCs w:val="30"/>
        </w:rPr>
        <w:t xml:space="preserve">APPENDICE C — RIEPILOGO DELLE AZIONI PER DATA</w:t>
      </w:r>
    </w:p>
    <w:tbl>
      <w:tblPr>
        <w:tblW w:type="dxa" w:w="9026"/>
        <w:tblBorders>
          <w:top w:val="single" w:color="BFC7D6" w:sz="4"/>
          <w:left w:val="none" w:color="FFFFFF" w:sz="0"/>
          <w:bottom w:val="single" w:color="BFC7D6" w:sz="4"/>
          <w:right w:val="none" w:color="FFFFFF" w:sz="0"/>
          <w:insideH w:val="single" w:color="D6DCE7" w:sz="2"/>
          <w:insideV w:val="none" w:color="FFFFFF" w:sz="0"/>
        </w:tblBorders>
      </w:tblPr>
      <w:tblGrid>
        <w:gridCol w:w="1625"/>
        <w:gridCol w:w="4964"/>
        <w:gridCol w:w="2437"/>
      </w:tblGrid>
      <w:tr>
        <w:trPr>
          <w:tblHeader/>
        </w:trPr>
        <w:tc>
          <w:tcPr>
            <w:tcW w:type="dxa" w:w="1625"/>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Data</w:t>
            </w:r>
          </w:p>
        </w:tc>
        <w:tc>
          <w:tcPr>
            <w:tcW w:type="dxa" w:w="4964"/>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Azione</w:t>
            </w:r>
          </w:p>
        </w:tc>
        <w:tc>
          <w:tcPr>
            <w:tcW w:type="dxa" w:w="2437"/>
            <w:shd w:fill="1F3864"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FFFFFF"/>
                <w:sz w:val="19"/>
                <w:szCs w:val="19"/>
              </w:rPr>
              <w:t xml:space="preserve">Responsabilità</w:t>
            </w:r>
          </w:p>
        </w:tc>
      </w:tr>
      <w:tr>
        <w:trPr>
          <w:tblHeader w:val="false"/>
        </w:trPr>
        <w:tc>
          <w:tcPr>
            <w:tcW w:type="dxa" w:w="1625"/>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16 agosto</w:t>
            </w:r>
          </w:p>
        </w:tc>
        <w:tc>
          <w:tcPr>
            <w:tcW w:type="dxa" w:w="4964"/>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Estrazione dati aggiornati al 15/8 e verifica base di partenza</w:t>
            </w:r>
          </w:p>
        </w:tc>
        <w:tc>
          <w:tcPr>
            <w:tcW w:type="dxa" w:w="2437"/>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Analisi</w:t>
            </w:r>
          </w:p>
        </w:tc>
      </w:tr>
      <w:tr>
        <w:trPr>
          <w:tblHeader w:val="false"/>
        </w:trPr>
        <w:tc>
          <w:tcPr>
            <w:tcW w:type="dxa" w:w="1625"/>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16–17 agosto</w:t>
            </w:r>
          </w:p>
        </w:tc>
        <w:tc>
          <w:tcPr>
            <w:tcW w:type="dxa" w:w="4964"/>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Chiusura delle 12 campagne</w:t>
            </w:r>
          </w:p>
        </w:tc>
        <w:tc>
          <w:tcPr>
            <w:tcW w:type="dxa" w:w="2437"/>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Gestione campagne</w:t>
            </w:r>
          </w:p>
        </w:tc>
      </w:tr>
      <w:tr>
        <w:trPr>
          <w:tblHeader w:val="false"/>
        </w:trPr>
        <w:tc>
          <w:tcPr>
            <w:tcW w:type="dxa" w:w="1625"/>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17 agosto</w:t>
            </w:r>
          </w:p>
        </w:tc>
        <w:tc>
          <w:tcPr>
            <w:tcW w:type="dxa" w:w="4964"/>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Reset budget: Italia Ambulanza € 60, Piemonte € 30, Aereo € 25</w:t>
            </w:r>
          </w:p>
        </w:tc>
        <w:tc>
          <w:tcPr>
            <w:tcW w:type="dxa" w:w="2437"/>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Gestione campagne</w:t>
            </w:r>
          </w:p>
        </w:tc>
      </w:tr>
      <w:tr>
        <w:trPr>
          <w:tblHeader w:val="false"/>
        </w:trPr>
        <w:tc>
          <w:tcPr>
            <w:tcW w:type="dxa" w:w="1625"/>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18 agosto</w:t>
            </w:r>
          </w:p>
        </w:tc>
        <w:tc>
          <w:tcPr>
            <w:tcW w:type="dxa" w:w="4964"/>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Rimozione di "Calls from ads" dalle conversioni di offerta</w:t>
            </w:r>
          </w:p>
        </w:tc>
        <w:tc>
          <w:tcPr>
            <w:tcW w:type="dxa" w:w="2437"/>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Tracciamento</w:t>
            </w:r>
          </w:p>
        </w:tc>
      </w:tr>
      <w:tr>
        <w:trPr>
          <w:tblHeader w:val="false"/>
        </w:trPr>
        <w:tc>
          <w:tcPr>
            <w:tcW w:type="dxa" w:w="1625"/>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entro 22 agosto</w:t>
            </w:r>
          </w:p>
        </w:tc>
        <w:tc>
          <w:tcPr>
            <w:tcW w:type="dxa" w:w="4964"/>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Chiarimento sulla campagna in pausa che ha speso € 755</w:t>
            </w:r>
          </w:p>
        </w:tc>
        <w:tc>
          <w:tcPr>
            <w:tcW w:type="dxa" w:w="2437"/>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Gestione campagne</w:t>
            </w:r>
          </w:p>
        </w:tc>
      </w:tr>
      <w:tr>
        <w:trPr>
          <w:tblHeader w:val="false"/>
        </w:trPr>
        <w:tc>
          <w:tcPr>
            <w:tcW w:type="dxa" w:w="1625"/>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23–29 agosto</w:t>
            </w:r>
          </w:p>
        </w:tc>
        <w:tc>
          <w:tcPr>
            <w:tcW w:type="dxa" w:w="4964"/>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Import delle 4 azioni di conversione + cancellazioni</w:t>
            </w:r>
          </w:p>
        </w:tc>
        <w:tc>
          <w:tcPr>
            <w:tcW w:type="dxa" w:w="2437"/>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Tracciamento / sviluppo</w:t>
            </w:r>
          </w:p>
        </w:tc>
      </w:tr>
      <w:tr>
        <w:trPr>
          <w:tblHeader w:val="false"/>
        </w:trPr>
        <w:tc>
          <w:tcPr>
            <w:tcW w:type="dxa" w:w="1625"/>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entro 29 agosto</w:t>
            </w:r>
          </w:p>
        </w:tc>
        <w:tc>
          <w:tcPr>
            <w:tcW w:type="dxa" w:w="4964"/>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Rifacimento asset Piemonte</w:t>
            </w:r>
          </w:p>
        </w:tc>
        <w:tc>
          <w:tcPr>
            <w:tcW w:type="dxa" w:w="2437"/>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Creatività</w:t>
            </w:r>
          </w:p>
        </w:tc>
      </w:tr>
      <w:tr>
        <w:trPr>
          <w:tblHeader w:val="false"/>
        </w:trPr>
        <w:tc>
          <w:tcPr>
            <w:tcW w:type="dxa" w:w="1625"/>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1 settembre</w:t>
            </w:r>
          </w:p>
        </w:tc>
        <w:tc>
          <w:tcPr>
            <w:tcW w:type="dxa" w:w="4964"/>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Test riattivazione Search Purchase Milano a € 25/giorno</w:t>
            </w:r>
          </w:p>
        </w:tc>
        <w:tc>
          <w:tcPr>
            <w:tcW w:type="dxa" w:w="2437"/>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Gestione campagne</w:t>
            </w:r>
          </w:p>
        </w:tc>
      </w:tr>
      <w:tr>
        <w:trPr>
          <w:tblHeader w:val="false"/>
        </w:trPr>
        <w:tc>
          <w:tcPr>
            <w:tcW w:type="dxa" w:w="1625"/>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ogni lunedì</w:t>
            </w:r>
          </w:p>
        </w:tc>
        <w:tc>
          <w:tcPr>
            <w:tcW w:type="dxa" w:w="4964"/>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Verifica KPI e soglie</w:t>
            </w:r>
          </w:p>
        </w:tc>
        <w:tc>
          <w:tcPr>
            <w:tcW w:type="dxa" w:w="2437"/>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Analisi</w:t>
            </w:r>
          </w:p>
        </w:tc>
      </w:tr>
      <w:tr>
        <w:trPr>
          <w:tblHeader w:val="false"/>
        </w:trPr>
        <w:tc>
          <w:tcPr>
            <w:tcW w:type="dxa" w:w="1625"/>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15 settembre</w:t>
            </w:r>
          </w:p>
        </w:tc>
        <w:tc>
          <w:tcPr>
            <w:tcW w:type="dxa" w:w="4964"/>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Gate di decisione fase 2</w:t>
            </w:r>
          </w:p>
        </w:tc>
        <w:tc>
          <w:tcPr>
            <w:tcW w:type="dxa" w:w="2437"/>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Direzione</w:t>
            </w:r>
          </w:p>
        </w:tc>
      </w:tr>
      <w:tr>
        <w:trPr>
          <w:tblHeader w:val="false"/>
        </w:trPr>
        <w:tc>
          <w:tcPr>
            <w:tcW w:type="dxa" w:w="1625"/>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16–30 settembre</w:t>
            </w:r>
          </w:p>
        </w:tc>
        <w:tc>
          <w:tcPr>
            <w:tcW w:type="dxa" w:w="4964"/>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Scale controllato Italia Ambulanza € 60 → € 90</w:t>
            </w:r>
          </w:p>
        </w:tc>
        <w:tc>
          <w:tcPr>
            <w:tcW w:type="dxa" w:w="2437"/>
            <w:shd w:fill="FFFFFF"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Gestione campagne</w:t>
            </w:r>
          </w:p>
        </w:tc>
      </w:tr>
      <w:tr>
        <w:trPr>
          <w:tblHeader w:val="false"/>
        </w:trPr>
        <w:tc>
          <w:tcPr>
            <w:tcW w:type="dxa" w:w="1625"/>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bCs/>
                <w:i w:val="false"/>
                <w:iCs w:val="false"/>
                <w:color w:val="000000"/>
                <w:sz w:val="19"/>
                <w:szCs w:val="19"/>
              </w:rPr>
              <w:t xml:space="preserve">30 settembre</w:t>
            </w:r>
          </w:p>
        </w:tc>
        <w:tc>
          <w:tcPr>
            <w:tcW w:type="dxa" w:w="4964"/>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Consuntivo e decisione sul piano di ottobre</w:t>
            </w:r>
          </w:p>
        </w:tc>
        <w:tc>
          <w:tcPr>
            <w:tcW w:type="dxa" w:w="2437"/>
            <w:shd w:fill="F2F4F7" w:color="auto" w:val="clear"/>
            <w:tcMar>
              <w:top w:type="dxa" w:w="60"/>
              <w:left w:type="dxa" w:w="110"/>
              <w:bottom w:type="dxa" w:w="60"/>
              <w:right w:type="dxa" w:w="110"/>
            </w:tcMar>
          </w:tcPr>
          <w:p>
            <w:pPr>
              <w:spacing w:after="50" w:before="50" w:line="240"/>
              <w:jc w:val="left"/>
            </w:pPr>
            <w:r>
              <w:rPr>
                <w:rFonts w:ascii="Calibri" w:cs="Calibri" w:eastAsia="Calibri" w:hAnsi="Calibri"/>
                <w:b w:val="false"/>
                <w:bCs w:val="false"/>
                <w:i w:val="false"/>
                <w:iCs w:val="false"/>
                <w:color w:val="000000"/>
                <w:sz w:val="19"/>
                <w:szCs w:val="19"/>
              </w:rPr>
              <w:t xml:space="preserve">Direzione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444444"/>
        <w:sz w:val="16"/>
        <w:szCs w:val="16"/>
      </w:rPr>
      <w:t xml:space="preserve">Report Predittivo e Piano di Crescita — 16 agosto / 30 settembre 2026    ·    </w:t>
    </w:r>
    <w:r>
      <w:rPr>
        <w:rFonts w:ascii="Calibri" w:cs="Calibri" w:eastAsia="Calibri" w:hAnsi="Calibri"/>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Predittivo e Piano di Crescita — 16 agosto / 30 settembre 2026</dc:title>
  <dc:creator>Indigit Marketing</dc:creator>
  <dc:description>Scenari e piano operativo dal 16 agosto al 30 settembre 2026</dc:description>
  <cp:lastModifiedBy>Un-named</cp:lastModifiedBy>
  <cp:revision>1</cp:revision>
  <dcterms:created xsi:type="dcterms:W3CDTF">2026-08-15T12:25:26.322Z</dcterms:created>
  <dcterms:modified xsi:type="dcterms:W3CDTF">2026-08-15T12:25:26.333Z</dcterms:modified>
</cp:coreProperties>
</file>

<file path=docProps/custom.xml><?xml version="1.0" encoding="utf-8"?>
<Properties xmlns="http://schemas.openxmlformats.org/officeDocument/2006/custom-properties" xmlns:vt="http://schemas.openxmlformats.org/officeDocument/2006/docPropsVTypes"/>
</file>