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0A6C724A"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R1</w:t>
      </w:r>
      <w:r w:rsidR="002235E0">
        <w:rPr>
          <w:rStyle w:val="None"/>
          <w:rFonts w:ascii="Georgia" w:hAnsi="Georgia"/>
          <w:b/>
          <w:bCs/>
          <w:sz w:val="26"/>
          <w:szCs w:val="26"/>
        </w:rPr>
        <w:tab/>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somewhat different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2ACAF5D1"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other forms</w:t>
      </w:r>
      <w:r w:rsidR="002235E0">
        <w:rPr>
          <w:rStyle w:val="None"/>
          <w:rFonts w:ascii="Georgia" w:hAnsi="Georgia"/>
        </w:rPr>
        <w:t xml:space="preserve"> of</w:t>
      </w:r>
      <w:r w:rsidR="00803C62" w:rsidRPr="00AA0453">
        <w:rPr>
          <w:rStyle w:val="None"/>
          <w:rFonts w:ascii="Georgia" w:hAnsi="Georgia"/>
        </w:rPr>
        <w:t xml:space="preserve">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generally consistent national standard. </w:t>
      </w:r>
    </w:p>
    <w:p w14:paraId="0DEA1E3B" w14:textId="5776E5F4" w:rsidR="00E11722" w:rsidRPr="00AA0453" w:rsidRDefault="00E11722" w:rsidP="00DD1BAE">
      <w:pPr>
        <w:spacing w:before="150" w:after="90"/>
        <w:ind w:left="840"/>
        <w:rPr>
          <w:rFonts w:ascii="Georgia" w:hAnsi="Georgia"/>
        </w:rPr>
      </w:pPr>
      <w:r w:rsidRPr="00AA0453">
        <w:rPr>
          <w:rStyle w:val="None"/>
          <w:rFonts w:ascii="Georgia" w:hAnsi="Georgia"/>
        </w:rPr>
        <w:t xml:space="preserve">Many state courts and </w:t>
      </w:r>
      <w:r w:rsidR="00DD1BAE" w:rsidRPr="00AA0453">
        <w:rPr>
          <w:rStyle w:val="None"/>
          <w:rFonts w:ascii="Georgia" w:hAnsi="Georgia"/>
        </w:rPr>
        <w:t>local</w:t>
      </w:r>
      <w:r w:rsidRPr="00AA0453">
        <w:rPr>
          <w:rStyle w:val="None"/>
          <w:rFonts w:ascii="Georgia" w:hAnsi="Georgia"/>
        </w:rPr>
        <w:t xml:space="preserve"> legal communities use citation </w:t>
      </w:r>
      <w:r w:rsidR="00561629">
        <w:rPr>
          <w:rStyle w:val="None"/>
          <w:rFonts w:ascii="Georgia" w:hAnsi="Georgia"/>
        </w:rPr>
        <w:t>formats</w:t>
      </w:r>
      <w:r w:rsidRPr="00AA0453">
        <w:rPr>
          <w:rStyle w:val="None"/>
          <w:rFonts w:ascii="Georgia" w:hAnsi="Georgia"/>
        </w:rPr>
        <w:t xml:space="preserve">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985A39">
        <w:rPr>
          <w:rStyle w:val="Rulereferencecharacterstyle"/>
        </w:rPr>
        <w:t>Table T3</w:t>
      </w:r>
      <w:r w:rsidR="00087544" w:rsidRPr="00AA0453">
        <w:rPr>
          <w:rStyle w:val="None"/>
          <w:rFonts w:ascii="Georgia" w:hAnsi="Georgia"/>
        </w:rPr>
        <w:t xml:space="preserve">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t>
      </w:r>
      <w:r w:rsidR="007103E2">
        <w:rPr>
          <w:rStyle w:val="None"/>
          <w:rFonts w:ascii="Georgia" w:hAnsi="Georgia"/>
        </w:rPr>
        <w:t>customizing</w:t>
      </w:r>
      <w:r w:rsidR="006F4F20">
        <w:rPr>
          <w:rStyle w:val="None"/>
          <w:rFonts w:ascii="Georgia" w:hAnsi="Georgia"/>
        </w:rPr>
        <w:t xml:space="preserve"> legal citations for </w:t>
      </w:r>
      <w:r w:rsidR="00D96642" w:rsidRPr="00AA0453">
        <w:rPr>
          <w:rStyle w:val="None"/>
          <w:rFonts w:ascii="Georgia" w:hAnsi="Georgia"/>
        </w:rPr>
        <w:t xml:space="preserve">a local audience, consult </w:t>
      </w:r>
      <w:r w:rsidR="00D96642" w:rsidRPr="00985A39">
        <w:rPr>
          <w:rStyle w:val="Rulereferencecharacterstyle"/>
        </w:rPr>
        <w:t>Table T3</w:t>
      </w:r>
      <w:r w:rsidR="00A04981">
        <w:rPr>
          <w:rStyle w:val="None"/>
          <w:rFonts w:ascii="Georgia" w:hAnsi="Georgia"/>
        </w:rPr>
        <w:t xml:space="preserve"> as well as</w:t>
      </w:r>
      <w:r w:rsidR="00D96642" w:rsidRPr="00AA0453">
        <w:rPr>
          <w:rStyle w:val="None"/>
          <w:rFonts w:ascii="Georgia" w:hAnsi="Georgia"/>
        </w:rPr>
        <w:t xml:space="preserve"> local </w:t>
      </w:r>
      <w:r w:rsidR="007103E2">
        <w:rPr>
          <w:rStyle w:val="None"/>
          <w:rFonts w:ascii="Georgia" w:hAnsi="Georgia"/>
        </w:rPr>
        <w:t>court rules, customs,</w:t>
      </w:r>
      <w:r w:rsidR="00A04981">
        <w:rPr>
          <w:rStyle w:val="None"/>
          <w:rFonts w:ascii="Georgia" w:hAnsi="Georgia"/>
        </w:rPr>
        <w:t xml:space="preserve"> and expertise</w:t>
      </w:r>
      <w:r w:rsidR="00D96642" w:rsidRPr="00AA0453">
        <w:rPr>
          <w:rStyle w:val="None"/>
          <w:rFonts w:ascii="Georgia" w:hAnsi="Georgia"/>
        </w:rPr>
        <w:t>.</w:t>
      </w:r>
      <w:r w:rsidR="007103E2">
        <w:rPr>
          <w:rStyle w:val="None"/>
          <w:rFonts w:ascii="Georgia" w:hAnsi="Georgia"/>
        </w:rPr>
        <w:t xml:space="preserve"> </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7B511703" w:rsidR="00F37BED" w:rsidRPr="00AA0453" w:rsidRDefault="007103E2" w:rsidP="00F37BED">
      <w:pPr>
        <w:pStyle w:val="Rule"/>
        <w:rPr>
          <w:rStyle w:val="None"/>
        </w:rPr>
      </w:pPr>
      <w:r>
        <w:rPr>
          <w:rStyle w:val="None"/>
        </w:rPr>
        <w:t>Academic legal documents</w:t>
      </w:r>
      <w:r w:rsidR="005C4420">
        <w:rPr>
          <w:rStyle w:val="None"/>
        </w:rPr>
        <w:t xml:space="preserve"> </w:t>
      </w:r>
      <w:r>
        <w:rPr>
          <w:rStyle w:val="None"/>
        </w:rPr>
        <w:t>include</w:t>
      </w:r>
      <w:r w:rsidR="00E9398D" w:rsidRPr="00AA0453">
        <w:rPr>
          <w:rStyle w:val="None"/>
        </w:rPr>
        <w:t xml:space="preserve"> articles for publication in law reviews</w:t>
      </w:r>
      <w:r w:rsidR="00087F6F" w:rsidRPr="00AA0453">
        <w:rPr>
          <w:rStyle w:val="None"/>
        </w:rPr>
        <w:t>, generally authored by law professors and law students enrolled in J.D. programs</w:t>
      </w:r>
      <w:r w:rsidR="00E9398D" w:rsidRPr="00AA0453">
        <w:rPr>
          <w:rStyle w:val="None"/>
        </w:rPr>
        <w:t>.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561629">
        <w:rPr>
          <w:rStyle w:val="None"/>
        </w:rPr>
        <w:t>. Citations in standard legal documents</w:t>
      </w:r>
      <w:r w:rsidR="005E79C8" w:rsidRPr="00AA0453">
        <w:rPr>
          <w:rStyle w:val="None"/>
        </w:rPr>
        <w:t xml:space="preserve"> and </w:t>
      </w:r>
      <w:r w:rsidR="00561629">
        <w:rPr>
          <w:rStyle w:val="None"/>
        </w:rPr>
        <w:t>law review articles</w:t>
      </w:r>
      <w:r w:rsidR="005E79C8" w:rsidRPr="00AA0453">
        <w:rPr>
          <w:rStyle w:val="None"/>
        </w:rPr>
        <w:t xml:space="preserve"> provide the same information about </w:t>
      </w:r>
      <w:r w:rsidR="00110B4C" w:rsidRPr="00AA0453">
        <w:rPr>
          <w:rStyle w:val="None"/>
        </w:rPr>
        <w:t xml:space="preserve">legal </w:t>
      </w:r>
      <w:r w:rsidR="005E79C8" w:rsidRPr="00AA0453">
        <w:rPr>
          <w:rStyle w:val="None"/>
        </w:rPr>
        <w:t>sources</w:t>
      </w:r>
      <w:r w:rsidR="00561629">
        <w:rPr>
          <w:rStyle w:val="None"/>
        </w:rPr>
        <w:t>, and a</w:t>
      </w:r>
      <w:r w:rsidR="009175F0" w:rsidRPr="00AA0453">
        <w:rPr>
          <w:rStyle w:val="None"/>
        </w:rPr>
        <w:t xml:space="preserve"> short cross-reference highlighting key font differences is provided in </w:t>
      </w:r>
      <w:r w:rsidR="009175F0" w:rsidRPr="00985A39">
        <w:rPr>
          <w:rStyle w:val="Rulereferencecharacterstyle"/>
        </w:rPr>
        <w:t>Table T20</w:t>
      </w:r>
      <w:r w:rsidR="009175F0" w:rsidRPr="00AA0453">
        <w:rPr>
          <w:rStyle w:val="None"/>
        </w:rPr>
        <w:t xml:space="preserve">. </w:t>
      </w:r>
      <w:r w:rsidR="008F4442">
        <w:rPr>
          <w:rStyle w:val="None"/>
        </w:rPr>
        <w:t>A full treatment of formal</w:t>
      </w:r>
      <w:r w:rsidR="0015780A">
        <w:rPr>
          <w:rStyle w:val="None"/>
        </w:rPr>
        <w:t xml:space="preserve"> </w:t>
      </w:r>
      <w:r w:rsidR="00E9398D" w:rsidRPr="00AA0453">
        <w:rPr>
          <w:rStyle w:val="None"/>
        </w:rPr>
        <w:t>citation</w:t>
      </w:r>
      <w:r w:rsidR="0015780A">
        <w:rPr>
          <w:rStyle w:val="None"/>
        </w:rPr>
        <w:t xml:space="preserve"> formats</w:t>
      </w:r>
      <w:r w:rsidR="00E9398D" w:rsidRPr="00AA0453">
        <w:rPr>
          <w:rStyle w:val="None"/>
        </w:rPr>
        <w:t xml:space="preserve"> for law review</w:t>
      </w:r>
      <w:r w:rsidR="001A090A" w:rsidRPr="00AA0453">
        <w:rPr>
          <w:rStyle w:val="None"/>
        </w:rPr>
        <w:t xml:space="preserve"> articles </w:t>
      </w:r>
      <w:r w:rsidR="008F4442">
        <w:rPr>
          <w:rStyle w:val="None"/>
        </w:rPr>
        <w:t>is</w:t>
      </w:r>
      <w:r w:rsidR="00E9398D" w:rsidRPr="00AA0453">
        <w:rPr>
          <w:rStyle w:val="None"/>
        </w:rPr>
        <w:t xml:space="preserve"> outside the scope of </w:t>
      </w:r>
      <w:r w:rsidR="00E9398D" w:rsidRPr="00AA0453">
        <w:rPr>
          <w:rStyle w:val="None"/>
          <w:i/>
          <w:iCs/>
        </w:rPr>
        <w:t>The Indigo Book</w:t>
      </w:r>
      <w:r w:rsidR="00E9398D"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201E1D54" w:rsidR="00E9398D" w:rsidRPr="00AA0453" w:rsidRDefault="00E9398D" w:rsidP="00BD55C4">
      <w:pPr>
        <w:pStyle w:val="Rule"/>
        <w:rPr>
          <w:rStyle w:val="None"/>
          <w:rFonts w:eastAsia="Georgia" w:cs="Georgia"/>
        </w:rPr>
      </w:pPr>
      <w:r w:rsidRPr="00AA0453">
        <w:rPr>
          <w:rStyle w:val="None"/>
        </w:rPr>
        <w:t>In legal citations, italicize the following components, whether placed in footnotes or textual sentences:</w:t>
      </w:r>
    </w:p>
    <w:p w14:paraId="1F43666D" w14:textId="53527CFE" w:rsidR="00E9398D" w:rsidRPr="00AA0453" w:rsidRDefault="00E9398D" w:rsidP="00171F69">
      <w:pPr>
        <w:pStyle w:val="Rule"/>
        <w:numPr>
          <w:ilvl w:val="0"/>
          <w:numId w:val="100"/>
        </w:numPr>
      </w:pPr>
      <w:r w:rsidRPr="00AA0453">
        <w:rPr>
          <w:rStyle w:val="None"/>
        </w:rPr>
        <w:t>Case names—</w:t>
      </w:r>
      <w:r w:rsidR="006B6408">
        <w:rPr>
          <w:rStyle w:val="None"/>
        </w:rPr>
        <w:t>in both full and short citations</w:t>
      </w:r>
      <w:r w:rsidR="00105421" w:rsidRPr="00AA0453">
        <w:rPr>
          <w:rStyle w:val="None"/>
        </w:rPr>
        <w:t>—</w:t>
      </w:r>
      <w:r w:rsidR="00105421">
        <w:rPr>
          <w:rStyle w:val="None"/>
        </w:rPr>
        <w:t xml:space="preserve">and </w:t>
      </w:r>
      <w:r w:rsidRPr="00AA0453">
        <w:rPr>
          <w:rStyle w:val="None"/>
        </w:rPr>
        <w:t>procedural phrases (</w:t>
      </w:r>
      <w:r w:rsidR="00105421">
        <w:rPr>
          <w:rStyle w:val="None"/>
        </w:rPr>
        <w:t>such as</w:t>
      </w:r>
      <w:r w:rsidRPr="00AA0453">
        <w:rPr>
          <w:rStyle w:val="None"/>
        </w:rPr>
        <w:t> </w:t>
      </w:r>
      <w:r w:rsidRPr="00AA0453">
        <w:rPr>
          <w:rStyle w:val="None"/>
          <w:i/>
          <w:iCs/>
        </w:rPr>
        <w:t>In re</w:t>
      </w:r>
      <w:r w:rsidRPr="00AA0453">
        <w:rPr>
          <w:rStyle w:val="None"/>
        </w:rPr>
        <w:t> and </w:t>
      </w:r>
      <w:r w:rsidR="00AD3120">
        <w:rPr>
          <w:rStyle w:val="None"/>
          <w:i/>
          <w:iCs/>
        </w:rPr>
        <w:t>Ex parte</w:t>
      </w:r>
      <w:r w:rsidRPr="00AA0453">
        <w:rPr>
          <w:rStyle w:val="None"/>
        </w:rPr>
        <w:t xml:space="preserve">) </w:t>
      </w:r>
      <w:r w:rsidR="00AD3120">
        <w:rPr>
          <w:rStyle w:val="None"/>
        </w:rPr>
        <w:t>embedded in</w:t>
      </w:r>
      <w:r w:rsidRPr="00AA0453">
        <w:rPr>
          <w:rStyle w:val="None"/>
        </w:rPr>
        <w:t xml:space="preserve"> the case names</w:t>
      </w:r>
    </w:p>
    <w:p w14:paraId="77BD1C2A" w14:textId="77777777" w:rsidR="00E9398D" w:rsidRPr="00AA0453" w:rsidRDefault="00E9398D" w:rsidP="00171F69">
      <w:pPr>
        <w:pStyle w:val="Rule"/>
        <w:numPr>
          <w:ilvl w:val="0"/>
          <w:numId w:val="100"/>
        </w:numPr>
      </w:pPr>
      <w:r w:rsidRPr="00AA0453">
        <w:rPr>
          <w:rStyle w:val="None"/>
        </w:rPr>
        <w:t>Book titles</w:t>
      </w:r>
    </w:p>
    <w:p w14:paraId="2CEE7CC8" w14:textId="77777777" w:rsidR="00E9398D" w:rsidRPr="00AA0453" w:rsidRDefault="00E9398D" w:rsidP="00171F69">
      <w:pPr>
        <w:pStyle w:val="Rule"/>
        <w:numPr>
          <w:ilvl w:val="0"/>
          <w:numId w:val="100"/>
        </w:numPr>
      </w:pPr>
      <w:r w:rsidRPr="00AA0453">
        <w:rPr>
          <w:rStyle w:val="None"/>
        </w:rPr>
        <w:t>Article titles</w:t>
      </w:r>
    </w:p>
    <w:p w14:paraId="5435D281" w14:textId="77777777" w:rsidR="00E9398D" w:rsidRPr="00AA0453" w:rsidRDefault="00E9398D" w:rsidP="00171F69">
      <w:pPr>
        <w:pStyle w:val="Rule"/>
        <w:numPr>
          <w:ilvl w:val="0"/>
          <w:numId w:val="100"/>
        </w:numPr>
      </w:pPr>
      <w:r w:rsidRPr="00AA0453">
        <w:rPr>
          <w:rStyle w:val="None"/>
        </w:rPr>
        <w:t>Certain titles in legislative materials such as committee hearings</w:t>
      </w:r>
    </w:p>
    <w:p w14:paraId="2FD99481" w14:textId="77777777" w:rsidR="00E9398D" w:rsidRPr="00AA0453" w:rsidRDefault="00E9398D" w:rsidP="00171F69">
      <w:pPr>
        <w:pStyle w:val="Rule"/>
        <w:numPr>
          <w:ilvl w:val="0"/>
          <w:numId w:val="100"/>
        </w:numPr>
      </w:pPr>
      <w:r w:rsidRPr="00AA0453">
        <w:rPr>
          <w:rStyle w:val="None"/>
        </w:rPr>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171F69">
      <w:pPr>
        <w:pStyle w:val="Rule"/>
        <w:numPr>
          <w:ilvl w:val="0"/>
          <w:numId w:val="100"/>
        </w:numPr>
      </w:pPr>
      <w:r w:rsidRPr="00AA0453">
        <w:rPr>
          <w:rStyle w:val="None"/>
        </w:rPr>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171F69">
      <w:pPr>
        <w:pStyle w:val="Rule"/>
        <w:numPr>
          <w:ilvl w:val="0"/>
          <w:numId w:val="100"/>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171F69">
      <w:pPr>
        <w:pStyle w:val="Rule"/>
        <w:numPr>
          <w:ilvl w:val="0"/>
          <w:numId w:val="100"/>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171F69">
      <w:pPr>
        <w:pStyle w:val="Rule"/>
        <w:numPr>
          <w:ilvl w:val="0"/>
          <w:numId w:val="101"/>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171F69">
      <w:pPr>
        <w:pStyle w:val="Rule"/>
        <w:numPr>
          <w:ilvl w:val="0"/>
          <w:numId w:val="101"/>
        </w:numPr>
      </w:pPr>
      <w:r w:rsidRPr="00AA0453">
        <w:rPr>
          <w:rStyle w:val="None"/>
        </w:rPr>
        <w:t>Words that are italicized in the original quotation, with no need to add the parenthetical (emphasis in original); and</w:t>
      </w:r>
    </w:p>
    <w:p w14:paraId="3094FA13" w14:textId="77777777" w:rsidR="00E9398D" w:rsidRPr="00AA0453" w:rsidRDefault="00E9398D" w:rsidP="00171F69">
      <w:pPr>
        <w:pStyle w:val="Rule"/>
        <w:numPr>
          <w:ilvl w:val="0"/>
          <w:numId w:val="101"/>
        </w:numPr>
      </w:pPr>
      <w:r w:rsidRPr="00AA0453">
        <w:rPr>
          <w:rStyle w:val="None"/>
        </w:rPr>
        <w:t>All words that would be italicized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C404A6">
      <w:pPr>
        <w:pStyle w:val="InklingTitle"/>
        <w:rPr>
          <w:rStyle w:val="None"/>
        </w:rPr>
      </w:pPr>
      <w:r w:rsidRPr="00AA0453">
        <w:rPr>
          <w:rStyle w:val="None"/>
        </w:rPr>
        <w:t>Indigo Inkling</w:t>
      </w:r>
    </w:p>
    <w:p w14:paraId="2538AB33" w14:textId="77777777" w:rsidR="00C00D1F" w:rsidRDefault="00E9398D" w:rsidP="00C404A6">
      <w:pPr>
        <w:pStyle w:val="Inkling"/>
        <w:rPr>
          <w:rStyle w:val="None"/>
        </w:rPr>
      </w:pPr>
      <w:r w:rsidRPr="00C404A6">
        <w:rPr>
          <w:rStyle w:val="None"/>
        </w:rPr>
        <w:t>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w:t>
      </w:r>
      <w:r w:rsidR="007C771A">
        <w:rPr>
          <w:rStyle w:val="None"/>
        </w:rPr>
        <w:t xml:space="preserve">For an archaic look or where local court rules require, underlining </w:t>
      </w:r>
      <w:r w:rsidR="00C00D1F">
        <w:rPr>
          <w:rStyle w:val="None"/>
        </w:rPr>
        <w:t>is a good option. If you have a choice, we</w:t>
      </w:r>
      <w:r w:rsidRPr="00C404A6">
        <w:rPr>
          <w:rStyle w:val="None"/>
        </w:rPr>
        <w:t xml:space="preserve"> believe italics are easier to read and should be the preferred method. </w:t>
      </w:r>
    </w:p>
    <w:p w14:paraId="1E46501F" w14:textId="77777777" w:rsidR="00C00D1F" w:rsidRDefault="00C00D1F" w:rsidP="00C404A6">
      <w:pPr>
        <w:pStyle w:val="Inkling"/>
        <w:rPr>
          <w:rStyle w:val="None"/>
        </w:rPr>
      </w:pPr>
    </w:p>
    <w:p w14:paraId="58B9F762" w14:textId="415DB962" w:rsidR="00E9398D" w:rsidRPr="00C404A6" w:rsidRDefault="00C00D1F" w:rsidP="00C404A6">
      <w:pPr>
        <w:pStyle w:val="Inkling"/>
        <w:rPr>
          <w:rStyle w:val="None"/>
        </w:rPr>
      </w:pPr>
      <w:r>
        <w:rPr>
          <w:rStyle w:val="None"/>
        </w:rPr>
        <w:t>While we’re on the subject of formatting</w:t>
      </w:r>
      <w:r w:rsidR="006F7D53">
        <w:rPr>
          <w:rStyle w:val="None"/>
        </w:rPr>
        <w:t xml:space="preserve"> text, </w:t>
      </w:r>
      <w:r w:rsidR="00E9398D" w:rsidRPr="00C404A6">
        <w:rPr>
          <w:rStyle w:val="None"/>
        </w:rPr>
        <w:t>we also urge writers to format their quotations</w:t>
      </w:r>
      <w:r w:rsidR="006F7D53">
        <w:rPr>
          <w:rStyle w:val="None"/>
        </w:rPr>
        <w:t xml:space="preserve"> using all the benefits of modern word processing. Specifically, use well-formatted</w:t>
      </w:r>
      <w:r w:rsidR="00E9398D" w:rsidRPr="00C404A6">
        <w:rPr>
          <w:rStyle w:val="None"/>
        </w:rPr>
        <w:t xml:space="preserve"> “smart quotes” </w:t>
      </w:r>
      <w:r w:rsidR="00D765DF">
        <w:rPr>
          <w:rStyle w:val="None"/>
        </w:rPr>
        <w:t xml:space="preserve">(shown here) </w:t>
      </w:r>
      <w:r w:rsidR="00E9398D" w:rsidRPr="00C404A6">
        <w:rPr>
          <w:rStyle w:val="None"/>
        </w:rPr>
        <w:t xml:space="preserve">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For standard legal documents, in-text citations can be rendered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text;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1A919127" w:rsidR="00EA1B28" w:rsidRPr="00AA0453" w:rsidRDefault="00EA1B28" w:rsidP="00EA1B28">
      <w:pPr>
        <w:pStyle w:val="Heading4"/>
        <w:rPr>
          <w:rFonts w:ascii="Georgia" w:hAnsi="Georgia"/>
        </w:rPr>
      </w:pPr>
      <w:r w:rsidRPr="00AA0453">
        <w:rPr>
          <w:rFonts w:ascii="Georgia" w:hAnsi="Georgia"/>
        </w:rPr>
        <w:t xml:space="preserve">R3.2 </w:t>
      </w:r>
      <w:r w:rsidR="008D2016">
        <w:rPr>
          <w:rFonts w:ascii="Georgia" w:hAnsi="Georgia"/>
        </w:rPr>
        <w:tab/>
      </w:r>
      <w:r w:rsidRPr="00AA0453">
        <w:rPr>
          <w:rFonts w:ascii="Georgia" w:hAnsi="Georgia"/>
        </w:rPr>
        <w:t>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7777777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Miller Brothers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435EDE65" w:rsidR="00EA1B28" w:rsidRPr="00AA0453" w:rsidRDefault="00EA1B28" w:rsidP="00EA1B28">
      <w:pPr>
        <w:pStyle w:val="Rule"/>
        <w:rPr>
          <w:rStyle w:val="None"/>
        </w:rPr>
      </w:pPr>
      <w:r w:rsidRPr="00AA0453">
        <w:rPr>
          <w:rStyle w:val="None"/>
        </w:rPr>
        <w:t xml:space="preserve">Citations following sentences can be single citations or, when appropriate, several sequential citations separated by a semicolon (known as a “string citation”). These string citations can utilize citation signals consistent with </w:t>
      </w:r>
      <w:r w:rsidRPr="00104DAB">
        <w:rPr>
          <w:rStyle w:val="Rulereferencecharacterstyle"/>
        </w:rPr>
        <w:t xml:space="preserve">Rule </w:t>
      </w:r>
      <w:r w:rsidR="008D2016" w:rsidRPr="00104DAB">
        <w:rPr>
          <w:rStyle w:val="Rulereferencecharacterstyle"/>
        </w:rPr>
        <w:t>R</w:t>
      </w:r>
      <w:r w:rsidRPr="00104DAB">
        <w:rPr>
          <w:rStyle w:val="Rulereferencecharacterstyle"/>
        </w:rPr>
        <w:t>4</w:t>
      </w:r>
      <w:r w:rsidRPr="00AA0453">
        <w:rPr>
          <w:rStyle w:val="None"/>
        </w:rPr>
        <w:t xml:space="preserve">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77777777"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r w:rsidRPr="00AA0453">
        <w:rPr>
          <w:rStyle w:val="None"/>
          <w:i/>
          <w:iCs/>
        </w:rPr>
        <w:t>National Bellas Hess, Inc. v. Dep’t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r w:rsidRPr="00AA0453">
        <w:rPr>
          <w:rStyle w:val="None"/>
        </w:rPr>
        <w:t xml:space="preserve">Some citations in standard legal documents are placed as citation clauses within sentences. Use citation clauses to cite sources and authorities that relate to only a section of the sentence. A citation clause directly follows the claim it relates to. 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t>Separate citation clauses from the text with commas. Do not add additional capital letters beyond the required capitalization of the sources being cited.</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03ED8EF1" w:rsidR="00EA1B28" w:rsidRPr="00AA0453" w:rsidRDefault="00EA1B28" w:rsidP="00EA1B28">
      <w:pPr>
        <w:pStyle w:val="Example"/>
        <w:rPr>
          <w:rStyle w:val="None"/>
        </w:rPr>
      </w:pPr>
      <w:r w:rsidRPr="00AA0453">
        <w:rPr>
          <w:rStyle w:val="None"/>
        </w:rPr>
        <w:t xml:space="preserve">Federal law </w:t>
      </w:r>
      <w:r w:rsidR="00814AA1">
        <w:rPr>
          <w:rStyle w:val="None"/>
        </w:rPr>
        <w:t>attempts to address</w:t>
      </w:r>
      <w:r w:rsidRPr="00AA0453">
        <w:rPr>
          <w:rStyle w:val="None"/>
        </w:rPr>
        <w:t xml:space="preserve"> online privacy generally, 18 U.S.C. §§ 2510-2523, and children’s privacy specifically, 15 U.S.C. §§ 6501-6505.</w:t>
      </w:r>
    </w:p>
    <w:p w14:paraId="5FB138E3" w14:textId="1AE0E680"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w:t>
      </w:r>
      <w:r w:rsidR="00814AA1">
        <w:rPr>
          <w:rStyle w:val="None"/>
        </w:rPr>
        <w:t>pt.</w:t>
      </w:r>
      <w:r w:rsidRPr="00AA0453">
        <w:rPr>
          <w:rStyle w:val="None"/>
        </w:rPr>
        <w:t xml:space="preserve">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Citations can be embedded into the grammatical structure of a textual sentence in a variety of ways.</w:t>
      </w:r>
      <w:r w:rsidRPr="00AA0453">
        <w:rPr>
          <w:rStyle w:val="None"/>
          <w:lang w:val="en-US"/>
        </w:rPr>
        <w:t xml:space="preserve"> </w:t>
      </w:r>
      <w:r w:rsidRPr="00AA0453">
        <w:rPr>
          <w:rStyle w:val="None"/>
          <w:rFonts w:ascii="Georgia" w:hAnsi="Georgia"/>
          <w:lang w:val="en-US"/>
        </w:rPr>
        <w:t>Because citations embedded in sentences are read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be grounded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the Court first eschewed the idea that a constitutional right could be grounded in “the practical opportunities for tax avoidance.” 312 U.S. 359, 366 (1941),</w:t>
      </w:r>
    </w:p>
    <w:p w14:paraId="52153C54"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(COPPA) was the first federal law specifically protecting children under the age of 13.</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been integrated into the main body text. These citations may be placed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r w:rsidRPr="00AA0453">
        <w:rPr>
          <w:rStyle w:val="None"/>
          <w:lang w:val="en-US"/>
        </w:rPr>
        <w:t>Some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be accomplished with style and grace. The Indigo Book provides citation rules that can be used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785CEE4C" w:rsidR="00135932" w:rsidRPr="00AA0453" w:rsidRDefault="00104DAB" w:rsidP="00EA1B28">
      <w:pPr>
        <w:pStyle w:val="Inkling"/>
        <w:rPr>
          <w:lang w:val="en-US"/>
        </w:rPr>
      </w:pPr>
      <w:r>
        <w:rPr>
          <w:rStyle w:val="None"/>
          <w:lang w:val="en-US"/>
        </w:rPr>
        <w:t>The original edition of</w:t>
      </w:r>
      <w:r w:rsidR="00EA1B28" w:rsidRPr="00AA0453">
        <w:rPr>
          <w:rStyle w:val="None"/>
          <w:lang w:val="en-US"/>
        </w:rPr>
        <w:t xml:space="preserve"> </w:t>
      </w:r>
      <w:r w:rsidR="00EA1B28" w:rsidRPr="00104DAB">
        <w:rPr>
          <w:rStyle w:val="None"/>
          <w:i/>
          <w:iCs/>
          <w:lang w:val="en-US"/>
        </w:rPr>
        <w:t>The Indigo Book</w:t>
      </w:r>
      <w:r w:rsidR="00EA1B28" w:rsidRPr="00AA0453">
        <w:rPr>
          <w:rStyle w:val="None"/>
          <w:lang w:val="en-US"/>
        </w:rPr>
        <w:t xml:space="preserve"> advised writers</w:t>
      </w:r>
      <w:r>
        <w:rPr>
          <w:rStyle w:val="None"/>
          <w:lang w:val="en-US"/>
        </w:rPr>
        <w:t xml:space="preserve"> to use footnotes only </w:t>
      </w:r>
      <w:r w:rsidR="00EA1B28" w:rsidRPr="00AA0453">
        <w:rPr>
          <w:rStyle w:val="None"/>
          <w:lang w:val="en-US"/>
        </w:rPr>
        <w:t xml:space="preserve">when allowed by a court’s local rules. This remains good advice, although we note that some writers use footnotes when not expressly prohibited by a court’s local rules. </w:t>
      </w:r>
      <w:r w:rsidR="00EA1B28" w:rsidRPr="00104DAB">
        <w:rPr>
          <w:rStyle w:val="Rulereferencecharacterstyle"/>
        </w:rPr>
        <w:t xml:space="preserve">Rule </w:t>
      </w:r>
      <w:r w:rsidR="00D20719" w:rsidRPr="00104DAB">
        <w:rPr>
          <w:rStyle w:val="Rulereferencecharacterstyle"/>
        </w:rPr>
        <w:t>R</w:t>
      </w:r>
      <w:r w:rsidR="00EA1B28" w:rsidRPr="00104DAB">
        <w:rPr>
          <w:rStyle w:val="Rulereferencecharacterstyle"/>
        </w:rPr>
        <w:t>3</w:t>
      </w:r>
      <w:r w:rsidR="00EA1B28" w:rsidRPr="00AA0453">
        <w:rPr>
          <w:rStyle w:val="None"/>
          <w:lang w:val="en-US"/>
        </w:rPr>
        <w:t xml:space="preserve"> has been modified to </w:t>
      </w:r>
      <w:r>
        <w:rPr>
          <w:rStyle w:val="None"/>
          <w:lang w:val="en-US"/>
        </w:rPr>
        <w:t xml:space="preserve">more </w:t>
      </w:r>
      <w:r w:rsidR="00EA1B28" w:rsidRPr="00AA0453">
        <w:rPr>
          <w:rStyle w:val="None"/>
          <w:lang w:val="en-US"/>
        </w:rPr>
        <w:t>fully accommodate the writer’s discretion. As with many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5AFEB6D6" w:rsidR="00E9398D" w:rsidRPr="00AA0453" w:rsidRDefault="00E9398D" w:rsidP="005B425F">
      <w:pPr>
        <w:pStyle w:val="Rule"/>
        <w:rPr>
          <w:rStyle w:val="None"/>
        </w:rPr>
      </w:pPr>
      <w:r w:rsidRPr="00AA0453">
        <w:rPr>
          <w:rStyle w:val="None"/>
        </w:rPr>
        <w:t>A signal</w:t>
      </w:r>
      <w:r w:rsidR="00AA3BEE">
        <w:rPr>
          <w:rStyle w:val="None"/>
        </w:rPr>
        <w:t xml:space="preserve"> represents </w:t>
      </w:r>
      <w:r w:rsidRPr="00AA0453">
        <w:rPr>
          <w:rStyle w:val="None"/>
        </w:rPr>
        <w:t xml:space="preserve">the relationship between the author’s </w:t>
      </w:r>
      <w:r w:rsidR="00EB6A8F">
        <w:rPr>
          <w:rStyle w:val="None"/>
        </w:rPr>
        <w:t>assertion</w:t>
      </w:r>
      <w:r w:rsidRPr="00AA0453">
        <w:rPr>
          <w:rStyle w:val="None"/>
        </w:rPr>
        <w:t xml:space="preserve"> and the source or sources cited following that </w:t>
      </w:r>
      <w:r w:rsidR="00EB6A8F">
        <w:rPr>
          <w:rStyle w:val="None"/>
        </w:rPr>
        <w:t>assertion</w:t>
      </w:r>
      <w:r w:rsidR="00081E3F">
        <w:rPr>
          <w:rStyle w:val="None"/>
        </w:rPr>
        <w:t xml:space="preserve">, a relationship that can run the gamut from supporting it directly to supporting the exact opposite </w:t>
      </w:r>
      <w:r w:rsidR="005B425F">
        <w:rPr>
          <w:rStyle w:val="None"/>
        </w:rPr>
        <w:t>of that assertion</w:t>
      </w:r>
      <w:r w:rsidRPr="00AA0453">
        <w:rPr>
          <w:rStyle w:val="None"/>
        </w:rPr>
        <w:t xml:space="preserve">. </w:t>
      </w:r>
      <w:r w:rsidR="005B425F">
        <w:rPr>
          <w:rStyle w:val="None"/>
        </w:rPr>
        <w:t>To show this relationship, the</w:t>
      </w:r>
      <w:r w:rsidRPr="00AA0453">
        <w:rPr>
          <w:rStyle w:val="None"/>
        </w:rPr>
        <w:t xml:space="preserv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7D52D32F" w14:textId="53DD8855" w:rsidR="00756AF5" w:rsidRPr="00AA0453" w:rsidRDefault="00E9398D" w:rsidP="005B425F">
      <w:pPr>
        <w:pStyle w:val="Rule"/>
        <w:rPr>
          <w:rStyle w:val="None"/>
        </w:rPr>
      </w:pPr>
      <w:r w:rsidRPr="00AA0453">
        <w:rPr>
          <w:rStyle w:val="None"/>
        </w:rPr>
        <w:t xml:space="preserve">There are four basic categories of </w:t>
      </w:r>
      <w:r w:rsidR="00FA58FE" w:rsidRPr="00AA0453">
        <w:rPr>
          <w:rStyle w:val="None"/>
        </w:rPr>
        <w:t>signals:</w:t>
      </w: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063"/>
        <w:gridCol w:w="7297"/>
      </w:tblGrid>
      <w:tr w:rsidR="00756AF5" w:rsidRPr="00AA0453" w14:paraId="1DE5A8AB" w14:textId="77777777" w:rsidTr="0076548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2025B39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Compare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with </w:t>
            </w:r>
            <w:r w:rsidRPr="00AA0453">
              <w:rPr>
                <w:rFonts w:ascii="Monaco" w:hAnsi="Monaco"/>
                <w:color w:val="4B0082"/>
                <w:sz w:val="20"/>
                <w:szCs w:val="20"/>
              </w:rPr>
              <w:t>&lt;citation to source(s), separated with “and” if multiple&gt;</w:t>
            </w:r>
          </w:p>
        </w:tc>
      </w:tr>
      <w:tr w:rsidR="00756AF5" w:rsidRPr="00AA0453" w14:paraId="7449E387"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is used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is provided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In citation sentences, signals in the same category are listed within a single sentence, and each one is marked off by semicolons. Signals in separate categories, however, are listed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3200A783"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 xml:space="preserve">In citation clauses, all signals </w:t>
      </w:r>
      <w:r w:rsidR="009C2CE5">
        <w:rPr>
          <w:rStyle w:val="None"/>
          <w:rFonts w:ascii="Georgia" w:hAnsi="Georgia"/>
          <w:lang w:val="en-US"/>
        </w:rPr>
        <w:t xml:space="preserve">(regardless of category) </w:t>
      </w:r>
      <w:r w:rsidRPr="00AA0453">
        <w:rPr>
          <w:rStyle w:val="None"/>
          <w:rFonts w:ascii="Georgia" w:hAnsi="Georgia"/>
          <w:lang w:val="en-US"/>
        </w:rPr>
        <w:t>are listed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569 U.S. 435, 481 (2013) (Scalia, J., dissenting) (“Solving unsolved crimes is a noble objective, but it occupies a lower place in the American pantheon of noble objectives than the protection of our people from suspicionless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t>Indigo Inkling</w:t>
      </w:r>
    </w:p>
    <w:p w14:paraId="08CB5A71" w14:textId="7A8A46F9"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Judge Ruggero J. Aldisert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Aldisert in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several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22A8BC27" w:rsidR="00E9398D" w:rsidRDefault="009B54E2" w:rsidP="009B54E2">
      <w:pPr>
        <w:pStyle w:val="Inkling"/>
        <w:rPr>
          <w:rStyle w:val="None"/>
          <w:lang w:val="en-US"/>
        </w:rPr>
      </w:pPr>
      <w:r w:rsidRPr="00AA0453">
        <w:rPr>
          <w:rStyle w:val="None"/>
          <w:lang w:val="en-US"/>
        </w:rPr>
        <w:t>When a string citation is appropriate, the writer must decide how to order the authorities in the string. In relatively recent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constitutions before statutes, state statutes in alphabetical order by state, federal cases before state cases, legislative materials before regulatory materials,</w:t>
      </w:r>
      <w:r w:rsidR="0032065F">
        <w:rPr>
          <w:rStyle w:val="None"/>
          <w:lang w:val="en-US"/>
        </w:rPr>
        <w:t xml:space="preserve"> and</w:t>
      </w:r>
      <w:r w:rsidR="00D20719" w:rsidRPr="00AA0453">
        <w:rPr>
          <w:rStyle w:val="None"/>
          <w:lang w:val="en-US"/>
        </w:rPr>
        <w:t xml:space="preserve"> all other primary material</w:t>
      </w:r>
      <w:r w:rsidR="0032065F">
        <w:rPr>
          <w:rStyle w:val="None"/>
          <w:lang w:val="en-US"/>
        </w:rPr>
        <w:t>s, then followed by secondary materials</w:t>
      </w:r>
      <w:r w:rsidR="00D20719" w:rsidRPr="00AA0453">
        <w:rPr>
          <w:rStyle w:val="None"/>
          <w:lang w:val="en-US"/>
        </w:rPr>
        <w:t xml:space="preserve">. See </w:t>
      </w:r>
      <w:r w:rsidR="00D20719" w:rsidRPr="00AA0453">
        <w:rPr>
          <w:rStyle w:val="None"/>
          <w:i/>
          <w:iCs/>
          <w:lang w:val="en-US"/>
        </w:rPr>
        <w:t xml:space="preserve">The Indigo Book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w:t>
      </w:r>
      <w:r w:rsidR="00DD7A0D">
        <w:rPr>
          <w:rStyle w:val="None"/>
          <w:lang w:val="en-US"/>
        </w:rPr>
        <w:t>it seems unwise to cite</w:t>
      </w:r>
      <w:r w:rsidR="00D20719" w:rsidRPr="00AA0453">
        <w:rPr>
          <w:rStyle w:val="None"/>
          <w:lang w:val="en-US"/>
        </w:rPr>
        <w:t xml:space="preserv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a few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Signals that start citation sentences</w:t>
      </w:r>
    </w:p>
    <w:p w14:paraId="59F769AC" w14:textId="77777777" w:rsidR="00E9398D" w:rsidRPr="00AA0453" w:rsidRDefault="00E9398D" w:rsidP="00EA1B28">
      <w:pPr>
        <w:pStyle w:val="Rule"/>
        <w:rPr>
          <w:rStyle w:val="None"/>
          <w:rFonts w:eastAsia="Georgia" w:cs="Georgia"/>
        </w:rPr>
      </w:pPr>
      <w:r w:rsidRPr="00AA0453">
        <w:rPr>
          <w:rStyle w:val="None"/>
        </w:rPr>
        <w:t>The signal is capitalized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See Nix v. Heden</w:t>
      </w:r>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The signal is left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Nix v. Heden</w:t>
      </w:r>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2DCB36C2" w:rsidR="00E9398D" w:rsidRPr="00AA0453" w:rsidRDefault="00E9398D" w:rsidP="00171F69">
      <w:pPr>
        <w:pStyle w:val="Rule"/>
        <w:numPr>
          <w:ilvl w:val="0"/>
          <w:numId w:val="104"/>
        </w:numPr>
        <w:rPr>
          <w:rStyle w:val="None"/>
        </w:rPr>
      </w:pPr>
      <w:r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742F9CFB" w:rsidR="00E9398D" w:rsidRPr="00AA0453" w:rsidRDefault="00E9398D" w:rsidP="00171F69">
      <w:pPr>
        <w:pStyle w:val="Rule"/>
        <w:numPr>
          <w:ilvl w:val="0"/>
          <w:numId w:val="104"/>
        </w:numPr>
        <w:rPr>
          <w:rStyle w:val="None"/>
          <w:rFonts w:eastAsia="Georgia" w:cs="Georgia"/>
        </w:rPr>
      </w:pPr>
      <w:r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States are prohibited from “inflicting the penalty of death upon a prisoner who is insane.” </w:t>
      </w:r>
      <w:r w:rsidRPr="00AA0453">
        <w:rPr>
          <w:rStyle w:val="None"/>
          <w:i/>
          <w:iCs/>
        </w:rPr>
        <w:t>Ford v. Wainwright</w:t>
      </w:r>
      <w:r w:rsidRPr="00AA0453">
        <w:rPr>
          <w:rStyle w:val="None"/>
        </w:rPr>
        <w:t>, 477 U.S. 399, 410 (1986).</w:t>
      </w:r>
    </w:p>
    <w:p w14:paraId="2FB44911" w14:textId="1DDEDF5B" w:rsidR="00E9398D" w:rsidRPr="00AA0453" w:rsidRDefault="00E9398D" w:rsidP="00171F69">
      <w:pPr>
        <w:pStyle w:val="Rule"/>
        <w:numPr>
          <w:ilvl w:val="0"/>
          <w:numId w:val="104"/>
        </w:numPr>
        <w:rPr>
          <w:rStyle w:val="None"/>
        </w:rPr>
      </w:pPr>
      <w:r w:rsidRPr="00AA0453">
        <w:rPr>
          <w:rStyle w:val="None"/>
        </w:rPr>
        <w:t>The source is referred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the Supreme Court has established certain classes of individuals upon which the death penalty may not be imposed.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many sources the author finds to be helpful. Note that the comma in the signal </w:t>
      </w:r>
      <w:r w:rsidRPr="00AA0453">
        <w:rPr>
          <w:rStyle w:val="None"/>
          <w:i/>
          <w:iCs/>
        </w:rPr>
        <w:t>e.g.</w:t>
      </w:r>
      <w:r w:rsidRPr="00AA0453">
        <w:rPr>
          <w:rStyle w:val="None"/>
        </w:rPr>
        <w:t>, should not be italicized.</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70DFEC5C"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814AA1">
        <w:rPr>
          <w:rStyle w:val="None"/>
        </w:rPr>
        <w:t>,</w:t>
      </w:r>
      <w:r w:rsidRPr="00AA0453">
        <w:rPr>
          <w:rStyle w:val="None"/>
        </w:rPr>
        <w:t> </w:t>
      </w:r>
      <w:r w:rsidRPr="00AA0453">
        <w:rPr>
          <w:rStyle w:val="None"/>
          <w:i/>
          <w:iCs/>
        </w:rPr>
        <w:t>State v. Purrier</w:t>
      </w:r>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573 U.S. 373 (2014), several circuits had generally allowed the police to conduct warrantless searches of cell phones of individuals under arrest. </w:t>
      </w:r>
      <w:r w:rsidRPr="00AA0453">
        <w:rPr>
          <w:rStyle w:val="None"/>
          <w:i/>
          <w:iCs/>
        </w:rPr>
        <w:t>E.g.</w:t>
      </w:r>
      <w:r w:rsidRPr="00AA0453">
        <w:rPr>
          <w:rStyle w:val="None"/>
        </w:rPr>
        <w:t>, </w:t>
      </w:r>
      <w:r w:rsidRPr="00AA0453">
        <w:rPr>
          <w:rStyle w:val="None"/>
          <w:i/>
          <w:iCs/>
        </w:rPr>
        <w:t>U.S. 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567EC389"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be used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r w:rsidRPr="00AA0453">
        <w:rPr>
          <w:rStyle w:val="None"/>
        </w:rPr>
        <w:t>is used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may be used as the introductory signal for indicating that the law of one jurisdiction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2EC00912"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ch.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is used when an authority does not directly state but clearly supports the proposition. </w:t>
      </w:r>
      <w:r w:rsidRPr="00AA0453">
        <w:rPr>
          <w:rStyle w:val="None"/>
          <w:i/>
          <w:iCs/>
        </w:rPr>
        <w:t>See </w:t>
      </w:r>
      <w:r w:rsidRPr="00AA0453">
        <w:rPr>
          <w:rStyle w:val="None"/>
        </w:rPr>
        <w:t>is used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0719BEA9"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See also</w:t>
      </w:r>
    </w:p>
    <w:p w14:paraId="4A8D7174" w14:textId="0ADD8DF0"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xml:space="preserve"> is used for additional sources that support </w:t>
      </w:r>
      <w:r w:rsidR="00E030BE">
        <w:rPr>
          <w:rStyle w:val="None"/>
        </w:rPr>
        <w:t>an assertion</w:t>
      </w:r>
      <w:r w:rsidRPr="00AA0453">
        <w:rPr>
          <w:rStyle w:val="None"/>
        </w:rPr>
        <w:t>. Use </w:t>
      </w:r>
      <w:r w:rsidRPr="00AA0453">
        <w:rPr>
          <w:rStyle w:val="None"/>
          <w:i/>
          <w:iCs/>
        </w:rPr>
        <w:t>see also</w:t>
      </w:r>
      <w:r w:rsidRPr="00AA0453">
        <w:rPr>
          <w:rStyle w:val="None"/>
        </w:rPr>
        <w:t xml:space="preserve"> when authority that states or clearly supports the </w:t>
      </w:r>
      <w:r w:rsidR="00E030BE">
        <w:rPr>
          <w:rStyle w:val="None"/>
        </w:rPr>
        <w:t>assertion</w:t>
      </w:r>
      <w:r w:rsidRPr="00AA0453">
        <w:rPr>
          <w:rStyle w:val="None"/>
        </w:rPr>
        <w:t xml:space="preserve"> has already been cited or discussed. The use of a parenthetical is recommended </w:t>
      </w:r>
      <w:r w:rsidR="00E030BE">
        <w:rPr>
          <w:rStyle w:val="None"/>
        </w:rPr>
        <w:t>with</w:t>
      </w:r>
      <w:r w:rsidRPr="00AA0453">
        <w:rPr>
          <w:rStyle w:val="None"/>
        </w:rPr>
        <w:t>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75FC5A8C" w:rsidR="00E9398D" w:rsidRPr="00AA0453" w:rsidRDefault="00E9398D" w:rsidP="00EA1B28">
      <w:pPr>
        <w:pStyle w:val="Example"/>
        <w:ind w:left="1440"/>
        <w:rPr>
          <w:rStyle w:val="None"/>
          <w:rFonts w:eastAsia="Georgia" w:cs="Georgia"/>
        </w:rPr>
      </w:pPr>
      <w:r w:rsidRPr="00AA0453">
        <w:rPr>
          <w:rStyle w:val="None"/>
        </w:rPr>
        <w:t xml:space="preserve">Slayer statutes prevent killers from reaping rewards from committing homicide. </w:t>
      </w:r>
      <w:r w:rsidRPr="00AA0453">
        <w:rPr>
          <w:rStyle w:val="None"/>
          <w:i/>
          <w:iCs/>
        </w:rPr>
        <w:t>Lunsford v. Western States Life Ins.</w:t>
      </w:r>
      <w:r w:rsidRPr="00AA0453">
        <w:rPr>
          <w:rStyle w:val="None"/>
        </w:rPr>
        <w:t xml:space="preserve">, 908 P.2d 79, 83 (Colo. 1995);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676FDEC2" w:rsidR="00E9398D" w:rsidRPr="00AA0453" w:rsidRDefault="00E9398D" w:rsidP="00EA1B28">
      <w:pPr>
        <w:pStyle w:val="Rule"/>
        <w:rPr>
          <w:rStyle w:val="None"/>
          <w:rFonts w:eastAsia="Georgia" w:cs="Georgia"/>
        </w:rPr>
      </w:pPr>
      <w:r w:rsidRPr="00AA0453">
        <w:rPr>
          <w:rStyle w:val="None"/>
          <w:i/>
          <w:iCs/>
        </w:rPr>
        <w:t>Cf.</w:t>
      </w:r>
      <w:r w:rsidRPr="00AA0453">
        <w:rPr>
          <w:rStyle w:val="None"/>
        </w:rPr>
        <w:t> </w:t>
      </w:r>
      <w:r w:rsidR="00E030BE">
        <w:rPr>
          <w:rStyle w:val="None"/>
        </w:rPr>
        <w:t xml:space="preserve">indicates </w:t>
      </w:r>
      <w:r w:rsidR="00B5047B">
        <w:rPr>
          <w:rStyle w:val="None"/>
        </w:rPr>
        <w:t xml:space="preserve">support by analogy to </w:t>
      </w:r>
      <w:r w:rsidR="00E030BE">
        <w:rPr>
          <w:rStyle w:val="None"/>
        </w:rPr>
        <w:t xml:space="preserve">the assertion. It may also be used </w:t>
      </w:r>
      <w:r w:rsidR="00B5047B">
        <w:rPr>
          <w:rStyle w:val="None"/>
        </w:rPr>
        <w:t>where the source is</w:t>
      </w:r>
      <w:r w:rsidR="00E030BE">
        <w:rPr>
          <w:rStyle w:val="None"/>
        </w:rPr>
        <w:t xml:space="preserve"> </w:t>
      </w:r>
      <w:r w:rsidRPr="00AA0453">
        <w:rPr>
          <w:rStyle w:val="None"/>
        </w:rPr>
        <w:t xml:space="preserve">related but requires some interpretive work to connect to </w:t>
      </w:r>
      <w:r w:rsidR="00B5047B">
        <w:rPr>
          <w:rStyle w:val="None"/>
        </w:rPr>
        <w:t>the assertion</w:t>
      </w:r>
      <w:r w:rsidRPr="00AA0453">
        <w:rPr>
          <w:rStyle w:val="None"/>
        </w:rPr>
        <w:t>.</w:t>
      </w:r>
      <w:r w:rsidR="00B5047B">
        <w:rPr>
          <w:rStyle w:val="None"/>
        </w:rPr>
        <w:t xml:space="preserve"> </w:t>
      </w:r>
      <w:r w:rsidR="00B5047B">
        <w:rPr>
          <w:rStyle w:val="None"/>
          <w:i/>
          <w:iCs/>
        </w:rPr>
        <w:t>Cf.</w:t>
      </w:r>
      <w:r w:rsidR="00B5047B">
        <w:rPr>
          <w:rStyle w:val="None"/>
        </w:rPr>
        <w:t xml:space="preserve"> may also be used within a string cit</w:t>
      </w:r>
      <w:r w:rsidR="00B817EC">
        <w:rPr>
          <w:rStyle w:val="None"/>
        </w:rPr>
        <w:t>ation</w:t>
      </w:r>
      <w:r w:rsidR="00B5047B">
        <w:rPr>
          <w:rStyle w:val="None"/>
        </w:rPr>
        <w:t xml:space="preserve"> to </w:t>
      </w:r>
      <w:r w:rsidR="00B817EC">
        <w:rPr>
          <w:rStyle w:val="None"/>
        </w:rPr>
        <w:t>provide another source that is analogous to the previously cited source in that string.</w:t>
      </w:r>
      <w:r w:rsidRPr="00AA0453">
        <w:rPr>
          <w:rStyle w:val="None"/>
        </w:rPr>
        <w:t xml:space="preserve"> Always use a parenthetical with </w:t>
      </w:r>
      <w:r w:rsidRPr="00AA0453">
        <w:rPr>
          <w:rStyle w:val="None"/>
          <w:i/>
          <w:iCs/>
        </w:rPr>
        <w:t>cf.</w:t>
      </w:r>
      <w:r w:rsidRPr="00AA0453">
        <w:rPr>
          <w:rStyle w:val="None"/>
        </w:rPr>
        <w:t> to explain the logical connection required for the argument.</w:t>
      </w:r>
    </w:p>
    <w:p w14:paraId="74B9E6F9" w14:textId="49C197DC"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00B817EC">
        <w:rPr>
          <w:rStyle w:val="None"/>
          <w:b/>
          <w:bCs/>
        </w:rPr>
        <w:t>s</w:t>
      </w:r>
      <w:r w:rsidRPr="00AA0453">
        <w:rPr>
          <w:rStyle w:val="None"/>
          <w:b/>
          <w:bCs/>
        </w:rPr>
        <w:t>:</w:t>
      </w:r>
      <w:r w:rsidRPr="00AA0453">
        <w:rPr>
          <w:rStyle w:val="None"/>
        </w:rPr>
        <w:t> </w:t>
      </w:r>
      <w:r w:rsidR="009D0752" w:rsidRPr="00AA0453">
        <w:rPr>
          <w:rStyle w:val="None"/>
          <w:rFonts w:eastAsia="Georgia" w:cs="Georgia"/>
          <w:color w:val="373739"/>
          <w:u w:color="373739"/>
          <w:shd w:val="clear" w:color="auto" w:fill="FFFFFF"/>
        </w:rPr>
        <w:t xml:space="preserve"> </w:t>
      </w:r>
    </w:p>
    <w:p w14:paraId="3EA13D12" w14:textId="137DD3C4" w:rsidR="00B817EC" w:rsidRPr="00B44756" w:rsidRDefault="009D0752" w:rsidP="00B4475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3, </w:t>
      </w:r>
      <w:r w:rsidR="007A0482">
        <w:rPr>
          <w:rStyle w:val="None"/>
          <w:rFonts w:eastAsia="Georgia" w:cs="Georgia"/>
          <w:color w:val="373739"/>
          <w:u w:color="373739"/>
          <w:shd w:val="clear" w:color="auto" w:fill="FFFFFF"/>
        </w:rPr>
        <w:t>that duty</w:t>
      </w:r>
      <w:r w:rsidRPr="00AA0453">
        <w:rPr>
          <w:rStyle w:val="None"/>
          <w:rFonts w:eastAsia="Georgia" w:cs="Georgia"/>
          <w:color w:val="373739"/>
          <w:u w:color="373739"/>
          <w:shd w:val="clear" w:color="auto" w:fill="FFFFFF"/>
        </w:rPr>
        <w:t xml:space="preserve"> </w:t>
      </w:r>
      <w:r w:rsidR="007A0482">
        <w:rPr>
          <w:rStyle w:val="None"/>
          <w:rFonts w:eastAsia="Georgia" w:cs="Georgia"/>
          <w:color w:val="373739"/>
          <w:u w:color="373739"/>
          <w:shd w:val="clear" w:color="auto" w:fill="FFFFFF"/>
        </w:rPr>
        <w:t>may be</w:t>
      </w:r>
      <w:r w:rsidRPr="00AA0453">
        <w:rPr>
          <w:rStyle w:val="None"/>
          <w:rFonts w:eastAsia="Georgia" w:cs="Georgia"/>
          <w:color w:val="373739"/>
          <w:u w:color="373739"/>
          <w:shd w:val="clear" w:color="auto" w:fill="FFFFFF"/>
        </w:rPr>
        <w:t xml:space="preserve">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2016-Ohio-4559, 70 N.E.3d 478 (holding that Good Samaritan law protects from liability anyone giving medical or nonmedical emergency aid, not only healthcare workers providing medical aid).</w:t>
      </w:r>
    </w:p>
    <w:p w14:paraId="4AB0AD96" w14:textId="047416A7" w:rsidR="00B817EC" w:rsidRPr="00AA0453" w:rsidRDefault="00B817EC" w:rsidP="00B817EC">
      <w:pPr>
        <w:pStyle w:val="Example"/>
        <w:ind w:left="1440"/>
        <w:rPr>
          <w:rStyle w:val="None"/>
        </w:rPr>
      </w:pPr>
      <w:r w:rsidRPr="00AA0453">
        <w:rPr>
          <w:rStyle w:val="None"/>
        </w:rPr>
        <w:t xml:space="preserve">Slayer statutes seek to eliminate any financial incentive to commit murder by prohibiting insurance proceeds to the killer. </w:t>
      </w:r>
      <w:r w:rsidR="00B44756">
        <w:rPr>
          <w:rStyle w:val="None"/>
          <w:i/>
          <w:iCs/>
        </w:rPr>
        <w:t>E.g.</w:t>
      </w:r>
      <w:r w:rsidR="00B44756">
        <w:rPr>
          <w:rStyle w:val="None"/>
        </w:rPr>
        <w:t xml:space="preserve">, </w:t>
      </w:r>
      <w:r w:rsidRPr="00AA0453">
        <w:rPr>
          <w:rStyle w:val="None"/>
        </w:rPr>
        <w:t xml:space="preserve">Unif. Prob. Code § 2-803; </w:t>
      </w:r>
      <w:r w:rsidRPr="007A0482">
        <w:rPr>
          <w:rStyle w:val="None"/>
          <w:i/>
          <w:iCs/>
        </w:rPr>
        <w:t>cf.</w:t>
      </w:r>
      <w:r w:rsidRPr="00AA0453">
        <w:rPr>
          <w:rStyle w:val="None"/>
        </w:rPr>
        <w:t xml:space="preserve"> N.Y. Exec. Law § 632-a (2020) (seizing profits from publications by certain incarcerated felons).</w:t>
      </w:r>
    </w:p>
    <w:p w14:paraId="479FD761" w14:textId="77777777" w:rsidR="00B817EC" w:rsidRPr="00AA0453" w:rsidRDefault="00B817EC"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See generally</w:t>
      </w:r>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See generally</w:t>
      </w:r>
      <w:r w:rsidRPr="00AA0453">
        <w:rPr>
          <w:rStyle w:val="None"/>
          <w:rFonts w:ascii="Georgia" w:hAnsi="Georgia"/>
          <w:lang w:val="en-US"/>
        </w:rPr>
        <w:t> is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in order to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5E273824" w:rsidR="00E9398D" w:rsidRDefault="00E9398D" w:rsidP="00124906">
      <w:pPr>
        <w:pStyle w:val="Example"/>
        <w:ind w:left="1440"/>
        <w:rPr>
          <w:rStyle w:val="None"/>
          <w:color w:val="212121"/>
          <w:u w:color="212121"/>
          <w:shd w:val="clear" w:color="auto" w:fill="FFFFFF"/>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generally </w:t>
      </w:r>
      <w:r w:rsidRPr="00AA0453">
        <w:rPr>
          <w:rStyle w:val="None"/>
          <w:color w:val="373739"/>
          <w:u w:color="373739"/>
          <w:shd w:val="clear" w:color="auto" w:fill="FFFFFF"/>
        </w:rPr>
        <w:t>Restatement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21A1B737" w14:textId="77777777" w:rsidR="00133152" w:rsidRPr="00AA0453" w:rsidRDefault="00133152" w:rsidP="00124906">
      <w:pPr>
        <w:pStyle w:val="Example"/>
        <w:ind w:left="1440"/>
        <w:rPr>
          <w:rStyle w:val="None"/>
          <w:rFonts w:eastAsia="Georgia" w:cs="Georgia"/>
        </w:rPr>
      </w:pPr>
    </w:p>
    <w:p w14:paraId="1B1A118F" w14:textId="0924112E" w:rsidR="00DD7388" w:rsidRPr="00ED04F0" w:rsidRDefault="00E9398D" w:rsidP="00ED04F0">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C621C6">
        <w:rPr>
          <w:rStyle w:val="None"/>
          <w:rFonts w:ascii="Georgia" w:hAnsi="Georgia"/>
        </w:rPr>
        <w:tab/>
      </w:r>
      <w:r w:rsidR="00DD7388" w:rsidRPr="00AA0453">
        <w:rPr>
          <w:rStyle w:val="None"/>
          <w:rFonts w:ascii="Georgia" w:hAnsi="Georgia"/>
        </w:rPr>
        <w:t xml:space="preserve">Signal </w:t>
      </w:r>
      <w:r w:rsidRPr="00AA0453">
        <w:rPr>
          <w:rStyle w:val="None"/>
          <w:rFonts w:ascii="Georgia" w:hAnsi="Georgia"/>
        </w:rPr>
        <w:t>for Comparison</w:t>
      </w:r>
      <w:r w:rsidR="00ED04F0">
        <w:rPr>
          <w:rStyle w:val="None"/>
          <w:rFonts w:ascii="Georgia" w:hAnsi="Georgia"/>
        </w:rPr>
        <w:t xml:space="preserve">: </w:t>
      </w:r>
      <w:r w:rsidR="00DD7388" w:rsidRPr="00AA0453">
        <w:rPr>
          <w:rStyle w:val="None"/>
          <w:rFonts w:ascii="Georgia" w:hAnsi="Georgia"/>
          <w:i/>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is used when the relationship of multiple authorities will demonstrate or offer support for the proposition. It is highly recommended that each authority in the comparison be explained with a parenthetical in order to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28E46635" w:rsidR="005A2A94" w:rsidRPr="00AA0453" w:rsidRDefault="005A2A94" w:rsidP="00EA1B28">
      <w:pPr>
        <w:pStyle w:val="Rule"/>
        <w:rPr>
          <w:rStyle w:val="None"/>
        </w:rPr>
      </w:pPr>
      <w:r w:rsidRPr="00AA0453">
        <w:rPr>
          <w:rStyle w:val="None"/>
        </w:rPr>
        <w:t xml:space="preserve">Insert a comma before the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listed within this rule, but it is probably not advisable. See our Indigo Inkling on string citations.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is used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11DA0889"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120 Yale L.J. 950, 951 (2011) (“It is a monstrous growth, remote from the functional need for legal citation forms, that serves obscure needs of the legal culture and its student subculture.”)</w:t>
      </w:r>
      <w:r w:rsidR="006C4436">
        <w:rPr>
          <w:rStyle w:val="None"/>
        </w:rPr>
        <w:t>.</w:t>
      </w:r>
    </w:p>
    <w:p w14:paraId="79CA5997" w14:textId="7CD41053"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Pr="00AA0453">
        <w:rPr>
          <w:rStyle w:val="None"/>
        </w:rPr>
        <w:t>, 66 J. Leg. Educ. 668 (2017)</w:t>
      </w:r>
      <w:r w:rsidR="00963ABC">
        <w:rPr>
          <w:rStyle w:val="None"/>
        </w:rPr>
        <w:t xml:space="preserve"> </w:t>
      </w:r>
      <w:r w:rsidR="00963ABC" w:rsidRPr="00AA0453">
        <w:rPr>
          <w:rStyle w:val="None"/>
        </w:rPr>
        <w:t xml:space="preserve">(reviewing </w:t>
      </w:r>
      <w:r w:rsidR="00963ABC" w:rsidRPr="00AA0453">
        <w:rPr>
          <w:rStyle w:val="None"/>
          <w:i/>
          <w:iCs/>
        </w:rPr>
        <w:t>The Bluebook: A Uniform System of Citation</w:t>
      </w:r>
      <w:r w:rsidR="00963ABC" w:rsidRPr="00AA0453">
        <w:rPr>
          <w:rStyle w:val="None"/>
        </w:rPr>
        <w:t xml:space="preserve"> (Columbia L. Rev. Ass’n et al. eds, 20th ed. 2015)</w:t>
      </w:r>
      <w:r w:rsidR="005E6B14">
        <w:rPr>
          <w:rStyle w:val="None"/>
        </w:rPr>
        <w:t xml:space="preserve"> (</w:t>
      </w:r>
      <w:r w:rsidR="00BD2A8C">
        <w:rPr>
          <w:rStyle w:val="None"/>
        </w:rPr>
        <w:t>“</w:t>
      </w:r>
      <w:r w:rsidR="005E6B14">
        <w:t xml:space="preserve">Perhaps </w:t>
      </w:r>
      <w:r w:rsidR="005E6B14" w:rsidRPr="00BD2A8C">
        <w:rPr>
          <w:i/>
          <w:iCs/>
        </w:rPr>
        <w:t>The Bluebook</w:t>
      </w:r>
      <w:r w:rsidR="005E6B14">
        <w:t xml:space="preserve"> survives because it’s not so terrible after all. Perhaps </w:t>
      </w:r>
      <w:r w:rsidR="005E6B14" w:rsidRPr="00BD2A8C">
        <w:rPr>
          <w:i/>
          <w:iCs/>
        </w:rPr>
        <w:t>The Bluebook</w:t>
      </w:r>
      <w:r w:rsidR="005E6B14">
        <w:t xml:space="preserve"> works quite well for the task it was designed to perform</w:t>
      </w:r>
      <w:r w:rsidR="00BD2A8C">
        <w:t>.”)</w:t>
      </w:r>
      <w:r w:rsidRPr="00AA0453">
        <w:rPr>
          <w:rStyle w:val="None"/>
        </w:rPr>
        <w:t>.</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But see</w:t>
      </w:r>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is used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76A31A6A"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r w:rsidRPr="00AA0453">
        <w:rPr>
          <w:rStyle w:val="None"/>
          <w:i/>
          <w:iCs/>
        </w:rPr>
        <w:t>Packingham v. North Carolina</w:t>
      </w:r>
      <w:r w:rsidRPr="00AA0453">
        <w:rPr>
          <w:rStyle w:val="None"/>
        </w:rPr>
        <w:t>, 137 S. Ct. 1730 (2017), that the internet functions as a public square. </w:t>
      </w:r>
      <w:r w:rsidRPr="00AA0453">
        <w:rPr>
          <w:rStyle w:val="None"/>
          <w:i/>
          <w:iCs/>
        </w:rPr>
        <w:t>But see</w:t>
      </w:r>
      <w:r w:rsidRPr="00AA0453">
        <w:rPr>
          <w:rStyle w:val="None"/>
        </w:rPr>
        <w:t> </w:t>
      </w:r>
      <w:r w:rsidRPr="00AA0453">
        <w:rPr>
          <w:rStyle w:val="None"/>
          <w:i/>
          <w:iCs/>
        </w:rPr>
        <w:t>Manhattan Cmty. Access Corp. v. Halleck</w:t>
      </w:r>
      <w:r w:rsidRPr="00AA0453">
        <w:rPr>
          <w:rStyle w:val="None"/>
        </w:rPr>
        <w:t>, 13o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0A3E8ECE" w:rsidR="00E9398D" w:rsidRPr="00AA0453" w:rsidRDefault="0045211C" w:rsidP="00B35379">
      <w:pPr>
        <w:pStyle w:val="Rule"/>
        <w:rPr>
          <w:rStyle w:val="None"/>
          <w:rFonts w:eastAsia="Georgia" w:cs="Georgia"/>
        </w:rPr>
      </w:pPr>
      <w:r>
        <w:rPr>
          <w:rStyle w:val="None"/>
        </w:rPr>
        <w:t xml:space="preserve">Prepare yourself, and use this one sparingly: </w:t>
      </w:r>
      <w:r w:rsidR="00E9398D" w:rsidRPr="00AA0453">
        <w:rPr>
          <w:rStyle w:val="None"/>
          <w:i/>
          <w:iCs/>
        </w:rPr>
        <w:t>But cf.</w:t>
      </w:r>
      <w:r w:rsidR="00E9398D" w:rsidRPr="00AA0453">
        <w:rPr>
          <w:rStyle w:val="None"/>
        </w:rPr>
        <w:t> </w:t>
      </w:r>
      <w:r w:rsidR="00F85F2C">
        <w:rPr>
          <w:rStyle w:val="None"/>
        </w:rPr>
        <w:t xml:space="preserve">indicates that the cited source </w:t>
      </w:r>
      <w:r>
        <w:rPr>
          <w:rStyle w:val="None"/>
        </w:rPr>
        <w:t xml:space="preserve">supports an assertion that is </w:t>
      </w:r>
      <w:r w:rsidR="00E9398D" w:rsidRPr="00AA0453">
        <w:rPr>
          <w:rStyle w:val="None"/>
        </w:rPr>
        <w:t>similar to the opposite o</w:t>
      </w:r>
      <w:r w:rsidR="00B544C9">
        <w:rPr>
          <w:rStyle w:val="None"/>
        </w:rPr>
        <w:t>f the main assertion</w:t>
      </w:r>
      <w:r w:rsidR="00E9398D" w:rsidRPr="00AA0453">
        <w:rPr>
          <w:rStyle w:val="None"/>
        </w:rPr>
        <w:t>.</w:t>
      </w:r>
      <w:r w:rsidR="00B544C9">
        <w:rPr>
          <w:rStyle w:val="None"/>
        </w:rPr>
        <w:t xml:space="preserve"> It follows that</w:t>
      </w:r>
      <w:r w:rsidR="00E9398D" w:rsidRPr="00AA0453">
        <w:rPr>
          <w:rStyle w:val="None"/>
        </w:rPr>
        <w:t> </w:t>
      </w:r>
      <w:r w:rsidR="00E9398D" w:rsidRPr="00AA0453">
        <w:rPr>
          <w:rStyle w:val="None"/>
          <w:i/>
          <w:iCs/>
        </w:rPr>
        <w:t>But cf.</w:t>
      </w:r>
      <w:r w:rsidR="00E9398D" w:rsidRPr="00AA0453">
        <w:rPr>
          <w:rStyle w:val="None"/>
        </w:rPr>
        <w:t> is the opposite signal to </w:t>
      </w:r>
      <w:r w:rsidR="00E9398D" w:rsidRPr="00AA0453">
        <w:rPr>
          <w:rStyle w:val="None"/>
          <w:i/>
          <w:iCs/>
        </w:rPr>
        <w:t>cf.</w:t>
      </w:r>
      <w:r w:rsidR="00B544C9">
        <w:rPr>
          <w:rStyle w:val="None"/>
        </w:rPr>
        <w:t xml:space="preserve"> indicating support by</w:t>
      </w:r>
      <w:r w:rsidR="00F85F2C">
        <w:rPr>
          <w:rStyle w:val="None"/>
        </w:rPr>
        <w:t xml:space="preserve"> analogy</w:t>
      </w:r>
      <w:r w:rsidR="00B544C9">
        <w:rPr>
          <w:rStyle w:val="None"/>
        </w:rPr>
        <w:t>.</w:t>
      </w:r>
      <w:r w:rsidR="00E9398D" w:rsidRPr="00AA0453">
        <w:rPr>
          <w:rStyle w:val="None"/>
        </w:rPr>
        <w:t> Always use a parenthetical with </w:t>
      </w:r>
      <w:r w:rsidR="00E9398D" w:rsidRPr="00AA0453">
        <w:rPr>
          <w:rStyle w:val="None"/>
          <w:i/>
          <w:iCs/>
        </w:rPr>
        <w:t>but cf.</w:t>
      </w:r>
      <w:r w:rsidR="00E9398D"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professional work that follows it. </w:t>
      </w:r>
      <w:r w:rsidRPr="00AA0453">
        <w:rPr>
          <w:rStyle w:val="None"/>
          <w:i/>
          <w:iCs/>
        </w:rPr>
        <w:t xml:space="preserve">But cf. </w:t>
      </w:r>
      <w:r w:rsidRPr="00AA0453">
        <w:rPr>
          <w:rStyle w:val="None"/>
        </w:rPr>
        <w:t xml:space="preserve">Michael Riscica, </w:t>
      </w:r>
      <w:r w:rsidRPr="00AA0453">
        <w:rPr>
          <w:rStyle w:val="None"/>
          <w:i/>
          <w:iCs/>
        </w:rPr>
        <w:t>Why (Smart &amp; Talented) People Fail the Architect Exam</w:t>
      </w:r>
      <w:r w:rsidRPr="00AA0453">
        <w:rPr>
          <w:rStyle w:val="None"/>
        </w:rPr>
        <w:t>, Architizer, https://architizer.com/blog/practice/details/5-reasons-why-smart-and-talented-people-fail-the-architect-exam/ (last visited June 1, 2021) (“There is no correlation between success in architecture school and success with completing the exam. In fact, I truly believe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28B0CDFC"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w:t>
      </w:r>
      <w:r w:rsidR="00AD5505">
        <w:rPr>
          <w:rStyle w:val="None"/>
          <w:rFonts w:ascii="Georgia" w:hAnsi="Georgia"/>
        </w:rPr>
        <w:t>, and Related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being referred to. For cases, these specific references are known as pincites.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77777777" w:rsidR="00E9398D" w:rsidRPr="00AA0453" w:rsidRDefault="00E9398D" w:rsidP="003E757A">
      <w:pPr>
        <w:pStyle w:val="Rule"/>
        <w:rPr>
          <w:rStyle w:val="None"/>
        </w:rPr>
      </w:pPr>
      <w:r w:rsidRPr="00AA0453">
        <w:rPr>
          <w:rStyle w:val="None"/>
        </w:rPr>
        <w:t>Refer to the source’s page by its number or numbers. Do not use p. or pp. to indicate a page reference.</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6008F5A8" w14:textId="77777777" w:rsidR="00E9398D" w:rsidRPr="00AA0453" w:rsidRDefault="00E9398D" w:rsidP="003E757A">
      <w:pPr>
        <w:pStyle w:val="Example"/>
        <w:ind w:left="1440"/>
        <w:rPr>
          <w:rStyle w:val="None"/>
        </w:rPr>
      </w:pPr>
      <w:r w:rsidRPr="00AA0453">
        <w:rPr>
          <w:rStyle w:val="None"/>
        </w:rPr>
        <w:t xml:space="preserve">Chief Justice Roberts rejected the idea that states can maintain and copyright a “first-class” official annotated code, in contrast to its “economy-class” unannotated code. </w:t>
      </w:r>
      <w:r w:rsidRPr="00AA0453">
        <w:rPr>
          <w:rStyle w:val="None"/>
          <w:i/>
          <w:iCs/>
        </w:rPr>
        <w:t>Id.</w:t>
      </w:r>
      <w:r w:rsidRPr="00AA0453">
        <w:rPr>
          <w:rStyle w:val="None"/>
        </w:rPr>
        <w:t xml:space="preserve"> at 1512. </w:t>
      </w:r>
    </w:p>
    <w:p w14:paraId="52C51428"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2D2574">
        <w:rPr>
          <w:rStyle w:val="None"/>
          <w:i/>
          <w:iCs/>
        </w:rPr>
        <w:t>Visual Rulemaking</w:t>
      </w:r>
      <w:r w:rsidRPr="00AA0453">
        <w:rPr>
          <w:rStyle w:val="None"/>
        </w:rPr>
        <w:t>, 91 N.Y.U. L. Rev. 1183, 1240 (2016).</w:t>
      </w: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Refer to a span of pages with a hyphen (-), an en dash (–)</w:t>
      </w:r>
      <w:r w:rsidR="00264D99" w:rsidRPr="00AA0453">
        <w:rPr>
          <w:rStyle w:val="None"/>
        </w:rPr>
        <w:t>, or</w:t>
      </w:r>
      <w:r w:rsidRPr="00AA0453">
        <w:rPr>
          <w:rStyle w:val="None"/>
        </w:rPr>
        <w:t xml:space="preserve"> the word “to” if needed for clarity. Note that an en dash is the proper standard for providing a span of pages in a formal legal publication, but hyphens are commonly used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r w:rsidRPr="00AA0453">
        <w:rPr>
          <w:rStyle w:val="None"/>
          <w:i/>
          <w:iCs/>
        </w:rPr>
        <w:t>Selmon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Hyphens, en dashes, and em dashes are three separate marks with mostly separate functions in citations and sentences. These marks all comprise short, horizontal lines that—with the help of glasses and/or a magnifying glass—you will see have microscopically varying lengths.</w:t>
      </w:r>
    </w:p>
    <w:p w14:paraId="3F38B66A" w14:textId="77777777" w:rsidR="00CD4218" w:rsidRDefault="00CD4218" w:rsidP="00CD4218">
      <w:pPr>
        <w:pStyle w:val="Inkling"/>
        <w:rPr>
          <w:rStyle w:val="None"/>
          <w:b/>
          <w:bCs/>
          <w:lang w:val="en-US"/>
        </w:rPr>
      </w:pPr>
    </w:p>
    <w:p w14:paraId="0D2793D8" w14:textId="7B5CB180" w:rsidR="004247CB" w:rsidRPr="00AA0453" w:rsidRDefault="00E9398D" w:rsidP="004247CB">
      <w:pPr>
        <w:pStyle w:val="Inkling"/>
        <w:rPr>
          <w:lang w:val="en-US"/>
        </w:rPr>
      </w:pPr>
      <w:r w:rsidRPr="00AA0453">
        <w:rPr>
          <w:rStyle w:val="None"/>
          <w:b/>
          <w:bCs/>
          <w:lang w:val="en-US"/>
        </w:rPr>
        <w:t>Hyphens</w:t>
      </w:r>
      <w:r w:rsidRPr="00AA0453">
        <w:rPr>
          <w:rStyle w:val="None"/>
          <w:lang w:val="en-US"/>
        </w:rPr>
        <w:t xml:space="preserve"> (shortest in length) are used for phrasal adjectives (e.g., “laser-sharp focus,” “larger-than-life character,” and compound words (e.g., “daughter-in-law,” “over-the-counter”). Hyphens are also a feature of many statutory citation formats, such as Ala. Code § 27-14-24 and O.C.G.A. § 33-24-41. </w:t>
      </w:r>
      <w:r w:rsidR="00D76528">
        <w:rPr>
          <w:rStyle w:val="None"/>
          <w:lang w:val="en-US"/>
        </w:rPr>
        <w:t>Meticulously preserve</w:t>
      </w:r>
      <w:r w:rsidRPr="00AA0453">
        <w:rPr>
          <w:rStyle w:val="None"/>
          <w:lang w:val="en-US"/>
        </w:rPr>
        <w:t xml:space="preserve"> hyphens when they are intrinsically part of a citation, such as 42 U.S.C. § 2000e-2(a)(1). </w:t>
      </w:r>
      <w:r w:rsidR="004247CB" w:rsidRPr="00AA0453">
        <w:rPr>
          <w:rStyle w:val="None"/>
          <w:lang w:val="en-US"/>
        </w:rPr>
        <w:t xml:space="preserve">Hyphens </w:t>
      </w:r>
      <w:r w:rsidR="004247CB">
        <w:rPr>
          <w:rStyle w:val="None"/>
          <w:lang w:val="en-US"/>
        </w:rPr>
        <w:t>are commonly</w:t>
      </w:r>
      <w:r w:rsidR="004247CB" w:rsidRPr="00AA0453">
        <w:rPr>
          <w:rStyle w:val="None"/>
          <w:lang w:val="en-US"/>
        </w:rPr>
        <w:t xml:space="preserve"> used for page ranges in standard legal documents.</w:t>
      </w:r>
    </w:p>
    <w:p w14:paraId="01241EDE" w14:textId="77777777" w:rsidR="00CD4218" w:rsidRDefault="00CD4218" w:rsidP="00CD4218">
      <w:pPr>
        <w:pStyle w:val="Inkling"/>
        <w:rPr>
          <w:rStyle w:val="None"/>
          <w:b/>
          <w:bCs/>
          <w:lang w:val="en-US"/>
        </w:rPr>
      </w:pPr>
    </w:p>
    <w:p w14:paraId="140CA856" w14:textId="1E7EA3C0" w:rsidR="00E9398D" w:rsidRPr="00AA0453" w:rsidRDefault="00E9398D" w:rsidP="00CD4218">
      <w:pPr>
        <w:pStyle w:val="Inkling"/>
        <w:rPr>
          <w:lang w:val="en-US"/>
        </w:rPr>
      </w:pPr>
      <w:r w:rsidRPr="00AA0453">
        <w:rPr>
          <w:rStyle w:val="None"/>
          <w:b/>
          <w:bCs/>
          <w:lang w:val="en-US"/>
        </w:rPr>
        <w:t>En dashes</w:t>
      </w:r>
      <w:r w:rsidRPr="00AA0453">
        <w:rPr>
          <w:rStyle w:val="None"/>
          <w:lang w:val="en-US"/>
        </w:rPr>
        <w:t> (longer than hyphens, shorter than em dashes) are used for ranges of values (e.g., page ranges) and contrasting or connected pairs of words (e.g., Sarbanes–Oxley Act), especially in academic legal documents.</w:t>
      </w:r>
    </w:p>
    <w:p w14:paraId="3CD19D6C" w14:textId="77777777" w:rsidR="00CD4218" w:rsidRDefault="00CD4218" w:rsidP="00CD4218">
      <w:pPr>
        <w:pStyle w:val="Inkling"/>
        <w:rPr>
          <w:rStyle w:val="None"/>
          <w:b/>
          <w:bCs/>
          <w:lang w:val="en-US"/>
        </w:rPr>
      </w:pPr>
    </w:p>
    <w:p w14:paraId="44A2A456" w14:textId="00405E08" w:rsidR="00E9398D" w:rsidRPr="00AA0453" w:rsidRDefault="00E9398D" w:rsidP="00CD4218">
      <w:pPr>
        <w:pStyle w:val="Inkling"/>
        <w:rPr>
          <w:lang w:val="en-US"/>
        </w:rPr>
      </w:pPr>
      <w:r w:rsidRPr="00AA0453">
        <w:rPr>
          <w:rStyle w:val="None"/>
          <w:b/>
          <w:bCs/>
          <w:lang w:val="en-US"/>
        </w:rPr>
        <w:t>Em dashes</w:t>
      </w:r>
      <w:r w:rsidRPr="00AA0453">
        <w:rPr>
          <w:rStyle w:val="None"/>
          <w:lang w:val="en-US"/>
        </w:rPr>
        <w:t> (longest in length) are used for inserting a break in a thought; isolating a concluding phrase; setting on a parenthetical explanation or amplification; and signaling a collection of ideas</w:t>
      </w:r>
      <w:r w:rsidR="004247CB">
        <w:rPr>
          <w:rStyle w:val="None"/>
          <w:lang w:val="en-US"/>
        </w:rPr>
        <w:t xml:space="preserve">. </w:t>
      </w:r>
      <w:r w:rsidR="008F5B6D">
        <w:rPr>
          <w:rStyle w:val="None"/>
          <w:lang w:val="en-US"/>
        </w:rPr>
        <w:t>Here’s one example: “</w:t>
      </w:r>
      <w:r w:rsidRPr="00AA0453">
        <w:rPr>
          <w:rStyle w:val="None"/>
          <w:lang w:val="en-US"/>
        </w:rPr>
        <w:t>When her new Volkswagen was finally delivered—nearly three months after it was ordered and following the revelation of VW's massive scheme of emissions control fraud—Alice decided she didn't want it</w:t>
      </w:r>
      <w:r w:rsidR="004247CB">
        <w:rPr>
          <w:rStyle w:val="None"/>
          <w:lang w:val="en-US"/>
        </w:rPr>
        <w:t>.</w:t>
      </w:r>
      <w:r w:rsidR="008F5B6D">
        <w:rPr>
          <w:rStyle w:val="None"/>
          <w:lang w:val="en-US"/>
        </w:rPr>
        <w:t>”</w:t>
      </w:r>
    </w:p>
    <w:p w14:paraId="2E8760D1" w14:textId="77777777" w:rsidR="00E9398D" w:rsidRPr="00AA0453" w:rsidRDefault="00E9398D" w:rsidP="003E757A">
      <w:pPr>
        <w:pStyle w:val="Inkling"/>
        <w:rPr>
          <w:rStyle w:val="None"/>
          <w:lang w:val="en-US"/>
        </w:rPr>
      </w:pPr>
    </w:p>
    <w:p w14:paraId="225D9467" w14:textId="028EA961"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w:t>
      </w:r>
      <w:r w:rsidR="00AC307B">
        <w:rPr>
          <w:rStyle w:val="None"/>
          <w:rFonts w:ascii="Georgia" w:hAnsi="Georgia"/>
        </w:rPr>
        <w:t>, figures, historical notes, and tables</w:t>
      </w:r>
    </w:p>
    <w:p w14:paraId="1811DA0C" w14:textId="7432C303" w:rsidR="00AC307B" w:rsidRPr="00AC307B" w:rsidRDefault="00E9398D" w:rsidP="00AC307B">
      <w:pPr>
        <w:pStyle w:val="Rule"/>
        <w:rPr>
          <w:rStyle w:val="None"/>
        </w:rPr>
      </w:pPr>
      <w:r w:rsidRPr="00AA0453">
        <w:rPr>
          <w:rStyle w:val="None"/>
        </w:rPr>
        <w:t>Cite a footnote on a page by providing the page,</w:t>
      </w:r>
      <w:r w:rsidR="00986807">
        <w:rPr>
          <w:rStyle w:val="None"/>
        </w:rPr>
        <w:t xml:space="preserve"> one space,</w:t>
      </w:r>
      <w:r w:rsidRPr="00AA0453">
        <w:rPr>
          <w:rStyle w:val="None"/>
        </w:rPr>
        <w:t xml:space="preserve"> the abbreviation “n.”</w:t>
      </w:r>
      <w:r w:rsidR="00986807">
        <w:rPr>
          <w:rStyle w:val="None"/>
        </w:rPr>
        <w:t>,</w:t>
      </w:r>
      <w:r w:rsidRPr="00AA0453">
        <w:rPr>
          <w:rStyle w:val="None"/>
        </w:rPr>
        <w:t xml:space="preserve"> and the footnote number. </w:t>
      </w:r>
      <w:r w:rsidR="00AC307B">
        <w:rPr>
          <w:rStyle w:val="None"/>
        </w:rPr>
        <w:t xml:space="preserve">Follow the same format for figures, historical notes, tables, and similar features. </w:t>
      </w:r>
      <w:r w:rsidR="00AC307B">
        <w:rPr>
          <w:rStyle w:val="None"/>
          <w:rFonts w:eastAsia="Georgia" w:cs="Georgia"/>
        </w:rPr>
        <w:t xml:space="preserve">Refer to </w:t>
      </w:r>
      <w:r w:rsidR="00AC307B" w:rsidRPr="008F5B6D">
        <w:rPr>
          <w:rStyle w:val="Rulereferencecharacterstyle"/>
        </w:rPr>
        <w:t>Table T13</w:t>
      </w:r>
      <w:r w:rsidR="00AC307B">
        <w:rPr>
          <w:rStyle w:val="None"/>
          <w:rFonts w:eastAsia="Georgia" w:cs="Georgia"/>
        </w:rPr>
        <w:t xml:space="preserve"> for abbreviations such as “fig.” for “figure.” Do not add a space between the abbreviation and the number or letter designating the figure, footnote, historical note, or table. </w:t>
      </w:r>
    </w:p>
    <w:p w14:paraId="3AA1D059" w14:textId="0644CA4F" w:rsidR="00AC307B" w:rsidRPr="00AA0453" w:rsidRDefault="00AC307B" w:rsidP="00124906">
      <w:pPr>
        <w:pStyle w:val="Rule"/>
        <w:rPr>
          <w:rStyle w:val="None"/>
        </w:rPr>
      </w:pP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4372DD35" w:rsidR="00E9398D" w:rsidRPr="00AA0453" w:rsidRDefault="00E9398D" w:rsidP="003E757A">
      <w:pPr>
        <w:pStyle w:val="Example"/>
        <w:ind w:left="1440"/>
        <w:rPr>
          <w:rStyle w:val="None"/>
          <w:rFonts w:eastAsia="Georgia" w:cs="Georgia"/>
        </w:rPr>
      </w:pPr>
      <w:r w:rsidRPr="00AA0453">
        <w:rPr>
          <w:rStyle w:val="None"/>
        </w:rPr>
        <w:t xml:space="preserve">Elizabeth Porter &amp; Kathryn Watts, </w:t>
      </w:r>
      <w:r w:rsidRPr="00AA0453">
        <w:rPr>
          <w:rStyle w:val="None"/>
          <w:i/>
          <w:iCs/>
        </w:rPr>
        <w:t>Visual Rulemaking</w:t>
      </w:r>
      <w:r w:rsidRPr="00AA0453">
        <w:rPr>
          <w:rStyle w:val="None"/>
        </w:rPr>
        <w:t>, 91 N.Y.U. L. Rev. 1183, 1239 n.270 (2016).</w:t>
      </w:r>
    </w:p>
    <w:p w14:paraId="765546C0" w14:textId="77777777" w:rsidR="00171F69" w:rsidRDefault="00E9398D" w:rsidP="00171F69">
      <w:pPr>
        <w:pStyle w:val="Example"/>
        <w:ind w:left="1440"/>
        <w:rPr>
          <w:rStyle w:val="None"/>
        </w:rPr>
      </w:pPr>
      <w:r w:rsidRPr="00AA0453">
        <w:rPr>
          <w:rStyle w:val="None"/>
          <w:i/>
          <w:iCs/>
        </w:rPr>
        <w:t>Cunningham v. State</w:t>
      </w:r>
      <w:r w:rsidRPr="00AA0453">
        <w:rPr>
          <w:rStyle w:val="None"/>
        </w:rPr>
        <w:t>, 822 S.E.2d 281, 285 n.4 (Ga. 2018)</w:t>
      </w:r>
      <w:r w:rsidR="00AC307B">
        <w:rPr>
          <w:rStyle w:val="None"/>
        </w:rPr>
        <w:t xml:space="preserve"> (Hunstein, J.) (“</w:t>
      </w:r>
      <w:r w:rsidR="00AC307B" w:rsidRPr="00AA0453">
        <w:rPr>
          <w:rStyle w:val="None"/>
        </w:rPr>
        <w:t>And that’s all she wrote.”</w:t>
      </w:r>
      <w:r w:rsidR="00AC307B">
        <w:rPr>
          <w:rStyle w:val="None"/>
        </w:rPr>
        <w:t>).</w:t>
      </w:r>
    </w:p>
    <w:p w14:paraId="54E39EE3" w14:textId="5066BB6A" w:rsidR="00AC307B" w:rsidRPr="00171F69" w:rsidRDefault="00AC307B" w:rsidP="00171F69">
      <w:pPr>
        <w:pStyle w:val="Example"/>
        <w:ind w:left="1440"/>
        <w:rPr>
          <w:rStyle w:val="None"/>
        </w:rPr>
      </w:pPr>
      <w:r>
        <w:rPr>
          <w:rStyle w:val="None"/>
          <w:rFonts w:eastAsia="Georgia" w:cs="Georgia"/>
          <w:i/>
          <w:iCs/>
        </w:rPr>
        <w:t>U.S. v. Rentz</w:t>
      </w:r>
      <w:r>
        <w:rPr>
          <w:rStyle w:val="None"/>
          <w:rFonts w:eastAsia="Georgia" w:cs="Georgia"/>
        </w:rPr>
        <w:t>, 777 F.3d 1105, 1110 fig. (10th Cir. 2015)</w:t>
      </w:r>
      <w:r w:rsidR="00162C76">
        <w:rPr>
          <w:rStyle w:val="None"/>
          <w:rFonts w:eastAsia="Georgia" w:cs="Georgia"/>
        </w:rPr>
        <w:t xml:space="preserve"> (Gorsuch, J.)</w:t>
      </w:r>
      <w:r>
        <w:rPr>
          <w:rStyle w:val="None"/>
          <w:rFonts w:eastAsia="Georgia" w:cs="Georgia"/>
        </w:rPr>
        <w:t xml:space="preserve"> (diagramming 18 U.S.C. § 924(c)).</w:t>
      </w:r>
    </w:p>
    <w:p w14:paraId="34EB5997" w14:textId="77777777" w:rsidR="00AC307B" w:rsidRPr="00AA0453" w:rsidRDefault="00AC307B" w:rsidP="003E757A">
      <w:pPr>
        <w:pStyle w:val="Example"/>
        <w:ind w:left="1440"/>
        <w:rPr>
          <w:rStyle w:val="None"/>
          <w:rFonts w:eastAsia="Georgia" w:cs="Georgia"/>
        </w:rPr>
      </w:pPr>
    </w:p>
    <w:p w14:paraId="27EDD702" w14:textId="77777777" w:rsidR="00E9398D" w:rsidRPr="00AA0453" w:rsidRDefault="00E9398D" w:rsidP="003E757A">
      <w:pPr>
        <w:pStyle w:val="Example"/>
        <w:rPr>
          <w:rStyle w:val="None"/>
          <w:rFonts w:eastAsia="Georgia" w:cs="Georgia"/>
          <w:shd w:val="clear" w:color="auto" w:fill="FFFF00"/>
        </w:rPr>
      </w:pPr>
    </w:p>
    <w:p w14:paraId="39B90F5F" w14:textId="46B356DC"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 xml:space="preserve">Sections, </w:t>
      </w:r>
      <w:r w:rsidR="00AD5505">
        <w:rPr>
          <w:rFonts w:ascii="Georgia" w:hAnsi="Georgia"/>
        </w:rPr>
        <w:t>S</w:t>
      </w:r>
      <w:r w:rsidR="00E9398D" w:rsidRPr="00AA0453">
        <w:rPr>
          <w:rFonts w:ascii="Georgia" w:hAnsi="Georgia"/>
        </w:rPr>
        <w:t xml:space="preserve">ubsections, and </w:t>
      </w:r>
      <w:r w:rsidR="00700182">
        <w:rPr>
          <w:rFonts w:ascii="Georgia" w:hAnsi="Georgia"/>
        </w:rPr>
        <w:t>Related</w:t>
      </w:r>
      <w:r w:rsidR="00AD5505">
        <w:rPr>
          <w:rFonts w:ascii="Georgia" w:hAnsi="Georgia"/>
        </w:rPr>
        <w:t xml:space="preserve"> Subdivisions</w:t>
      </w:r>
    </w:p>
    <w:p w14:paraId="0BB53EC5" w14:textId="686A1872" w:rsidR="00C05DAB" w:rsidRPr="00AA0453" w:rsidRDefault="00ED0BA6" w:rsidP="00D1288A">
      <w:pPr>
        <w:pStyle w:val="Heading5"/>
      </w:pPr>
      <w:r w:rsidRPr="00AA0453">
        <w:t>R</w:t>
      </w:r>
      <w:r w:rsidR="00C05DAB" w:rsidRPr="00AA0453">
        <w:t xml:space="preserve">5.2.1 </w:t>
      </w:r>
      <w:r w:rsidR="00124906" w:rsidRPr="00AA0453">
        <w:tab/>
      </w:r>
      <w:r w:rsidR="00124906" w:rsidRPr="00AA0453">
        <w:tab/>
      </w:r>
      <w:r w:rsidR="00C05DAB" w:rsidRPr="00AA0453">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6F6C635B" w:rsidR="00E9398D" w:rsidRPr="00AA0453" w:rsidRDefault="00E9398D" w:rsidP="003E757A">
      <w:pPr>
        <w:pStyle w:val="Example"/>
      </w:pPr>
      <w:r w:rsidRPr="00AA0453">
        <w:tab/>
      </w:r>
      <w:r w:rsidRPr="00AA0453">
        <w:tab/>
        <w:t>21 U.S.C. § 343</w:t>
      </w:r>
      <w:r w:rsidR="00814AA1">
        <w:t>.</w:t>
      </w:r>
    </w:p>
    <w:p w14:paraId="66F72CF6" w14:textId="77777777" w:rsidR="0044593F" w:rsidRDefault="00E9398D" w:rsidP="0044593F">
      <w:pPr>
        <w:pStyle w:val="Example"/>
      </w:pPr>
      <w:r w:rsidRPr="00AA0453">
        <w:tab/>
      </w:r>
      <w:r w:rsidRPr="00AA0453">
        <w:tab/>
        <w:t>21 C.F.R. § 164.150 (2020)</w:t>
      </w:r>
      <w:r w:rsidR="00814AA1">
        <w:t>.</w:t>
      </w:r>
    </w:p>
    <w:p w14:paraId="66CD91FE" w14:textId="47E89386" w:rsidR="00E9398D" w:rsidRDefault="0044593F" w:rsidP="0044593F">
      <w:pPr>
        <w:pStyle w:val="Example"/>
      </w:pPr>
      <w:r>
        <w:tab/>
      </w:r>
      <w:r>
        <w:tab/>
      </w:r>
      <w:r w:rsidR="00E9398D" w:rsidRPr="00AA0453">
        <w:t>Restatement (Third) of Agency § 2.01 (Am. L. Inst. 2006)</w:t>
      </w:r>
      <w:r w:rsidR="00814AA1">
        <w:t>.</w:t>
      </w:r>
    </w:p>
    <w:p w14:paraId="3AF449E1" w14:textId="48C30D70" w:rsidR="00814AA1" w:rsidRDefault="00814AA1" w:rsidP="003E757A">
      <w:pPr>
        <w:pStyle w:val="Example"/>
      </w:pPr>
    </w:p>
    <w:p w14:paraId="7DE74D36" w14:textId="17DA8EC3" w:rsidR="00814AA1" w:rsidRDefault="00814AA1" w:rsidP="008F5B6D">
      <w:pPr>
        <w:pStyle w:val="InklingTitle"/>
      </w:pPr>
      <w:r>
        <w:t>Indigo Inkling</w:t>
      </w:r>
    </w:p>
    <w:p w14:paraId="21BE8CEC" w14:textId="77777777" w:rsidR="00CE20C9" w:rsidRPr="00A47EE3" w:rsidRDefault="00CE20C9" w:rsidP="008F5B6D">
      <w:pPr>
        <w:pStyle w:val="Inkling"/>
      </w:pPr>
      <w:r w:rsidRPr="00A47EE3">
        <w:t xml:space="preserve">The symbol “§” means “section,” and “§§” is the plural form. The section symbol can be inserted as a special character. Computer-keyboard shortcuts create the § symbol with just a few key strokes: [Option-6] on an Apple keyboard or [Alt-0167] on a Windows keyboard using the numeric keypad. Setting up a customized keyboard shortcut may be a good option for Windows users who generate legal citations on a regular basis. If using a mobile device, you may be able to insert a section into text such as by tapping and holding the “&amp;” key. </w:t>
      </w:r>
    </w:p>
    <w:p w14:paraId="22F70D2B" w14:textId="77777777" w:rsidR="00814AA1" w:rsidRPr="00AA0453" w:rsidRDefault="00814AA1" w:rsidP="00BF13D9">
      <w:pPr>
        <w:pStyle w:val="Example"/>
        <w:ind w:left="0"/>
      </w:pPr>
    </w:p>
    <w:p w14:paraId="7766B5E8" w14:textId="77777777" w:rsidR="00E9398D" w:rsidRPr="00AA0453" w:rsidRDefault="00E9398D" w:rsidP="003E757A"/>
    <w:p w14:paraId="3A5D700E" w14:textId="725115DE" w:rsidR="00E9398D" w:rsidRPr="00AA0453" w:rsidRDefault="00ED0BA6" w:rsidP="00D1288A">
      <w:pPr>
        <w:pStyle w:val="Heading5"/>
      </w:pPr>
      <w:r w:rsidRPr="00AA0453">
        <w:t>R</w:t>
      </w:r>
      <w:r w:rsidR="00E9398D" w:rsidRPr="00AA0453">
        <w:t xml:space="preserve">5.2.2 </w:t>
      </w:r>
      <w:r w:rsidR="00124906" w:rsidRPr="00AA0453">
        <w:tab/>
      </w:r>
      <w:r w:rsidR="00E9398D" w:rsidRPr="00AA0453">
        <w:t>Subsections</w:t>
      </w:r>
    </w:p>
    <w:p w14:paraId="2DA09CC8" w14:textId="261ECD53" w:rsidR="00E9398D" w:rsidRPr="00AA0453" w:rsidRDefault="00E9398D" w:rsidP="003E757A">
      <w:pPr>
        <w:pStyle w:val="Rule"/>
      </w:pPr>
      <w:r w:rsidRPr="00AA0453">
        <w:t>Specifically cite a subsection using the punctuation in the original source, and using 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C0915C0" w:rsidR="00E9398D" w:rsidRPr="00AA0453" w:rsidRDefault="00E9398D" w:rsidP="003E757A">
      <w:pPr>
        <w:pStyle w:val="Example"/>
      </w:pPr>
      <w:r w:rsidRPr="00AA0453">
        <w:tab/>
        <w:t>42 U.S.C. § 2000ff–5(a)</w:t>
      </w:r>
      <w:r w:rsidR="00BF13D9">
        <w:t>.</w:t>
      </w:r>
      <w:r w:rsidRPr="00AA0453">
        <w:t xml:space="preserve"> </w:t>
      </w:r>
    </w:p>
    <w:p w14:paraId="107EE19B" w14:textId="739420E4" w:rsidR="00E9398D" w:rsidRPr="00AA0453" w:rsidRDefault="00E9398D" w:rsidP="003E757A">
      <w:pPr>
        <w:pStyle w:val="Example"/>
      </w:pPr>
      <w:r w:rsidRPr="00AA0453">
        <w:tab/>
        <w:t>42 U.S.C. § 2000ff–1(b)(2)(A)</w:t>
      </w:r>
      <w:r w:rsidR="00BF13D9">
        <w:t>.</w:t>
      </w:r>
    </w:p>
    <w:p w14:paraId="6EA1B0ED" w14:textId="14BEC93C" w:rsidR="00E9398D" w:rsidRPr="00AA0453" w:rsidRDefault="00E9398D" w:rsidP="003E757A">
      <w:pPr>
        <w:pStyle w:val="Example"/>
      </w:pPr>
      <w:r w:rsidRPr="00AA0453">
        <w:tab/>
        <w:t>42 U.S.C. § 2000ff(2)</w:t>
      </w:r>
      <w:r w:rsidR="00BF13D9">
        <w:t>.</w:t>
      </w:r>
      <w:r w:rsidRPr="00AA0453">
        <w:t xml:space="preserve">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1274F5DF" w:rsidR="00ED0BA6" w:rsidRPr="00AA0453" w:rsidRDefault="00E9398D" w:rsidP="003E757A">
      <w:pPr>
        <w:pStyle w:val="Example"/>
      </w:pPr>
      <w:r w:rsidRPr="00AA0453">
        <w:tab/>
        <w:t>21 C.F.R. § 133.3 (2021)</w:t>
      </w:r>
      <w:r w:rsidR="00BF13D9">
        <w:t>.</w:t>
      </w:r>
    </w:p>
    <w:p w14:paraId="2772928B" w14:textId="78638572" w:rsidR="00E9398D" w:rsidRPr="00AA0453" w:rsidRDefault="00ED0BA6" w:rsidP="00D1288A">
      <w:pPr>
        <w:pStyle w:val="Heading5"/>
        <w:rPr>
          <w:rStyle w:val="None"/>
          <w:rFonts w:ascii="Georgia" w:hAnsi="Georgia"/>
        </w:rPr>
      </w:pPr>
      <w:r w:rsidRPr="00AA0453">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700182">
        <w:rPr>
          <w:rStyle w:val="None"/>
          <w:rFonts w:ascii="Georgia" w:hAnsi="Georgia"/>
        </w:rPr>
        <w:t>s</w:t>
      </w:r>
      <w:r w:rsidR="00E9398D" w:rsidRPr="00AA0453">
        <w:rPr>
          <w:rStyle w:val="None"/>
          <w:rFonts w:ascii="Georgia" w:hAnsi="Georgia"/>
        </w:rPr>
        <w:t xml:space="preserve">ections, </w:t>
      </w:r>
      <w:r w:rsidR="00700182">
        <w:rPr>
          <w:rStyle w:val="None"/>
          <w:rFonts w:ascii="Georgia" w:hAnsi="Georgia"/>
        </w:rPr>
        <w:t>s</w:t>
      </w:r>
      <w:r w:rsidR="00E9398D" w:rsidRPr="00AA0453">
        <w:rPr>
          <w:rStyle w:val="None"/>
          <w:rFonts w:ascii="Georgia" w:hAnsi="Georgia"/>
        </w:rPr>
        <w:t>ub</w:t>
      </w:r>
      <w:r w:rsidR="00AD5505">
        <w:rPr>
          <w:rStyle w:val="None"/>
          <w:rFonts w:ascii="Georgia" w:hAnsi="Georgia"/>
        </w:rPr>
        <w:t>s</w:t>
      </w:r>
      <w:r w:rsidR="00E9398D" w:rsidRPr="00AA0453">
        <w:rPr>
          <w:rStyle w:val="None"/>
          <w:rFonts w:ascii="Georgia" w:hAnsi="Georgia"/>
        </w:rPr>
        <w:t xml:space="preserve">ections, and </w:t>
      </w:r>
      <w:r w:rsidR="00700182">
        <w:rPr>
          <w:rStyle w:val="None"/>
          <w:rFonts w:ascii="Georgia" w:hAnsi="Georgia"/>
        </w:rPr>
        <w:t>s</w:t>
      </w:r>
      <w:r w:rsidR="00E9398D" w:rsidRPr="00AA0453">
        <w:rPr>
          <w:rStyle w:val="None"/>
          <w:rFonts w:ascii="Georgia" w:hAnsi="Georgia"/>
        </w:rPr>
        <w:t xml:space="preserve">cattered </w:t>
      </w:r>
      <w:r w:rsidR="00700182">
        <w:rPr>
          <w:rStyle w:val="None"/>
          <w:rFonts w:ascii="Georgia" w:hAnsi="Georgia"/>
        </w:rPr>
        <w:t>s</w:t>
      </w:r>
      <w:r w:rsidR="00E9398D" w:rsidRPr="00AA0453">
        <w:rPr>
          <w:rStyle w:val="None"/>
          <w:rFonts w:ascii="Georgia" w:hAnsi="Georgia"/>
        </w:rPr>
        <w:t>ubsections</w:t>
      </w:r>
    </w:p>
    <w:p w14:paraId="27A231EE" w14:textId="142EFD72" w:rsidR="00ED0BA6" w:rsidRPr="00AA0453" w:rsidRDefault="00E9398D" w:rsidP="003E757A">
      <w:pPr>
        <w:pStyle w:val="Rule"/>
        <w:rPr>
          <w:rStyle w:val="None"/>
        </w:rPr>
      </w:pPr>
      <w:r w:rsidRPr="00AA0453">
        <w:rPr>
          <w:rStyle w:val="None"/>
        </w:rPr>
        <w:t xml:space="preserve">Use a hyphen, en dash (–), or the word “to” to indicate a span of sections or subsections. In a span or collection of scattered sections, include the last portion of a citation and omit the identical first part, unless repetition of all portions is needed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0DC75D46" w:rsidR="00E9398D" w:rsidRPr="00AA0453" w:rsidRDefault="00E9398D" w:rsidP="003E757A">
      <w:pPr>
        <w:pStyle w:val="Rule"/>
        <w:ind w:left="1440"/>
        <w:rPr>
          <w:rStyle w:val="None"/>
          <w:rFonts w:ascii="Times New Roman" w:hAnsi="Times New Roman"/>
        </w:rPr>
      </w:pPr>
      <w:r w:rsidRPr="00AA0453">
        <w:rPr>
          <w:rStyle w:val="None"/>
        </w:rPr>
        <w:t>18 U.S.C. §§ 3681-82</w:t>
      </w:r>
      <w:r w:rsidR="00814AA1">
        <w:rPr>
          <w:rStyle w:val="None"/>
        </w:rPr>
        <w:t>.</w:t>
      </w:r>
    </w:p>
    <w:p w14:paraId="5B408FE1" w14:textId="34520166"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r w:rsidR="00814AA1">
        <w:rPr>
          <w:rStyle w:val="None"/>
        </w:rPr>
        <w:t>.</w:t>
      </w:r>
    </w:p>
    <w:p w14:paraId="56DC84BA" w14:textId="490C7E05" w:rsidR="00E9398D" w:rsidRPr="00AA0453" w:rsidRDefault="00E9398D" w:rsidP="003E757A">
      <w:pPr>
        <w:pStyle w:val="Rule"/>
        <w:ind w:left="1440"/>
        <w:rPr>
          <w:rStyle w:val="None"/>
        </w:rPr>
      </w:pPr>
      <w:r w:rsidRPr="00AA0453">
        <w:rPr>
          <w:rStyle w:val="None"/>
        </w:rPr>
        <w:t>O.C.G.A. §§ 51-30-20 to -26 (2021)</w:t>
      </w:r>
      <w:r w:rsidR="00814AA1">
        <w:rPr>
          <w:rStyle w:val="None"/>
        </w:rPr>
        <w:t>.</w:t>
      </w:r>
    </w:p>
    <w:p w14:paraId="64DCB32D" w14:textId="2B5F8DF7"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r w:rsidR="00AD5505">
        <w:rPr>
          <w:rStyle w:val="None"/>
        </w:rPr>
        <w:t>Table T13 provides the abbreviation for the subdivision “Part.”</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7F4B6918"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 xml:space="preserve">21 C.F.R. </w:t>
      </w:r>
      <w:r w:rsidR="00814AA1">
        <w:rPr>
          <w:rStyle w:val="None"/>
          <w:color w:val="222222"/>
          <w:sz w:val="23"/>
          <w:szCs w:val="23"/>
          <w:u w:color="222222"/>
          <w:shd w:val="clear" w:color="auto" w:fill="FFFFFF"/>
        </w:rPr>
        <w:t>pt.</w:t>
      </w:r>
      <w:r w:rsidRPr="00AA0453">
        <w:rPr>
          <w:rStyle w:val="None"/>
          <w:color w:val="222222"/>
          <w:sz w:val="23"/>
          <w:szCs w:val="23"/>
          <w:u w:color="222222"/>
          <w:shd w:val="clear" w:color="auto" w:fill="FFFFFF"/>
        </w:rPr>
        <w:t xml:space="preserve"> 133 (2020)</w:t>
      </w:r>
      <w:r w:rsidR="00814AA1">
        <w:rPr>
          <w:rStyle w:val="None"/>
          <w:color w:val="222222"/>
          <w:sz w:val="23"/>
          <w:szCs w:val="23"/>
          <w:u w:color="222222"/>
          <w:shd w:val="clear" w:color="auto" w:fill="FFFFFF"/>
        </w:rPr>
        <w:t>.</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1902B73C" w:rsidR="00E9398D" w:rsidRDefault="00E9398D" w:rsidP="003E757A">
      <w:pPr>
        <w:pStyle w:val="Example"/>
        <w:ind w:left="1440"/>
        <w:rPr>
          <w:rStyle w:val="None"/>
        </w:rPr>
      </w:pPr>
      <w:r w:rsidRPr="00AA0453">
        <w:rPr>
          <w:rStyle w:val="None"/>
        </w:rPr>
        <w:t>16 N.Y. Codes, Rules &amp; Regs. §§ 895.1(f), 895.4(b) (2021)</w:t>
      </w:r>
      <w:r w:rsidR="00814AA1">
        <w:rPr>
          <w:rStyle w:val="None"/>
        </w:rPr>
        <w:t>.</w:t>
      </w:r>
    </w:p>
    <w:p w14:paraId="52D49885" w14:textId="77777777" w:rsidR="00AD5505" w:rsidRPr="00AA0453" w:rsidRDefault="00AD5505" w:rsidP="00700182">
      <w:pPr>
        <w:pStyle w:val="Example"/>
        <w:ind w:left="0"/>
        <w:rPr>
          <w:rStyle w:val="None"/>
        </w:rPr>
      </w:pPr>
    </w:p>
    <w:p w14:paraId="7A43FED3" w14:textId="5DB59AD2" w:rsidR="00E9398D" w:rsidRPr="00700182" w:rsidRDefault="00B10744" w:rsidP="00700182">
      <w:pPr>
        <w:pStyle w:val="Heading4"/>
        <w:rPr>
          <w:rFonts w:ascii="Georgia" w:hAnsi="Georgia"/>
        </w:rPr>
      </w:pPr>
      <w:r w:rsidRPr="00700182">
        <w:rPr>
          <w:rFonts w:ascii="Georgia" w:hAnsi="Georgia"/>
        </w:rPr>
        <w:t>R</w:t>
      </w:r>
      <w:r w:rsidR="00E9398D" w:rsidRPr="00700182">
        <w:rPr>
          <w:rFonts w:ascii="Georgia" w:hAnsi="Georgia"/>
        </w:rPr>
        <w:t>5.3</w:t>
      </w:r>
      <w:r w:rsidR="00E9398D" w:rsidRPr="00700182">
        <w:rPr>
          <w:rFonts w:ascii="Georgia" w:hAnsi="Georgia"/>
        </w:rPr>
        <w:tab/>
        <w:t>Par</w:t>
      </w:r>
      <w:r w:rsidR="00AD5505" w:rsidRPr="00700182">
        <w:rPr>
          <w:rFonts w:ascii="Georgia" w:hAnsi="Georgia"/>
        </w:rPr>
        <w:t>a</w:t>
      </w:r>
      <w:r w:rsidR="00E9398D" w:rsidRPr="00700182">
        <w:rPr>
          <w:rFonts w:ascii="Georgia" w:hAnsi="Georgia"/>
        </w:rPr>
        <w:t>graphs</w:t>
      </w:r>
    </w:p>
    <w:p w14:paraId="1D93D755" w14:textId="74E74A8A" w:rsidR="00E9398D" w:rsidRPr="00AA0453" w:rsidRDefault="00E9398D" w:rsidP="00B10744">
      <w:pPr>
        <w:pStyle w:val="Rule"/>
        <w:rPr>
          <w:rStyle w:val="None"/>
          <w:rFonts w:eastAsia="Georgia" w:cs="Georgia"/>
        </w:rPr>
      </w:pPr>
      <w:r w:rsidRPr="00AA0453">
        <w:rPr>
          <w:rStyle w:val="None"/>
          <w:rFonts w:eastAsia="Georgia" w:cs="Georgia"/>
        </w:rPr>
        <w:t>Sources organized into formal paragraphs should be cited with specific reference to the paragraph referred to in the cited proposition.</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5AA1CE01"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Aff. </w:t>
      </w:r>
      <w:r w:rsidRPr="00AA0453">
        <w:rPr>
          <w:rStyle w:val="None"/>
        </w:rPr>
        <w:t>¶ 8, Jan. 12, 2015</w:t>
      </w:r>
      <w:r w:rsidR="00814AA1">
        <w:rPr>
          <w:rStyle w:val="None"/>
        </w:rPr>
        <w:t>.</w:t>
      </w:r>
    </w:p>
    <w:p w14:paraId="6B77DE1D" w14:textId="0BD5F6F4" w:rsidR="00E9398D" w:rsidRDefault="00E9398D" w:rsidP="00B10744">
      <w:pPr>
        <w:pStyle w:val="Example"/>
        <w:ind w:left="1440"/>
        <w:rPr>
          <w:rStyle w:val="None"/>
        </w:rPr>
      </w:pPr>
      <w:r w:rsidRPr="00AA0453">
        <w:rPr>
          <w:rStyle w:val="None"/>
          <w:i/>
          <w:iCs/>
        </w:rPr>
        <w:t>In re N.A.</w:t>
      </w:r>
      <w:r w:rsidRPr="00AA0453">
        <w:rPr>
          <w:rStyle w:val="None"/>
        </w:rPr>
        <w:t>, 2021-NCCOA-2, ¶ 11</w:t>
      </w:r>
      <w:r w:rsidR="00814AA1">
        <w:rPr>
          <w:rStyle w:val="None"/>
        </w:rPr>
        <w:t>.</w:t>
      </w:r>
    </w:p>
    <w:p w14:paraId="57931288" w14:textId="403ABEF4" w:rsidR="00AD5505" w:rsidRDefault="00AD5505" w:rsidP="00AD5505">
      <w:pPr>
        <w:pStyle w:val="Example"/>
        <w:ind w:left="0"/>
        <w:rPr>
          <w:rStyle w:val="None"/>
          <w:rFonts w:eastAsia="Georgia" w:cs="Georgia"/>
        </w:rPr>
      </w:pPr>
    </w:p>
    <w:p w14:paraId="558786E2" w14:textId="77777777" w:rsidR="00AD5505" w:rsidRPr="00AA0453" w:rsidRDefault="00AD5505" w:rsidP="00B10744">
      <w:pPr>
        <w:pStyle w:val="Example"/>
        <w:ind w:left="1440"/>
        <w:rPr>
          <w:rStyle w:val="None"/>
          <w:rFonts w:eastAsia="Georgia" w:cs="Georgia"/>
        </w:rPr>
      </w:pP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is cited.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sources as a whole, but to specific pages within sources. In some standard legal documents, every textual sentence is followed by a citation to a supporting legal source. Short-citation forms allow frequent citation in a less intrusive and repetitive way, since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r w:rsidR="00704D45" w:rsidRPr="00AA0453">
        <w:rPr>
          <w:rStyle w:val="None"/>
          <w:rFonts w:ascii="Georgia" w:eastAsia="Georgia" w:hAnsi="Georgia" w:cs="Georgia"/>
        </w:rPr>
        <w:t>c</w:t>
      </w:r>
      <w:r w:rsidR="00E9398D" w:rsidRPr="00AA0453">
        <w:rPr>
          <w:rStyle w:val="None"/>
          <w:rFonts w:ascii="Georgia" w:eastAsia="Georgia" w:hAnsi="Georgia" w:cs="Georgia"/>
        </w:rPr>
        <w:t>itation</w:t>
      </w:r>
    </w:p>
    <w:p w14:paraId="21282139" w14:textId="1E91DE00" w:rsidR="00E9398D" w:rsidRPr="00AA0453" w:rsidRDefault="00E9398D" w:rsidP="003E757A">
      <w:pPr>
        <w:pStyle w:val="Rule"/>
        <w:rPr>
          <w:rStyle w:val="None"/>
        </w:rPr>
      </w:pPr>
      <w:r w:rsidRPr="00AA0453">
        <w:rPr>
          <w:rStyle w:val="None"/>
        </w:rPr>
        <w:t>Short-form citations enable various sources to used throughout a passage without repeating the entire full citation every time. Short-form citations generally identify the source and pincite,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be used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77777777"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(uncapitalized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 </w:t>
      </w:r>
      <w:r w:rsidRPr="00AA0453">
        <w:rPr>
          <w:rStyle w:val="None"/>
          <w:i/>
          <w:iCs/>
        </w:rPr>
        <w:t xml:space="preserve"> </w:t>
      </w:r>
    </w:p>
    <w:p w14:paraId="3C66132A" w14:textId="77777777" w:rsidR="00E9398D" w:rsidRPr="00AA0453" w:rsidRDefault="00E9398D" w:rsidP="003E757A">
      <w:pPr>
        <w:pStyle w:val="Rule"/>
        <w:rPr>
          <w:rStyle w:val="None"/>
        </w:rPr>
      </w:pPr>
      <w:r w:rsidRPr="00AA0453">
        <w:rPr>
          <w:rStyle w:val="None"/>
          <w:i/>
          <w:iCs/>
        </w:rPr>
        <w:t xml:space="preserve">Id. </w:t>
      </w:r>
      <w:r w:rsidRPr="00AA0453">
        <w:rPr>
          <w:rStyle w:val="None"/>
        </w:rPr>
        <w:t xml:space="preserve">can be used alone, to indicate the same page of the same source. It can be used with a new pincite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be used after a string citation, even to refer to the final source listed in that string. Do not use </w:t>
      </w:r>
      <w:r w:rsidRPr="00AA0453">
        <w:rPr>
          <w:i/>
          <w:iCs/>
        </w:rPr>
        <w:t>id.</w:t>
      </w:r>
      <w:r w:rsidRPr="00AA0453">
        <w:t xml:space="preserve"> to refer to appellate-record citations such as R. at 2. It may be used for sources with longer names in litigation documents, so long as the reference remains clear. </w:t>
      </w:r>
    </w:p>
    <w:p w14:paraId="3D78BA7E" w14:textId="30309D0F" w:rsidR="00E9398D" w:rsidRPr="00AA0453" w:rsidRDefault="00E9398D" w:rsidP="003E757A">
      <w:pPr>
        <w:pStyle w:val="Rule"/>
        <w:rPr>
          <w:rStyle w:val="None"/>
        </w:rPr>
      </w:pPr>
      <w:r w:rsidRPr="00AA0453">
        <w:rPr>
          <w:rStyle w:val="None"/>
          <w:i/>
          <w:iCs/>
        </w:rPr>
        <w:t>Id.</w:t>
      </w:r>
      <w:r w:rsidRPr="00AA0453">
        <w:rPr>
          <w:rStyle w:val="None"/>
        </w:rPr>
        <w:t xml:space="preserve"> can be used </w:t>
      </w:r>
      <w:r w:rsidR="00452908" w:rsidRPr="00AA0453">
        <w:rPr>
          <w:rStyle w:val="None"/>
        </w:rPr>
        <w:t xml:space="preserve">to refer to the immediately preceding citation </w:t>
      </w:r>
      <w:r w:rsidRPr="00AA0453">
        <w:rPr>
          <w:rStyle w:val="None"/>
        </w:rPr>
        <w:t xml:space="preserve">in </w:t>
      </w:r>
      <w:r w:rsidR="00452908" w:rsidRPr="00AA0453">
        <w:rPr>
          <w:rStyle w:val="None"/>
        </w:rPr>
        <w:t xml:space="preserve">either </w:t>
      </w:r>
      <w:r w:rsidRPr="00AA0453">
        <w:rPr>
          <w:rStyle w:val="None"/>
        </w:rPr>
        <w:t xml:space="preserve">in-text citations or footnotes. Each of the full and short citations in the examples above could be placed instead into footnotes. </w:t>
      </w:r>
      <w:r w:rsidR="00452908" w:rsidRPr="00AA0453">
        <w:rPr>
          <w:rStyle w:val="None"/>
          <w:i/>
          <w:iCs/>
        </w:rPr>
        <w:t>Id.</w:t>
      </w:r>
      <w:r w:rsidR="00452908" w:rsidRPr="00AA0453">
        <w:rPr>
          <w:rStyle w:val="None"/>
        </w:rPr>
        <w:t xml:space="preserve"> is typically not used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099BC84D" w14:textId="76CA9859" w:rsidR="00AB104A" w:rsidRDefault="00E9398D" w:rsidP="004B1AFD">
      <w:pPr>
        <w:pStyle w:val="Rule"/>
        <w:rPr>
          <w:rStyle w:val="None"/>
        </w:rPr>
      </w:pPr>
      <w:r w:rsidRPr="00AA0453">
        <w:rPr>
          <w:rStyle w:val="None"/>
          <w:i/>
          <w:iCs/>
        </w:rPr>
        <w:t>Supra</w:t>
      </w:r>
      <w:r w:rsidRPr="00AA0453">
        <w:rPr>
          <w:rStyle w:val="None"/>
        </w:rPr>
        <w:t xml:space="preserve"> may be used </w:t>
      </w:r>
      <w:r w:rsidR="000F6DA2">
        <w:rPr>
          <w:rStyle w:val="None"/>
        </w:rPr>
        <w:t xml:space="preserve">as part of a short-form citation with </w:t>
      </w:r>
      <w:r w:rsidRPr="00AA0453">
        <w:rPr>
          <w:rStyle w:val="None"/>
        </w:rPr>
        <w:t>secondary sources such as books</w:t>
      </w:r>
      <w:r w:rsidR="008501E8">
        <w:rPr>
          <w:rStyle w:val="None"/>
        </w:rPr>
        <w:t xml:space="preserve">, </w:t>
      </w:r>
      <w:r w:rsidRPr="00AA0453">
        <w:rPr>
          <w:rStyle w:val="None"/>
        </w:rPr>
        <w:t>periodicals</w:t>
      </w:r>
      <w:r w:rsidR="008501E8">
        <w:rPr>
          <w:rStyle w:val="None"/>
        </w:rPr>
        <w:t>, internet sources</w:t>
      </w:r>
      <w:r w:rsidRPr="00AA0453">
        <w:rPr>
          <w:rStyle w:val="None"/>
        </w:rPr>
        <w:t>.</w:t>
      </w:r>
      <w:r w:rsidR="008501E8">
        <w:rPr>
          <w:rStyle w:val="None"/>
        </w:rPr>
        <w:t xml:space="preserve"> </w:t>
      </w:r>
      <w:r w:rsidR="00AB104A" w:rsidRPr="00AA0453">
        <w:rPr>
          <w:rStyle w:val="None"/>
        </w:rPr>
        <w:t xml:space="preserve">Legislative hearings may be referred to with </w:t>
      </w:r>
      <w:r w:rsidR="00AB104A" w:rsidRPr="00AA0453">
        <w:rPr>
          <w:rStyle w:val="None"/>
          <w:i/>
          <w:iCs/>
        </w:rPr>
        <w:t>supra</w:t>
      </w:r>
      <w:r w:rsidR="00AB104A">
        <w:rPr>
          <w:rStyle w:val="None"/>
        </w:rPr>
        <w:t xml:space="preserve">. </w:t>
      </w:r>
      <w:r w:rsidR="008501E8">
        <w:rPr>
          <w:rStyle w:val="None"/>
        </w:rPr>
        <w:t xml:space="preserve">Do not use </w:t>
      </w:r>
      <w:r w:rsidR="008501E8">
        <w:rPr>
          <w:rStyle w:val="None"/>
          <w:i/>
          <w:iCs/>
        </w:rPr>
        <w:t>supra</w:t>
      </w:r>
      <w:r w:rsidR="008501E8">
        <w:rPr>
          <w:rStyle w:val="None"/>
        </w:rPr>
        <w:t xml:space="preserve"> with </w:t>
      </w:r>
      <w:r w:rsidR="00821656">
        <w:rPr>
          <w:rStyle w:val="None"/>
        </w:rPr>
        <w:t>primary sources such as cases, statutes, constitutions, and most legislative materials</w:t>
      </w:r>
      <w:r w:rsidR="00AB104A">
        <w:rPr>
          <w:rStyle w:val="None"/>
        </w:rPr>
        <w:t xml:space="preserve"> (hearings excepted)</w:t>
      </w:r>
      <w:r w:rsidR="00821656">
        <w:rPr>
          <w:rStyle w:val="None"/>
        </w:rPr>
        <w:t xml:space="preserve">. Also do not use </w:t>
      </w:r>
      <w:r w:rsidR="00932FC5">
        <w:rPr>
          <w:rStyle w:val="None"/>
          <w:i/>
          <w:iCs/>
        </w:rPr>
        <w:t>supra</w:t>
      </w:r>
      <w:r w:rsidR="00932FC5">
        <w:rPr>
          <w:rStyle w:val="None"/>
        </w:rPr>
        <w:t xml:space="preserve"> with Restatements, model codes, or regulations.</w:t>
      </w:r>
      <w:r w:rsidRPr="00AA0453">
        <w:rPr>
          <w:rStyle w:val="None"/>
        </w:rPr>
        <w:t xml:space="preserve"> </w:t>
      </w:r>
    </w:p>
    <w:p w14:paraId="55BA5B04" w14:textId="109A46D3" w:rsidR="00E9398D" w:rsidRPr="00932FC5" w:rsidRDefault="00AB104A" w:rsidP="004B1AFD">
      <w:pPr>
        <w:pStyle w:val="Rule"/>
        <w:rPr>
          <w:rStyle w:val="None"/>
          <w:rFonts w:eastAsia="Georgia" w:cs="Georgia"/>
        </w:rPr>
      </w:pPr>
      <w:r>
        <w:rPr>
          <w:rStyle w:val="None"/>
        </w:rPr>
        <w:t xml:space="preserve">Apart from its use in selected legal citations, </w:t>
      </w:r>
      <w:r>
        <w:rPr>
          <w:rStyle w:val="None"/>
          <w:i/>
          <w:iCs/>
        </w:rPr>
        <w:t>supra</w:t>
      </w:r>
      <w:r w:rsidR="00932FC5">
        <w:rPr>
          <w:rStyle w:val="None"/>
          <w:i/>
          <w:iCs/>
        </w:rPr>
        <w:t xml:space="preserve"> </w:t>
      </w:r>
      <w:r w:rsidR="00932FC5">
        <w:rPr>
          <w:rStyle w:val="None"/>
        </w:rPr>
        <w:t>may also be used as an internal cross referenc</w:t>
      </w:r>
      <w:r>
        <w:rPr>
          <w:rStyle w:val="None"/>
        </w:rPr>
        <w:t>e.</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763AC6C1"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w:t>
      </w:r>
      <w:r w:rsidR="00BF13D9">
        <w:rPr>
          <w:rStyle w:val="None"/>
        </w:rPr>
        <w:t>.</w:t>
      </w:r>
      <w:r w:rsidRPr="00AA0453">
        <w:rPr>
          <w:rStyle w:val="None"/>
        </w:rPr>
        <w:t xml:space="preserve">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at 100.</w:t>
      </w:r>
    </w:p>
    <w:p w14:paraId="38F211EA" w14:textId="77777777" w:rsidR="004B1AFD" w:rsidRPr="00AA0453" w:rsidRDefault="00E9398D" w:rsidP="004B1AFD">
      <w:pPr>
        <w:pStyle w:val="Example"/>
        <w:ind w:left="2160"/>
        <w:rPr>
          <w:rStyle w:val="None"/>
          <w:b/>
          <w:bCs/>
        </w:rPr>
      </w:pPr>
      <w:r w:rsidRPr="00AA0453">
        <w:rPr>
          <w:rStyle w:val="None"/>
          <w:b/>
          <w:bCs/>
        </w:rPr>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5,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In academic legal documents using footnotes, a “preceding five” norm has developed wherein one may continue to use a short form citation as long as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There has been some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repeatedly, in which event they follow the “preceding five” rule to avoid potential ambiguity. However, none of these conventions are absolute. Short-citation forms should be used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3F2AADFB" w14:textId="77777777" w:rsidR="000312EE"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w:t>
      </w:r>
    </w:p>
    <w:p w14:paraId="6E1EE7B7"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T1</w:t>
      </w:r>
      <w:r>
        <w:rPr>
          <w:rStyle w:val="None"/>
          <w:rFonts w:eastAsia="Georgia" w:cs="Georgia"/>
        </w:rPr>
        <w:t>,</w:t>
      </w:r>
      <w:r w:rsidR="000312EE">
        <w:rPr>
          <w:rStyle w:val="None"/>
          <w:rFonts w:eastAsia="Georgia" w:cs="Georgia"/>
        </w:rPr>
        <w:t xml:space="preserve"> </w:t>
      </w:r>
      <w:r w:rsidR="000312EE" w:rsidRPr="00946189">
        <w:rPr>
          <w:rStyle w:val="Rulereferencecharacterstyle"/>
        </w:rPr>
        <w:t>Table</w:t>
      </w:r>
      <w:r w:rsidRPr="00946189">
        <w:rPr>
          <w:rStyle w:val="Rulereferencecharacterstyle"/>
        </w:rPr>
        <w:t xml:space="preserve"> T2</w:t>
      </w:r>
      <w:r>
        <w:rPr>
          <w:rStyle w:val="None"/>
          <w:rFonts w:eastAsia="Georgia" w:cs="Georgia"/>
        </w:rPr>
        <w:t>, and</w:t>
      </w:r>
      <w:r w:rsidRPr="00946189">
        <w:rPr>
          <w:rStyle w:val="Rulereferencecharacterstyle"/>
        </w:rPr>
        <w:t xml:space="preserve"> </w:t>
      </w:r>
      <w:r w:rsidR="000312EE" w:rsidRPr="00946189">
        <w:rPr>
          <w:rStyle w:val="Rulereferencecharacterstyle"/>
        </w:rPr>
        <w:t xml:space="preserve">Table </w:t>
      </w:r>
      <w:r w:rsidRPr="00946189">
        <w:rPr>
          <w:rStyle w:val="Rulereferencecharacterstyle"/>
        </w:rPr>
        <w:t>T3</w:t>
      </w:r>
      <w:r>
        <w:rPr>
          <w:rStyle w:val="None"/>
          <w:rFonts w:eastAsia="Georgia" w:cs="Georgia"/>
        </w:rPr>
        <w:t xml:space="preserve"> provide information and abbreviations relevant to federal and state primary-source citations. </w:t>
      </w:r>
    </w:p>
    <w:p w14:paraId="19677DD8"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T4</w:t>
      </w:r>
      <w:r>
        <w:rPr>
          <w:rStyle w:val="None"/>
          <w:rFonts w:eastAsia="Georgia" w:cs="Georgia"/>
        </w:rPr>
        <w:t xml:space="preserve"> provides abbreviation for looseleaf services compiling cases and other legal sources in frequently updated topical collections. </w:t>
      </w:r>
    </w:p>
    <w:p w14:paraId="47A90733"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T5</w:t>
      </w:r>
      <w:r>
        <w:rPr>
          <w:rStyle w:val="None"/>
          <w:rFonts w:eastAsia="Georgia" w:cs="Georgia"/>
        </w:rPr>
        <w:t xml:space="preserve"> provides legislative abbreviations. </w:t>
      </w:r>
    </w:p>
    <w:p w14:paraId="4136A2EF" w14:textId="2C97B562" w:rsidR="00421E61" w:rsidRDefault="00DB7B3F" w:rsidP="00421E61">
      <w:pPr>
        <w:pStyle w:val="Rule"/>
        <w:numPr>
          <w:ilvl w:val="0"/>
          <w:numId w:val="105"/>
        </w:numPr>
        <w:rPr>
          <w:rStyle w:val="None"/>
          <w:rFonts w:eastAsia="Georgia" w:cs="Georgia"/>
        </w:rPr>
      </w:pPr>
      <w:r w:rsidRPr="00946189">
        <w:rPr>
          <w:rStyle w:val="Rulereferencecharacterstyle"/>
        </w:rPr>
        <w:t>Tables T6, T7, and T8</w:t>
      </w:r>
      <w:r>
        <w:rPr>
          <w:rStyle w:val="None"/>
          <w:rFonts w:eastAsia="Georgia" w:cs="Georgia"/>
        </w:rPr>
        <w:t xml:space="preserve"> provide abbreviations for international, treaty, and arbitration sources</w:t>
      </w:r>
      <w:r w:rsidR="00E04D71">
        <w:rPr>
          <w:rStyle w:val="None"/>
          <w:rFonts w:eastAsia="Georgia" w:cs="Georgia"/>
        </w:rPr>
        <w:t>.</w:t>
      </w:r>
      <w:r w:rsidR="00602747">
        <w:rPr>
          <w:rStyle w:val="None"/>
          <w:rFonts w:eastAsia="Georgia" w:cs="Georgia"/>
        </w:rPr>
        <w:t xml:space="preserve"> </w:t>
      </w:r>
    </w:p>
    <w:p w14:paraId="31E85A8F" w14:textId="321524B2" w:rsidR="00EE6733" w:rsidRDefault="00602747" w:rsidP="00EE6733">
      <w:pPr>
        <w:pStyle w:val="Rule"/>
        <w:numPr>
          <w:ilvl w:val="0"/>
          <w:numId w:val="105"/>
        </w:numPr>
        <w:rPr>
          <w:rStyle w:val="None"/>
          <w:rFonts w:eastAsia="Georgia" w:cs="Georgia"/>
        </w:rPr>
      </w:pPr>
      <w:r w:rsidRPr="00E04D71">
        <w:rPr>
          <w:rStyle w:val="Rulereferencecharacterstyle"/>
        </w:rPr>
        <w:t>Table T9</w:t>
      </w:r>
      <w:r>
        <w:rPr>
          <w:rStyle w:val="None"/>
          <w:rFonts w:eastAsia="Georgia" w:cs="Georgia"/>
        </w:rPr>
        <w:t xml:space="preserve"> and </w:t>
      </w:r>
      <w:r w:rsidR="00E04D71" w:rsidRPr="00E04D71">
        <w:rPr>
          <w:rStyle w:val="Rulereferencecharacterstyle"/>
        </w:rPr>
        <w:t xml:space="preserve">Table </w:t>
      </w:r>
      <w:r w:rsidRPr="00E04D71">
        <w:rPr>
          <w:rStyle w:val="Rulereferencecharacterstyle"/>
        </w:rPr>
        <w:t>T10</w:t>
      </w:r>
      <w:r>
        <w:rPr>
          <w:rStyle w:val="None"/>
          <w:rFonts w:eastAsia="Georgia" w:cs="Georgia"/>
        </w:rPr>
        <w:t xml:space="preserve"> provide abbreviations for specific types of U.S. courts and the titles of judges and officials.</w:t>
      </w:r>
    </w:p>
    <w:p w14:paraId="65278049" w14:textId="77777777" w:rsidR="00EE6733" w:rsidRDefault="00602747" w:rsidP="00EE6733">
      <w:pPr>
        <w:pStyle w:val="Rule"/>
        <w:numPr>
          <w:ilvl w:val="0"/>
          <w:numId w:val="105"/>
        </w:numPr>
        <w:rPr>
          <w:rStyle w:val="None"/>
          <w:rFonts w:eastAsia="Georgia" w:cs="Georgia"/>
        </w:rPr>
      </w:pPr>
      <w:r w:rsidRPr="00E04D71">
        <w:rPr>
          <w:rStyle w:val="Rulereferencecharacterstyle"/>
        </w:rPr>
        <w:t>Table T11</w:t>
      </w:r>
      <w:r w:rsidRPr="00EE6733">
        <w:rPr>
          <w:rStyle w:val="None"/>
          <w:rFonts w:eastAsia="Georgia" w:cs="Georgia"/>
        </w:rPr>
        <w:t xml:space="preserve"> is of particular interest to many law students and others grappling with cases and periodical citations. It provides common-word abbreviations used in case names and for institutional authors and periodical titles. </w:t>
      </w:r>
      <w:r w:rsidRPr="00E04D71">
        <w:rPr>
          <w:rStyle w:val="Rulereferencecharacterstyle"/>
        </w:rPr>
        <w:t>Table T12</w:t>
      </w:r>
      <w:r w:rsidRPr="00EE6733">
        <w:rPr>
          <w:rStyle w:val="None"/>
          <w:rFonts w:eastAsia="Georgia" w:cs="Georgia"/>
        </w:rPr>
        <w:t xml:space="preserve"> provides geographical abbreviations.</w:t>
      </w:r>
    </w:p>
    <w:p w14:paraId="7FCA4F5F" w14:textId="77777777" w:rsidR="00E04D71" w:rsidRDefault="00602747" w:rsidP="00E04D71">
      <w:pPr>
        <w:pStyle w:val="Rule"/>
        <w:numPr>
          <w:ilvl w:val="0"/>
          <w:numId w:val="105"/>
        </w:numPr>
        <w:rPr>
          <w:rStyle w:val="None"/>
          <w:rFonts w:eastAsia="Georgia" w:cs="Georgia"/>
        </w:rPr>
      </w:pPr>
      <w:r w:rsidRPr="00E04D71">
        <w:rPr>
          <w:rStyle w:val="Rulereferencecharacterstyle"/>
        </w:rPr>
        <w:t>Table T13</w:t>
      </w:r>
      <w:r w:rsidRPr="00EE6733">
        <w:rPr>
          <w:rStyle w:val="None"/>
          <w:rFonts w:eastAsia="Georgia" w:cs="Georgia"/>
        </w:rPr>
        <w:t xml:space="preserve"> provides abbreviations for document subdivisions, and </w:t>
      </w:r>
      <w:r w:rsidR="00E04D71">
        <w:rPr>
          <w:rStyle w:val="None"/>
          <w:rFonts w:eastAsia="Georgia" w:cs="Georgia"/>
        </w:rPr>
        <w:t xml:space="preserve">Table </w:t>
      </w:r>
      <w:r w:rsidRPr="00EE6733">
        <w:rPr>
          <w:rStyle w:val="None"/>
          <w:rFonts w:eastAsia="Georgia" w:cs="Georgia"/>
        </w:rPr>
        <w:t>T14 provides abbreviations for explanatory phrases.</w:t>
      </w:r>
    </w:p>
    <w:p w14:paraId="230D66B5" w14:textId="77777777" w:rsidR="00E04D71" w:rsidRDefault="00602747" w:rsidP="00E04D71">
      <w:pPr>
        <w:pStyle w:val="Rule"/>
        <w:numPr>
          <w:ilvl w:val="0"/>
          <w:numId w:val="105"/>
        </w:numPr>
        <w:rPr>
          <w:rStyle w:val="None"/>
          <w:rFonts w:eastAsia="Georgia" w:cs="Georgia"/>
        </w:rPr>
      </w:pPr>
      <w:r w:rsidRPr="00E04D71">
        <w:rPr>
          <w:rStyle w:val="Rulereferencecharacterstyle"/>
        </w:rPr>
        <w:t xml:space="preserve">Table </w:t>
      </w:r>
      <w:r w:rsidR="00E04D71" w:rsidRPr="00E04D71">
        <w:rPr>
          <w:rStyle w:val="Rulereferencecharacterstyle"/>
        </w:rPr>
        <w:t>T</w:t>
      </w:r>
      <w:r w:rsidRPr="00E04D71">
        <w:rPr>
          <w:rStyle w:val="Rulereferencecharacterstyle"/>
        </w:rPr>
        <w:t>15</w:t>
      </w:r>
      <w:r w:rsidRPr="00E04D71">
        <w:rPr>
          <w:rStyle w:val="None"/>
          <w:rFonts w:eastAsia="Georgia" w:cs="Georgia"/>
        </w:rPr>
        <w:t xml:space="preserve"> provides abbreviations for specific institutional names in periodical titles, and thus these abbreviations take precedence over any conflicting common-word abbreviations for institutional names from Table </w:t>
      </w:r>
      <w:r w:rsidR="00E04D71">
        <w:rPr>
          <w:rStyle w:val="None"/>
          <w:rFonts w:eastAsia="Georgia" w:cs="Georgia"/>
        </w:rPr>
        <w:t>T</w:t>
      </w:r>
      <w:r w:rsidRPr="00E04D71">
        <w:rPr>
          <w:rStyle w:val="None"/>
          <w:rFonts w:eastAsia="Georgia" w:cs="Georgia"/>
        </w:rPr>
        <w:t>12. For example, the American Bar Association is ABA, not Amer. Bar. Ass’n, when used as an institutional author.</w:t>
      </w:r>
    </w:p>
    <w:p w14:paraId="4BDCEA13" w14:textId="25A6831C" w:rsidR="00E04D71" w:rsidRPr="00E04D71"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E04D71" w:rsidRPr="008565BF">
        <w:rPr>
          <w:rStyle w:val="Rulereferencecharacterstyle"/>
        </w:rPr>
        <w:t>T</w:t>
      </w:r>
      <w:r w:rsidRPr="008565BF">
        <w:rPr>
          <w:rStyle w:val="Rulereferencecharacterstyle"/>
        </w:rPr>
        <w:t>16</w:t>
      </w:r>
      <w:r w:rsidRPr="00E04D71">
        <w:rPr>
          <w:rStyle w:val="None"/>
          <w:rFonts w:eastAsia="Georgia" w:cs="Georgia"/>
        </w:rPr>
        <w:t xml:space="preserve"> provides abbreviations for publishing terms such as editor and translator. </w:t>
      </w:r>
      <w:r w:rsidRPr="008565BF">
        <w:rPr>
          <w:rStyle w:val="Rulereferencecharacterstyle"/>
        </w:rPr>
        <w:t xml:space="preserve">Table </w:t>
      </w:r>
      <w:r w:rsidR="00E04D71" w:rsidRPr="008565BF">
        <w:rPr>
          <w:rStyle w:val="Rulereferencecharacterstyle"/>
        </w:rPr>
        <w:t>T</w:t>
      </w:r>
      <w:r w:rsidRPr="008565BF">
        <w:rPr>
          <w:rStyle w:val="Rulereferencecharacterstyle"/>
        </w:rPr>
        <w:t>17</w:t>
      </w:r>
      <w:r w:rsidRPr="00E04D71">
        <w:rPr>
          <w:rStyle w:val="None"/>
          <w:rFonts w:eastAsia="Georgia" w:cs="Georgia"/>
        </w:rPr>
        <w:t xml:space="preserve"> provides abbreviations for the months of the year, needed in some periodical citations and </w:t>
      </w:r>
      <w:r w:rsidR="00106D1D" w:rsidRPr="00E04D71">
        <w:rPr>
          <w:rStyle w:val="None"/>
          <w:rFonts w:eastAsia="Georgia" w:cs="Georgia"/>
        </w:rPr>
        <w:t xml:space="preserve">in slip-opinion citations and other cases </w:t>
      </w:r>
      <w:r w:rsidRPr="00E04D71">
        <w:rPr>
          <w:rStyle w:val="None"/>
          <w:rFonts w:eastAsia="Georgia" w:cs="Georgia"/>
        </w:rPr>
        <w:t xml:space="preserve">found online rather than in reporters (thus requiring exact dates). </w:t>
      </w:r>
    </w:p>
    <w:p w14:paraId="1F2C0CC5" w14:textId="77777777" w:rsidR="008565BF"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18</w:t>
      </w:r>
      <w:r w:rsidRPr="00E04D71">
        <w:rPr>
          <w:rStyle w:val="None"/>
          <w:rFonts w:eastAsia="Georgia" w:cs="Georgia"/>
        </w:rPr>
        <w:t xml:space="preserve"> is new to the Second Edition of </w:t>
      </w:r>
      <w:r w:rsidRPr="00E04D71">
        <w:rPr>
          <w:rStyle w:val="None"/>
          <w:rFonts w:eastAsia="Georgia" w:cs="Georgia"/>
          <w:i/>
          <w:iCs/>
        </w:rPr>
        <w:t>The Indigo Book</w:t>
      </w:r>
      <w:r w:rsidRPr="00E04D71">
        <w:rPr>
          <w:rStyle w:val="None"/>
          <w:rFonts w:eastAsia="Georgia" w:cs="Georgia"/>
        </w:rPr>
        <w:t xml:space="preserve"> and </w:t>
      </w:r>
      <w:r w:rsidR="006D190E" w:rsidRPr="00E04D71">
        <w:rPr>
          <w:rStyle w:val="None"/>
          <w:rFonts w:eastAsia="Georgia" w:cs="Georgia"/>
        </w:rPr>
        <w:t xml:space="preserve">provides abbreviations for litigation documents such as citing an affidavit or petition for certiorari. </w:t>
      </w:r>
    </w:p>
    <w:p w14:paraId="21A72A8E" w14:textId="77777777" w:rsidR="008565BF" w:rsidRDefault="006D190E"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19</w:t>
      </w:r>
      <w:r w:rsidRPr="00E04D71">
        <w:rPr>
          <w:rStyle w:val="None"/>
          <w:rFonts w:eastAsia="Georgia" w:cs="Georgia"/>
        </w:rPr>
        <w:t xml:space="preserve"> is also new and shows selective examples of how the Uniform System of Citation produces citations in standard and academic formats—in other words, a guide to converting the practical citations in </w:t>
      </w:r>
      <w:r w:rsidRPr="00E04D71">
        <w:rPr>
          <w:rStyle w:val="None"/>
          <w:rFonts w:eastAsia="Georgia" w:cs="Georgia"/>
          <w:i/>
          <w:iCs/>
        </w:rPr>
        <w:t>The Indigo Book</w:t>
      </w:r>
      <w:r w:rsidRPr="00E04D71">
        <w:rPr>
          <w:rStyle w:val="None"/>
          <w:rFonts w:eastAsia="Georgia" w:cs="Georgia"/>
        </w:rPr>
        <w:t xml:space="preserve"> into a citation for an academic legal document (a law review). This Table is certainly not comprehensive but provides a</w:t>
      </w:r>
      <w:r w:rsidR="006D08A6" w:rsidRPr="00E04D71">
        <w:rPr>
          <w:rStyle w:val="None"/>
          <w:rFonts w:eastAsia="Georgia" w:cs="Georgia"/>
        </w:rPr>
        <w:t xml:space="preserve"> quick view into the font differences within the two branches of the Uniform System of Citation. </w:t>
      </w:r>
    </w:p>
    <w:p w14:paraId="5A2304D6" w14:textId="25185E1B" w:rsidR="00602747" w:rsidRPr="00E04D71" w:rsidRDefault="006D08A6" w:rsidP="00E04D71">
      <w:pPr>
        <w:pStyle w:val="Rule"/>
        <w:numPr>
          <w:ilvl w:val="0"/>
          <w:numId w:val="105"/>
        </w:numPr>
        <w:rPr>
          <w:rStyle w:val="None"/>
          <w:rFonts w:eastAsia="Georgia" w:cs="Georgia"/>
        </w:rPr>
      </w:pPr>
      <w:r w:rsidRPr="00E04D71">
        <w:rPr>
          <w:rStyle w:val="None"/>
          <w:rFonts w:eastAsia="Georgia" w:cs="Georgia"/>
        </w:rPr>
        <w:t xml:space="preserve">Finally, </w:t>
      </w:r>
      <w:r w:rsidRPr="008565BF">
        <w:rPr>
          <w:rStyle w:val="Rulereferencecharacterstyle"/>
        </w:rPr>
        <w:t>Table T20</w:t>
      </w:r>
      <w:r w:rsidRPr="00E04D71">
        <w:rPr>
          <w:rStyle w:val="None"/>
          <w:rFonts w:eastAsia="Georgia" w:cs="Georgia"/>
        </w:rPr>
        <w:t xml:space="preserve"> provides selective citations to additional online citation guides. </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5D650E1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r w:rsidR="00BF13D9">
        <w:rPr>
          <w:rStyle w:val="None"/>
          <w:rFonts w:ascii="Georgia" w:eastAsia="Georgia" w:hAnsi="Georgia" w:cs="Georgia"/>
        </w:rPr>
        <w:t xml:space="preserve"> in Citations</w:t>
      </w:r>
    </w:p>
    <w:p w14:paraId="7A75E8BA" w14:textId="1E08983D" w:rsidR="00E9398D" w:rsidRPr="00AA0453" w:rsidRDefault="00452908" w:rsidP="00BF13D9">
      <w:pPr>
        <w:pStyle w:val="Rule"/>
        <w:rPr>
          <w:rStyle w:val="None"/>
          <w:rFonts w:eastAsia="Georgia" w:cs="Georgia"/>
        </w:rPr>
      </w:pPr>
      <w:r w:rsidRPr="00AA0453">
        <w:rPr>
          <w:rStyle w:val="None"/>
          <w:rFonts w:eastAsia="Georgia" w:cs="Georgia"/>
        </w:rPr>
        <w:t xml:space="preserve">Ordinal abbreviations, most commonly found in the court/year parenthetical of a case citation, </w:t>
      </w:r>
      <w:r w:rsidR="00E9398D" w:rsidRPr="00AA0453">
        <w:rPr>
          <w:rStyle w:val="None"/>
          <w:rFonts w:eastAsia="Georgia" w:cs="Georgia"/>
        </w:rPr>
        <w:t>do not use superscripts.</w:t>
      </w:r>
      <w:r w:rsidRPr="00AA0453">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w:t>
      </w:r>
      <w:r w:rsidRPr="006A2EC1">
        <w:rPr>
          <w:rStyle w:val="Rulereferencecharacterstyle"/>
        </w:rPr>
        <w:t>Rule R11</w:t>
      </w:r>
      <w:r w:rsidRPr="00AA0453">
        <w:rPr>
          <w:rFonts w:eastAsia="Georgia" w:cs="Georgia"/>
        </w:rPr>
        <w:t xml:space="preserve"> </w:t>
      </w:r>
      <w:r w:rsidRPr="00AA0453">
        <w:rPr>
          <w:rStyle w:val="None"/>
          <w:rFonts w:eastAsia="Georgia" w:cs="Georgia"/>
        </w:rPr>
        <w:t xml:space="preserve">generally and </w:t>
      </w:r>
      <w:r w:rsidRPr="008565BF">
        <w:rPr>
          <w:rStyle w:val="Rulereferencecharacterstyle"/>
        </w:rPr>
        <w:t xml:space="preserve">Table </w:t>
      </w:r>
      <w:r w:rsidR="00FF6E25" w:rsidRPr="008565BF">
        <w:rPr>
          <w:rStyle w:val="Rulereferencecharacterstyle"/>
        </w:rPr>
        <w:t>T</w:t>
      </w:r>
      <w:r w:rsidRPr="008565BF">
        <w:rPr>
          <w:rStyle w:val="Rulereferencecharacterstyle"/>
        </w:rPr>
        <w:t>1</w:t>
      </w:r>
      <w:r w:rsidRPr="00AA0453">
        <w:rPr>
          <w:rStyle w:val="None"/>
          <w:rFonts w:eastAsia="Georgia" w:cs="Georgia"/>
        </w:rPr>
        <w:t xml:space="preserve"> for the United States Courts of Appeal</w:t>
      </w:r>
      <w:r w:rsidR="0029598D">
        <w:rPr>
          <w:rStyle w:val="None"/>
          <w:rFonts w:eastAsia="Georgia" w:cs="Georgia"/>
        </w:rPr>
        <w:t>s (i.e. the various federal circuit courts)</w:t>
      </w:r>
      <w:r w:rsidRPr="00AA0453">
        <w:rPr>
          <w:rStyle w:val="None"/>
          <w:rFonts w:eastAsia="Georgia" w:cs="Georgia"/>
        </w:rPr>
        <w:t>.</w:t>
      </w:r>
      <w:r w:rsidR="00BF13D9">
        <w:rPr>
          <w:rStyle w:val="None"/>
          <w:rFonts w:eastAsia="Georgia" w:cs="Georgia"/>
        </w:rPr>
        <w:t xml:space="preserve"> </w:t>
      </w:r>
      <w:r w:rsidR="00BF13D9" w:rsidRPr="00AA0453">
        <w:rPr>
          <w:rStyle w:val="None"/>
          <w:rFonts w:eastAsia="Georgia" w:cs="Georgia"/>
        </w:rPr>
        <w:t xml:space="preserve">Abbreviations for courts in the </w:t>
      </w:r>
      <w:r w:rsidR="00BF13D9" w:rsidRPr="00AA0453">
        <w:rPr>
          <w:rStyle w:val="None"/>
        </w:rPr>
        <w:t xml:space="preserve">“second” and “third” district use ordinal style references </w:t>
      </w:r>
      <w:r w:rsidR="00BF13D9">
        <w:rPr>
          <w:rStyle w:val="None"/>
        </w:rPr>
        <w:t xml:space="preserve">2d and 3d, respectively, </w:t>
      </w:r>
      <w:r w:rsidR="00BF13D9" w:rsidRPr="00AA0453">
        <w:rPr>
          <w:rStyle w:val="None"/>
        </w:rPr>
        <w:t>within citations</w:t>
      </w:r>
      <w:r w:rsidR="00BF13D9">
        <w:rPr>
          <w:rStyle w:val="None"/>
        </w:rPr>
        <w:t>.</w:t>
      </w:r>
    </w:p>
    <w:p w14:paraId="186E28AD" w14:textId="5B7D325C" w:rsidR="00E9398D" w:rsidRPr="00AA0453" w:rsidRDefault="00E543E4" w:rsidP="003E757A">
      <w:pPr>
        <w:pStyle w:val="Example"/>
        <w:ind w:left="1440"/>
        <w:rPr>
          <w:rStyle w:val="None"/>
          <w:b/>
          <w:bCs/>
        </w:rPr>
      </w:pPr>
      <w:r w:rsidRPr="00AA0453">
        <w:rPr>
          <w:rStyle w:val="None"/>
          <w:b/>
          <w:bCs/>
        </w:rPr>
        <w:t>Example</w:t>
      </w:r>
      <w:r w:rsidR="00BF13D9">
        <w:rPr>
          <w:rStyle w:val="None"/>
          <w:b/>
          <w:bCs/>
        </w:rPr>
        <w:t>s:</w:t>
      </w:r>
    </w:p>
    <w:p w14:paraId="0572DECC" w14:textId="11143D08" w:rsidR="00E9398D" w:rsidRDefault="00E9398D" w:rsidP="003E757A">
      <w:pPr>
        <w:pStyle w:val="Example"/>
        <w:ind w:left="1440"/>
        <w:rPr>
          <w:rStyle w:val="None"/>
        </w:rPr>
      </w:pPr>
      <w:r w:rsidRPr="00AA0453">
        <w:rPr>
          <w:rStyle w:val="None"/>
        </w:rPr>
        <w:t>1st Dist.</w:t>
      </w:r>
    </w:p>
    <w:p w14:paraId="50762962" w14:textId="62429CE7" w:rsidR="00BF13D9" w:rsidRDefault="00BF13D9" w:rsidP="003E757A">
      <w:pPr>
        <w:pStyle w:val="Example"/>
        <w:ind w:left="1440"/>
        <w:rPr>
          <w:rStyle w:val="None"/>
        </w:rPr>
      </w:pPr>
      <w:r>
        <w:rPr>
          <w:rStyle w:val="None"/>
        </w:rPr>
        <w:t>2d Cir.</w:t>
      </w:r>
    </w:p>
    <w:p w14:paraId="308A307F" w14:textId="7E88971E" w:rsidR="00BF13D9" w:rsidRDefault="00BF13D9" w:rsidP="003E757A">
      <w:pPr>
        <w:pStyle w:val="Example"/>
        <w:ind w:left="1440"/>
        <w:rPr>
          <w:rStyle w:val="None"/>
        </w:rPr>
      </w:pPr>
      <w:r>
        <w:rPr>
          <w:rStyle w:val="None"/>
        </w:rPr>
        <w:t>3d Dist.</w:t>
      </w:r>
    </w:p>
    <w:p w14:paraId="0C8FBB02" w14:textId="40EFC43A" w:rsidR="00BF13D9" w:rsidRPr="00AA0453" w:rsidRDefault="00BF13D9" w:rsidP="003E757A">
      <w:pPr>
        <w:pStyle w:val="Example"/>
        <w:ind w:left="1440"/>
      </w:pPr>
      <w:r>
        <w:rPr>
          <w:rStyle w:val="None"/>
        </w:rPr>
        <w:t xml:space="preserve">4th Cir. </w:t>
      </w:r>
    </w:p>
    <w:p w14:paraId="72392BC1" w14:textId="7CE67837" w:rsidR="00B70C42" w:rsidRDefault="00BF13D9" w:rsidP="00452908">
      <w:pPr>
        <w:pStyle w:val="Example"/>
        <w:ind w:left="1440"/>
        <w:rPr>
          <w:b/>
          <w:bCs/>
        </w:rPr>
      </w:pPr>
      <w:r>
        <w:rPr>
          <w:b/>
          <w:bCs/>
        </w:rPr>
        <w:t>Incorrect:</w:t>
      </w:r>
    </w:p>
    <w:p w14:paraId="0FAA7DF2" w14:textId="3276AD48" w:rsidR="00B4642F" w:rsidRDefault="00BF13D9" w:rsidP="00B4642F">
      <w:pPr>
        <w:pStyle w:val="Example"/>
        <w:ind w:left="1440"/>
        <w:rPr>
          <w:vertAlign w:val="superscript"/>
        </w:rPr>
      </w:pPr>
      <w:r>
        <w:t>2nd, 2</w:t>
      </w:r>
      <w:r w:rsidRPr="00BF13D9">
        <w:rPr>
          <w:vertAlign w:val="superscript"/>
        </w:rPr>
        <w:t>nd</w:t>
      </w:r>
      <w:r>
        <w:t>, 3rd, 3</w:t>
      </w:r>
      <w:r w:rsidRPr="00BF13D9">
        <w:rPr>
          <w:vertAlign w:val="superscript"/>
        </w:rPr>
        <w:t>rd</w:t>
      </w:r>
    </w:p>
    <w:p w14:paraId="0DE26120" w14:textId="0B4CD542" w:rsidR="00B4642F" w:rsidRDefault="00B4642F" w:rsidP="00B4642F">
      <w:pPr>
        <w:pStyle w:val="Example"/>
        <w:ind w:left="1440"/>
        <w:rPr>
          <w:rStyle w:val="None"/>
        </w:rPr>
      </w:pPr>
      <w:r>
        <w:rPr>
          <w:rStyle w:val="None"/>
        </w:rPr>
        <w:t>4</w:t>
      </w:r>
      <w:r w:rsidRPr="00B4642F">
        <w:rPr>
          <w:rStyle w:val="None"/>
          <w:vertAlign w:val="superscript"/>
        </w:rPr>
        <w:t>th</w:t>
      </w:r>
      <w:r>
        <w:rPr>
          <w:rStyle w:val="None"/>
        </w:rPr>
        <w:t xml:space="preserve"> Cir.</w:t>
      </w:r>
    </w:p>
    <w:p w14:paraId="1D9DEB91" w14:textId="12F0D190" w:rsidR="00B4642F" w:rsidRDefault="00B4642F" w:rsidP="00B4642F">
      <w:pPr>
        <w:pStyle w:val="Example"/>
        <w:ind w:left="1440"/>
        <w:rPr>
          <w:rStyle w:val="None"/>
        </w:rPr>
      </w:pPr>
      <w:r>
        <w:rPr>
          <w:rStyle w:val="None"/>
        </w:rPr>
        <w:t>5</w:t>
      </w:r>
      <w:r w:rsidRPr="00B4642F">
        <w:rPr>
          <w:rStyle w:val="None"/>
          <w:vertAlign w:val="superscript"/>
        </w:rPr>
        <w:t>th</w:t>
      </w:r>
      <w:r>
        <w:rPr>
          <w:rStyle w:val="None"/>
        </w:rPr>
        <w:t xml:space="preserve"> Dist.</w:t>
      </w:r>
    </w:p>
    <w:p w14:paraId="3BA44CEA" w14:textId="77777777" w:rsidR="00B4642F" w:rsidRPr="00B4642F" w:rsidRDefault="00B4642F" w:rsidP="00B4642F">
      <w:pPr>
        <w:pStyle w:val="Example"/>
        <w:rPr>
          <w:vertAlign w:val="superscript"/>
        </w:rPr>
      </w:pPr>
    </w:p>
    <w:p w14:paraId="64E10966" w14:textId="783AFAE9" w:rsidR="00E9398D" w:rsidRPr="00AA0453" w:rsidRDefault="00F51A16" w:rsidP="003E757A">
      <w:pPr>
        <w:pStyle w:val="Heading4"/>
        <w:rPr>
          <w:rStyle w:val="None"/>
          <w:rFonts w:ascii="Georgia" w:hAnsi="Georgia"/>
        </w:rPr>
      </w:pPr>
      <w:r w:rsidRPr="00AA0453">
        <w:rPr>
          <w:rStyle w:val="None"/>
          <w:rFonts w:ascii="Georgia" w:hAnsi="Georgia"/>
        </w:rPr>
        <w:t>R</w:t>
      </w:r>
      <w:r w:rsidR="00E9398D" w:rsidRPr="00AA0453">
        <w:rPr>
          <w:rStyle w:val="None"/>
          <w:rFonts w:ascii="Georgia" w:hAnsi="Georgia"/>
        </w:rPr>
        <w:t>7.3</w:t>
      </w:r>
      <w:r w:rsidR="00E9398D" w:rsidRPr="00AA0453">
        <w:rPr>
          <w:rStyle w:val="None"/>
          <w:rFonts w:ascii="Georgia" w:hAnsi="Georgia"/>
        </w:rPr>
        <w:tab/>
      </w:r>
      <w:r w:rsidR="001A272F">
        <w:rPr>
          <w:rStyle w:val="None"/>
          <w:rFonts w:ascii="Georgia" w:hAnsi="Georgia"/>
        </w:rPr>
        <w:t xml:space="preserve">Textual References </w:t>
      </w:r>
    </w:p>
    <w:p w14:paraId="2832704A" w14:textId="72EE5B29" w:rsidR="00E9398D" w:rsidRPr="001A272F" w:rsidRDefault="00E9398D" w:rsidP="00F51A16">
      <w:pPr>
        <w:pStyle w:val="Rule"/>
        <w:rPr>
          <w:rStyle w:val="None"/>
          <w:u w:val="single"/>
        </w:rPr>
      </w:pPr>
      <w:r w:rsidRPr="00AA0453">
        <w:rPr>
          <w:rStyle w:val="None"/>
        </w:rPr>
        <w:t xml:space="preserve">Citations </w:t>
      </w:r>
      <w:r w:rsidR="001A272F">
        <w:rPr>
          <w:rStyle w:val="None"/>
        </w:rPr>
        <w:t>incorporated into</w:t>
      </w:r>
      <w:r w:rsidRPr="00AA0453">
        <w:rPr>
          <w:rStyle w:val="None"/>
        </w:rPr>
        <w:t xml:space="preserve"> textual sentences</w:t>
      </w:r>
      <w:r w:rsidR="001A272F">
        <w:rPr>
          <w:rStyle w:val="None"/>
        </w:rPr>
        <w:t>—as opposed to citation sentences, clauses, and footnotes—</w:t>
      </w:r>
      <w:r w:rsidRPr="00AA0453">
        <w:rPr>
          <w:rStyle w:val="None"/>
        </w:rPr>
        <w:t>use different abbreviation rules to preserve readability</w:t>
      </w:r>
      <w:r w:rsidR="001A272F">
        <w:rPr>
          <w:rStyle w:val="None"/>
        </w:rPr>
        <w:t xml:space="preserve">. </w:t>
      </w:r>
      <w:r w:rsidR="001A272F">
        <w:rPr>
          <w:rStyle w:val="None"/>
          <w:i/>
          <w:iCs/>
        </w:rPr>
        <w:t>See</w:t>
      </w:r>
      <w:r w:rsidR="001A272F">
        <w:rPr>
          <w:rStyle w:val="None"/>
        </w:rPr>
        <w:t xml:space="preserve"> </w:t>
      </w:r>
      <w:r w:rsidR="001A272F" w:rsidRPr="00D95AC6">
        <w:rPr>
          <w:rStyle w:val="Rulereferencecharacterstyle"/>
        </w:rPr>
        <w:t>Rule R3</w:t>
      </w:r>
      <w:r w:rsidR="001A272F">
        <w:rPr>
          <w:rStyle w:val="None"/>
        </w:rPr>
        <w:t xml:space="preserve"> (general guidance on citation sentences and textual sentences incorporating citations) and </w:t>
      </w:r>
      <w:r w:rsidR="00D95AC6" w:rsidRPr="00D95AC6">
        <w:rPr>
          <w:rStyle w:val="Rulereferencecharacterstyle"/>
        </w:rPr>
        <w:t xml:space="preserve">Rule </w:t>
      </w:r>
      <w:r w:rsidR="00641CF8">
        <w:rPr>
          <w:rStyle w:val="Rulereferencecharacterstyle"/>
        </w:rPr>
        <w:t>R11.4</w:t>
      </w:r>
      <w:r w:rsidR="001A272F">
        <w:rPr>
          <w:rStyle w:val="None"/>
        </w:rPr>
        <w:t xml:space="preserve"> (abbreviation rules </w:t>
      </w:r>
      <w:r w:rsidR="00641CF8">
        <w:rPr>
          <w:rStyle w:val="None"/>
        </w:rPr>
        <w:t>for case names in textual sentences).</w:t>
      </w:r>
    </w:p>
    <w:p w14:paraId="320A7F61" w14:textId="092E5AD7" w:rsidR="00E9398D" w:rsidRPr="00AA0453" w:rsidRDefault="001A272F" w:rsidP="00F51A16">
      <w:pPr>
        <w:pStyle w:val="Rule"/>
        <w:rPr>
          <w:rStyle w:val="None"/>
          <w:rFonts w:eastAsia="Georgia" w:cs="Georgia"/>
        </w:rPr>
      </w:pPr>
      <w:r>
        <w:rPr>
          <w:rStyle w:val="None"/>
        </w:rPr>
        <w:t>When not providing a precise citation at all, but</w:t>
      </w:r>
      <w:r w:rsidR="00E9398D" w:rsidRPr="00AA0453">
        <w:rPr>
          <w:rStyle w:val="None"/>
        </w:rPr>
        <w:t xml:space="preserve"> referring to a court in a textual sentence, </w:t>
      </w:r>
      <w:r>
        <w:rPr>
          <w:rStyle w:val="None"/>
        </w:rPr>
        <w:t>spell</w:t>
      </w:r>
      <w:r w:rsidR="00E9398D" w:rsidRPr="00AA0453">
        <w:rPr>
          <w:rStyle w:val="None"/>
        </w:rPr>
        <w:t xml:space="preserve"> out the court’s name consistent with common practice.</w:t>
      </w:r>
      <w:r w:rsidR="00452908" w:rsidRPr="00AA0453">
        <w:rPr>
          <w:rStyle w:val="None"/>
        </w:rPr>
        <w:t xml:space="preserve"> </w:t>
      </w:r>
      <w:r>
        <w:rPr>
          <w:rStyle w:val="None"/>
          <w:i/>
          <w:iCs/>
        </w:rPr>
        <w:t xml:space="preserve">See </w:t>
      </w:r>
      <w:r w:rsidR="00452908" w:rsidRPr="00D95AC6">
        <w:rPr>
          <w:rStyle w:val="Rulereferencecharacterstyle"/>
        </w:rPr>
        <w:t>Rule R27</w:t>
      </w:r>
      <w:r w:rsidR="00452908" w:rsidRPr="00AA0453">
        <w:rPr>
          <w:rStyle w:val="None"/>
        </w:rPr>
        <w:t xml:space="preserve">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525F9317" w:rsidR="00E9398D" w:rsidRDefault="00E9398D" w:rsidP="00F51A16">
      <w:pPr>
        <w:pStyle w:val="Example"/>
        <w:ind w:left="1440"/>
        <w:rPr>
          <w:rStyle w:val="None"/>
        </w:rPr>
      </w:pPr>
      <w:r w:rsidRPr="00AA0453">
        <w:rPr>
          <w:rStyle w:val="None"/>
        </w:rPr>
        <w:t>The Second Circuit has decided many fair-use cases.</w:t>
      </w:r>
    </w:p>
    <w:p w14:paraId="379AC0E8" w14:textId="7A8E6F04" w:rsidR="001A272F" w:rsidRPr="00AA0453" w:rsidRDefault="001A272F" w:rsidP="00F51A16">
      <w:pPr>
        <w:pStyle w:val="Example"/>
        <w:ind w:left="1440"/>
      </w:pPr>
      <w:r>
        <w:rPr>
          <w:rStyle w:val="None"/>
        </w:rPr>
        <w:t xml:space="preserve">The Florida Supreme Court overruled the Fourth District Court of Appeal’s previous holding on judges’ use of Facebook. </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79C001FE" w14:textId="67ACAEE8" w:rsidR="00CD0922" w:rsidRPr="00CD0922" w:rsidRDefault="00E9398D" w:rsidP="00D65D2A">
      <w:pPr>
        <w:pStyle w:val="Rule"/>
      </w:pPr>
      <w:r w:rsidRPr="00AA0453">
        <w:rPr>
          <w:rStyle w:val="None"/>
        </w:rPr>
        <w:t xml:space="preserve">Quotations </w:t>
      </w:r>
      <w:r w:rsidR="00D65D2A">
        <w:rPr>
          <w:rStyle w:val="None"/>
        </w:rPr>
        <w:t xml:space="preserve">of 49 words or less </w:t>
      </w:r>
      <w:r w:rsidRPr="00AA0453">
        <w:rPr>
          <w:rStyle w:val="None"/>
        </w:rPr>
        <w:t xml:space="preserve">should be designated with </w:t>
      </w:r>
      <w:r w:rsidR="00ED6A7C">
        <w:rPr>
          <w:rStyle w:val="None"/>
        </w:rPr>
        <w:t xml:space="preserve">double quotation marks that open and close the quotation. </w:t>
      </w:r>
      <w:r w:rsidR="001B5ECE">
        <w:rPr>
          <w:rStyle w:val="None"/>
        </w:rPr>
        <w:t xml:space="preserve">Do not use quotation marks around </w:t>
      </w:r>
      <w:r w:rsidRPr="00AA0453">
        <w:rPr>
          <w:rStyle w:val="None"/>
        </w:rPr>
        <w:t xml:space="preserve">block </w:t>
      </w:r>
      <w:r w:rsidRPr="00CD0922">
        <w:t>quotations</w:t>
      </w:r>
      <w:r w:rsidR="00CD0922" w:rsidRPr="00CD0922">
        <w:t xml:space="preserve"> (see </w:t>
      </w:r>
      <w:r w:rsidR="00CD0922" w:rsidRPr="00CD0922">
        <w:rPr>
          <w:rStyle w:val="Rulereferencecharacterstyle"/>
        </w:rPr>
        <w:t>Rule R9</w:t>
      </w:r>
      <w:r w:rsidR="00CD0922" w:rsidRPr="00CD0922">
        <w:t xml:space="preserve"> for block quotations.)</w:t>
      </w:r>
    </w:p>
    <w:p w14:paraId="14DF2C88" w14:textId="2166C194" w:rsidR="00AF2EEE" w:rsidRPr="00F34925" w:rsidRDefault="00AF2EEE" w:rsidP="00F34925">
      <w:pPr>
        <w:pStyle w:val="Example"/>
        <w:rPr>
          <w:rStyle w:val="None"/>
          <w:b/>
          <w:bCs/>
        </w:rPr>
      </w:pPr>
      <w:r w:rsidRPr="00F34925">
        <w:rPr>
          <w:rStyle w:val="None"/>
          <w:b/>
          <w:bCs/>
        </w:rPr>
        <w:t>Examples:</w:t>
      </w:r>
    </w:p>
    <w:p w14:paraId="03AC050C" w14:textId="77777777" w:rsidR="00327D63" w:rsidRPr="00F34925" w:rsidRDefault="00877AD0" w:rsidP="00F34925">
      <w:pPr>
        <w:pStyle w:val="Example"/>
      </w:pPr>
      <w:r w:rsidRPr="00F34925">
        <w:rPr>
          <w:rStyle w:val="None"/>
        </w:rPr>
        <w:t xml:space="preserve">The Court of Appeals </w:t>
      </w:r>
      <w:r w:rsidR="00885DDE" w:rsidRPr="00F34925">
        <w:rPr>
          <w:rStyle w:val="None"/>
        </w:rPr>
        <w:t xml:space="preserve">affirmed the dismissal of </w:t>
      </w:r>
      <w:r w:rsidR="00AE0BBC" w:rsidRPr="00F34925">
        <w:rPr>
          <w:rStyle w:val="None"/>
        </w:rPr>
        <w:t xml:space="preserve">a consumer-deception claim against </w:t>
      </w:r>
      <w:r w:rsidR="000C53BB" w:rsidRPr="00F34925">
        <w:rPr>
          <w:rStyle w:val="None"/>
        </w:rPr>
        <w:t>a</w:t>
      </w:r>
      <w:r w:rsidR="00AE0BBC" w:rsidRPr="00F34925">
        <w:rPr>
          <w:rStyle w:val="None"/>
        </w:rPr>
        <w:t xml:space="preserve"> legal publisher</w:t>
      </w:r>
      <w:r w:rsidR="00C34999" w:rsidRPr="00F34925">
        <w:rPr>
          <w:rStyle w:val="None"/>
        </w:rPr>
        <w:t xml:space="preserve">: </w:t>
      </w:r>
      <w:r w:rsidR="00AE0BBC" w:rsidRPr="00F34925">
        <w:rPr>
          <w:rStyle w:val="None"/>
        </w:rPr>
        <w:t>“</w:t>
      </w:r>
      <w:r w:rsidR="00C34999" w:rsidRPr="00F34925">
        <w:t>U</w:t>
      </w:r>
      <w:r w:rsidR="00AE0BBC" w:rsidRPr="00F34925">
        <w:t>nder the circumstances, plaintiffs, or any reasonable consumer, could not have been materially misled to believe that defendant guaranteed Part III of the Tanbook was complete and accurate at any given time.”</w:t>
      </w:r>
    </w:p>
    <w:p w14:paraId="6CEAFFBD" w14:textId="0A29E111" w:rsidR="00327D63" w:rsidRPr="00F34925" w:rsidRDefault="00327D63" w:rsidP="00F34925">
      <w:pPr>
        <w:pStyle w:val="Example"/>
        <w:rPr>
          <w:rStyle w:val="None"/>
        </w:rPr>
      </w:pPr>
      <w:r w:rsidRPr="00F34925">
        <w:t>The court ruled that “a consumer acting reasonably under the circumstances here would not have believed that defendant represented that the section at issue, containing rent control statutes and regulations, was current and accurate for its one-year shelf life.”</w:t>
      </w:r>
    </w:p>
    <w:p w14:paraId="2CD92C3D" w14:textId="77777777" w:rsidR="00AF2EEE" w:rsidRPr="00AA0453" w:rsidRDefault="00AF2EEE" w:rsidP="00AE0BBC">
      <w:pPr>
        <w:pStyle w:val="Rule"/>
        <w:ind w:left="0"/>
        <w:rPr>
          <w:rStyle w:val="None"/>
        </w:rPr>
      </w:pPr>
    </w:p>
    <w:p w14:paraId="3676F344" w14:textId="6F7BF3F0" w:rsidR="00E9398D" w:rsidRPr="00AA0453" w:rsidRDefault="00F51A16" w:rsidP="003E757A">
      <w:pPr>
        <w:pStyle w:val="Heading5"/>
        <w:rPr>
          <w:rStyle w:val="None"/>
          <w:rFonts w:ascii="Georgia" w:hAnsi="Georgia"/>
        </w:rPr>
      </w:pPr>
      <w:r w:rsidRPr="00AA0453">
        <w:rPr>
          <w:rStyle w:val="None"/>
          <w:rFonts w:ascii="Georgia" w:hAnsi="Georgia"/>
        </w:rPr>
        <w:t>R8.1.</w:t>
      </w:r>
      <w:r w:rsidR="008B4E03">
        <w:rPr>
          <w:rStyle w:val="None"/>
          <w:rFonts w:ascii="Georgia" w:hAnsi="Georgia"/>
        </w:rPr>
        <w:t>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40955DDC" w:rsidR="00124906" w:rsidRDefault="00E9398D" w:rsidP="00124906">
      <w:pPr>
        <w:pStyle w:val="Rule"/>
        <w:rPr>
          <w:rStyle w:val="None"/>
        </w:rPr>
      </w:pPr>
      <w:r w:rsidRPr="00AA0453">
        <w:rPr>
          <w:rStyle w:val="None"/>
        </w:rPr>
        <w:t xml:space="preserve">Punctuation that is part of the quoted text should appear inside the quotation marks. </w:t>
      </w:r>
      <w:r w:rsidR="00777C41">
        <w:rPr>
          <w:rStyle w:val="None"/>
        </w:rPr>
        <w:t xml:space="preserve">When the quotation is embedded into the sentence using a comma or a period added by the writer </w:t>
      </w:r>
      <w:r w:rsidR="00F4172D">
        <w:rPr>
          <w:rStyle w:val="None"/>
        </w:rPr>
        <w:t xml:space="preserve">at the end of the quotation, that comma or period also appears inside the quotation marks (even though it is not part of the actual </w:t>
      </w:r>
      <w:r w:rsidR="00524661">
        <w:rPr>
          <w:rStyle w:val="None"/>
        </w:rPr>
        <w:t>quoted text from the source</w:t>
      </w:r>
      <w:r w:rsidR="00F4172D">
        <w:rPr>
          <w:rStyle w:val="None"/>
        </w:rPr>
        <w:t>). Punctuation added to a quotation anywhere other than at the end of the quoted material is an alteration that should be indicated with brackets.</w:t>
      </w:r>
    </w:p>
    <w:p w14:paraId="6BD40019" w14:textId="3BEA3D63" w:rsidR="00534BA1" w:rsidRDefault="00534BA1" w:rsidP="00124906">
      <w:pPr>
        <w:pStyle w:val="Rule"/>
        <w:rPr>
          <w:rStyle w:val="None"/>
          <w:b/>
          <w:bCs/>
        </w:rPr>
      </w:pPr>
      <w:r>
        <w:rPr>
          <w:rStyle w:val="None"/>
          <w:b/>
          <w:bCs/>
        </w:rPr>
        <w:t>Examples:</w:t>
      </w:r>
    </w:p>
    <w:p w14:paraId="29F190AF" w14:textId="5EA284DC" w:rsidR="004E6C18" w:rsidRDefault="004E6C18" w:rsidP="004E6C18">
      <w:pPr>
        <w:pStyle w:val="Example"/>
        <w:rPr>
          <w:rStyle w:val="None"/>
        </w:rPr>
      </w:pPr>
      <w:r>
        <w:rPr>
          <w:rStyle w:val="None"/>
        </w:rPr>
        <w:tab/>
      </w:r>
      <w:r w:rsidRPr="00AE0BBC">
        <w:rPr>
          <w:rStyle w:val="None"/>
        </w:rPr>
        <w:t xml:space="preserve">Legal professionals are “merely a subclass of consumers.” </w:t>
      </w:r>
    </w:p>
    <w:p w14:paraId="7A52A549" w14:textId="451F8A3E" w:rsidR="00534BA1" w:rsidRPr="00AC7431" w:rsidRDefault="00885DDE" w:rsidP="00AC7431">
      <w:pPr>
        <w:pStyle w:val="Rule"/>
        <w:ind w:left="1440"/>
        <w:rPr>
          <w:rStyle w:val="None"/>
        </w:rPr>
      </w:pPr>
      <w:r>
        <w:rPr>
          <w:rStyle w:val="None"/>
        </w:rPr>
        <w:t>Given that legal professionals are “merely a subclass of consumers,” New York’s consumer deception law does apply to them.</w:t>
      </w:r>
    </w:p>
    <w:p w14:paraId="3D02131D" w14:textId="6B0F3105" w:rsidR="00E9398D" w:rsidRPr="00AA0453" w:rsidRDefault="00124906" w:rsidP="00124906">
      <w:pPr>
        <w:pStyle w:val="Heading5"/>
        <w:rPr>
          <w:rStyle w:val="None"/>
          <w:rFonts w:ascii="Georgia" w:hAnsi="Georgia"/>
        </w:rPr>
      </w:pPr>
      <w:r w:rsidRPr="00AA0453">
        <w:rPr>
          <w:rStyle w:val="None"/>
          <w:rFonts w:ascii="Georgia" w:hAnsi="Georgia"/>
        </w:rPr>
        <w:t>R8.1.</w:t>
      </w:r>
      <w:r w:rsidR="008B4E03">
        <w:rPr>
          <w:rStyle w:val="None"/>
          <w:rFonts w:ascii="Georgia" w:hAnsi="Georgia"/>
        </w:rPr>
        <w:t>3</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lacement</w:t>
      </w:r>
      <w:r w:rsidR="006A4770">
        <w:rPr>
          <w:rStyle w:val="None"/>
          <w:rFonts w:ascii="Georgia" w:hAnsi="Georgia"/>
        </w:rPr>
        <w:t xml:space="preserve"> </w:t>
      </w:r>
    </w:p>
    <w:p w14:paraId="13A40705" w14:textId="3218229C" w:rsidR="00E9398D" w:rsidRPr="00AA0453" w:rsidRDefault="00E9398D" w:rsidP="00124906">
      <w:pPr>
        <w:pStyle w:val="Rule"/>
        <w:rPr>
          <w:rStyle w:val="None"/>
        </w:rPr>
      </w:pPr>
      <w:r w:rsidRPr="00AA0453">
        <w:rPr>
          <w:rStyle w:val="None"/>
        </w:rPr>
        <w:t xml:space="preserve">Insert </w:t>
      </w:r>
      <w:r w:rsidR="006A4770">
        <w:rPr>
          <w:rStyle w:val="None"/>
        </w:rPr>
        <w:t>a</w:t>
      </w:r>
      <w:r w:rsidRPr="00AA0453">
        <w:rPr>
          <w:rStyle w:val="None"/>
        </w:rPr>
        <w:t xml:space="preserve"> citation sentence for the quoted material </w:t>
      </w:r>
      <w:r w:rsidR="008238FE">
        <w:rPr>
          <w:rStyle w:val="None"/>
        </w:rPr>
        <w:t xml:space="preserve">after the end of the sentence. Insert the citation as a clause if needed for clarity about which portion of the sentence is </w:t>
      </w:r>
      <w:r w:rsidR="006A4770">
        <w:rPr>
          <w:rStyle w:val="None"/>
        </w:rPr>
        <w:t>attributable to the source.</w:t>
      </w:r>
      <w:r w:rsidR="007B1236">
        <w:rPr>
          <w:rStyle w:val="None"/>
        </w:rPr>
        <w:t xml:space="preserve"> </w:t>
      </w:r>
      <w:r w:rsidR="00545067">
        <w:rPr>
          <w:rStyle w:val="None"/>
        </w:rPr>
        <w:t>Citations can be full citations or short citations, as appropriate to the surrounding context.</w:t>
      </w:r>
    </w:p>
    <w:p w14:paraId="0AD9FC96" w14:textId="77777777" w:rsidR="000923FD" w:rsidRDefault="00534BA1" w:rsidP="000923FD">
      <w:pPr>
        <w:pStyle w:val="ListParagraph"/>
        <w:spacing w:before="150" w:after="90"/>
        <w:ind w:left="1080"/>
        <w:rPr>
          <w:rFonts w:ascii="Georgia" w:hAnsi="Georgia"/>
          <w:b/>
          <w:bCs/>
        </w:rPr>
      </w:pPr>
      <w:r>
        <w:rPr>
          <w:rFonts w:ascii="Georgia" w:hAnsi="Georgia"/>
          <w:b/>
          <w:bCs/>
        </w:rPr>
        <w:t>Examples:</w:t>
      </w:r>
    </w:p>
    <w:p w14:paraId="2957B194" w14:textId="67BBABCE" w:rsidR="00534BA1" w:rsidRPr="00306866" w:rsidRDefault="00461C07" w:rsidP="001C27B4">
      <w:pPr>
        <w:pStyle w:val="Example"/>
        <w:ind w:left="1440"/>
        <w:rPr>
          <w:rStyle w:val="None"/>
          <w:rFonts w:ascii="Times New Roman" w:hAnsi="Times New Roman"/>
        </w:rPr>
      </w:pPr>
      <w:r w:rsidRPr="00306866">
        <w:rPr>
          <w:rFonts w:ascii="Times New Roman" w:hAnsi="Times New Roman"/>
        </w:rPr>
        <w:t>“[A]</w:t>
      </w:r>
      <w:r w:rsidRPr="00306866">
        <w:rPr>
          <w:rStyle w:val="None"/>
          <w:rFonts w:ascii="Times New Roman" w:hAnsi="Times New Roman"/>
        </w:rPr>
        <w:t xml:space="preserve">nnotations published by legislators alongside the statutory text fall within the work legislators perform in their capacity as legislators.” </w:t>
      </w:r>
      <w:r w:rsidRPr="00306866">
        <w:rPr>
          <w:rStyle w:val="None"/>
          <w:rFonts w:ascii="Times New Roman" w:hAnsi="Times New Roman"/>
          <w:i/>
          <w:iCs/>
        </w:rPr>
        <w:t>Georgia v. Public.Resource.org</w:t>
      </w:r>
      <w:r w:rsidRPr="00306866">
        <w:rPr>
          <w:rStyle w:val="None"/>
          <w:rFonts w:ascii="Times New Roman" w:hAnsi="Times New Roman"/>
        </w:rPr>
        <w:t>, 140 S. Ct. 1498, 1509 (2020).</w:t>
      </w:r>
    </w:p>
    <w:p w14:paraId="25BAE936" w14:textId="0BF2B09C" w:rsidR="000923FD" w:rsidRPr="00306866" w:rsidRDefault="0015702B" w:rsidP="001C27B4">
      <w:pPr>
        <w:pStyle w:val="Example"/>
        <w:ind w:left="1440"/>
        <w:rPr>
          <w:rStyle w:val="None"/>
          <w:rFonts w:ascii="Times New Roman" w:hAnsi="Times New Roman"/>
        </w:rPr>
      </w:pPr>
      <w:r>
        <w:rPr>
          <w:rStyle w:val="None"/>
          <w:rFonts w:ascii="Times New Roman" w:hAnsi="Times New Roman"/>
        </w:rPr>
        <w:t>The Supreme Court overruled prior precedent about online retailing in light of</w:t>
      </w:r>
      <w:r w:rsidR="00306866" w:rsidRPr="00306866">
        <w:rPr>
          <w:rStyle w:val="None"/>
          <w:rFonts w:ascii="Times New Roman" w:hAnsi="Times New Roman"/>
        </w:rPr>
        <w:t xml:space="preserve"> of “</w:t>
      </w:r>
      <w:r w:rsidR="00306866" w:rsidRPr="00306866">
        <w:rPr>
          <w:rFonts w:ascii="Times New Roman" w:hAnsi="Times New Roman"/>
          <w:color w:val="3D3D3D"/>
          <w:sz w:val="25"/>
          <w:szCs w:val="25"/>
          <w:shd w:val="clear" w:color="auto" w:fill="FFFFFF"/>
        </w:rPr>
        <w:t xml:space="preserve">the day-to-day functions of marketing and distribution in the modern economy,” </w:t>
      </w:r>
      <w:r w:rsidR="00306866" w:rsidRPr="00306866">
        <w:rPr>
          <w:rFonts w:ascii="Times New Roman" w:hAnsi="Times New Roman"/>
          <w:i/>
          <w:iCs/>
          <w:color w:val="3D3D3D"/>
          <w:sz w:val="25"/>
          <w:szCs w:val="25"/>
          <w:shd w:val="clear" w:color="auto" w:fill="FFFFFF"/>
        </w:rPr>
        <w:t xml:space="preserve">Wayfair </w:t>
      </w:r>
      <w:r w:rsidR="00A367EF" w:rsidRPr="00306866">
        <w:rPr>
          <w:rStyle w:val="None"/>
          <w:rFonts w:ascii="Times New Roman" w:hAnsi="Times New Roman"/>
          <w:i/>
          <w:iCs/>
        </w:rPr>
        <w:t>v. South Dakota</w:t>
      </w:r>
      <w:r w:rsidR="00A367EF" w:rsidRPr="00306866">
        <w:rPr>
          <w:rStyle w:val="None"/>
          <w:rFonts w:ascii="Times New Roman" w:hAnsi="Times New Roman"/>
        </w:rPr>
        <w:t xml:space="preserve">, </w:t>
      </w:r>
      <w:r w:rsidR="009706A7" w:rsidRPr="00306866">
        <w:rPr>
          <w:rStyle w:val="None"/>
          <w:rFonts w:ascii="Times New Roman" w:hAnsi="Times New Roman"/>
        </w:rPr>
        <w:t xml:space="preserve">138 S. Ct. 2080, 2094 (2018), </w:t>
      </w:r>
      <w:r>
        <w:rPr>
          <w:rStyle w:val="None"/>
          <w:rFonts w:ascii="Times New Roman" w:hAnsi="Times New Roman"/>
        </w:rPr>
        <w:t xml:space="preserve">but </w:t>
      </w:r>
      <w:r w:rsidR="004066DE">
        <w:rPr>
          <w:rStyle w:val="None"/>
          <w:rFonts w:ascii="Times New Roman" w:hAnsi="Times New Roman"/>
        </w:rPr>
        <w:t xml:space="preserve">has not applied similar reasoning to </w:t>
      </w:r>
      <w:r w:rsidR="00545067">
        <w:rPr>
          <w:rStyle w:val="None"/>
          <w:rFonts w:ascii="Times New Roman" w:hAnsi="Times New Roman"/>
        </w:rPr>
        <w:t>jettison other precedent.</w:t>
      </w:r>
    </w:p>
    <w:p w14:paraId="378834BA" w14:textId="77777777" w:rsidR="000F0F48" w:rsidRDefault="000F0F48" w:rsidP="00461C07">
      <w:pPr>
        <w:spacing w:before="150" w:after="90"/>
        <w:ind w:left="1080"/>
        <w:rPr>
          <w:rStyle w:val="None"/>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“The court dismissed the claim[].”</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77777777" w:rsidR="00E9398D" w:rsidRPr="00AA0453" w:rsidRDefault="00E9398D" w:rsidP="003E757A">
      <w:pPr>
        <w:pStyle w:val="Rule"/>
        <w:rPr>
          <w:rStyle w:val="None"/>
          <w:rFonts w:eastAsia="Georgia" w:cs="Georgia"/>
        </w:rPr>
      </w:pPr>
      <w:r w:rsidRPr="00AA0453">
        <w:rPr>
          <w:rStyle w:val="None"/>
        </w:rPr>
        <w:t>Any substitutions into quoted material should be bracketed. This includes words which might add clarity and context, and changes to the capitalization of letters</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r w:rsidR="00931951" w:rsidRPr="00AA0453">
        <w:rPr>
          <w:rStyle w:val="None"/>
          <w:rFonts w:ascii="Georgia" w:hAnsi="Georgia"/>
        </w:rPr>
        <w:t>q</w:t>
      </w:r>
      <w:r w:rsidR="00E9398D" w:rsidRPr="00AA0453">
        <w:rPr>
          <w:rStyle w:val="None"/>
          <w:rFonts w:ascii="Georgia" w:hAnsi="Georgia"/>
        </w:rPr>
        <w:t>uotation</w:t>
      </w:r>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171F69">
      <w:pPr>
        <w:pStyle w:val="Rule"/>
        <w:numPr>
          <w:ilvl w:val="0"/>
          <w:numId w:val="102"/>
        </w:numPr>
      </w:pPr>
      <w:r w:rsidRPr="00AA0453">
        <w:rPr>
          <w:rStyle w:val="None"/>
        </w:rPr>
        <w:t>(emphasis added)</w:t>
      </w:r>
    </w:p>
    <w:p w14:paraId="6FCDA7F7" w14:textId="77777777" w:rsidR="00E9398D" w:rsidRPr="00AA0453" w:rsidRDefault="00E9398D" w:rsidP="00171F69">
      <w:pPr>
        <w:pStyle w:val="Rule"/>
        <w:numPr>
          <w:ilvl w:val="0"/>
          <w:numId w:val="102"/>
        </w:numPr>
      </w:pPr>
      <w:r w:rsidRPr="00AA0453">
        <w:rPr>
          <w:rStyle w:val="None"/>
        </w:rPr>
        <w:t>(alteration in original)</w:t>
      </w:r>
    </w:p>
    <w:p w14:paraId="3FB1A066" w14:textId="77777777" w:rsidR="00E9398D" w:rsidRPr="00AA0453" w:rsidRDefault="00E9398D" w:rsidP="00171F69">
      <w:pPr>
        <w:pStyle w:val="Rule"/>
        <w:numPr>
          <w:ilvl w:val="0"/>
          <w:numId w:val="102"/>
        </w:numPr>
      </w:pPr>
      <w:r w:rsidRPr="00AA0453">
        <w:rPr>
          <w:rStyle w:val="None"/>
        </w:rPr>
        <w:t>(citation omitted)</w:t>
      </w:r>
    </w:p>
    <w:p w14:paraId="1C6331AA" w14:textId="77777777" w:rsidR="00E9398D" w:rsidRPr="00AA0453" w:rsidRDefault="00E9398D" w:rsidP="00171F69">
      <w:pPr>
        <w:pStyle w:val="Rule"/>
        <w:numPr>
          <w:ilvl w:val="0"/>
          <w:numId w:val="102"/>
        </w:numPr>
      </w:pPr>
      <w:r w:rsidRPr="00AA0453">
        <w:rPr>
          <w:rStyle w:val="None"/>
        </w:rPr>
        <w:t>(emphasis omitted)</w:t>
      </w:r>
    </w:p>
    <w:p w14:paraId="2474FA9C" w14:textId="77777777" w:rsidR="00E9398D" w:rsidRPr="00AA0453" w:rsidRDefault="00E9398D" w:rsidP="00171F69">
      <w:pPr>
        <w:pStyle w:val="Rule"/>
        <w:numPr>
          <w:ilvl w:val="0"/>
          <w:numId w:val="102"/>
        </w:numPr>
      </w:pPr>
      <w:r w:rsidRPr="00AA0453">
        <w:rPr>
          <w:rStyle w:val="None"/>
        </w:rPr>
        <w:t>(internal quotation marks omitted)</w:t>
      </w:r>
    </w:p>
    <w:p w14:paraId="36BF00D3" w14:textId="77777777" w:rsidR="00E9398D" w:rsidRPr="00AA0453" w:rsidRDefault="00E9398D" w:rsidP="00171F69">
      <w:pPr>
        <w:pStyle w:val="Rule"/>
        <w:numPr>
          <w:ilvl w:val="0"/>
          <w:numId w:val="102"/>
        </w:numPr>
      </w:pPr>
      <w:r w:rsidRPr="00AA0453">
        <w:rPr>
          <w:rStyle w:val="None"/>
        </w:rPr>
        <w:t>(footnote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r w:rsidR="00931951" w:rsidRPr="00AA0453">
        <w:rPr>
          <w:rStyle w:val="None"/>
          <w:rFonts w:ascii="Georgia" w:hAnsi="Georgia"/>
        </w:rPr>
        <w:t>q</w:t>
      </w:r>
      <w:r w:rsidR="00E9398D" w:rsidRPr="00AA0453">
        <w:rPr>
          <w:rStyle w:val="None"/>
          <w:rFonts w:ascii="Georgia" w:hAnsi="Georgia"/>
        </w:rPr>
        <w:t>uotations</w:t>
      </w:r>
    </w:p>
    <w:p w14:paraId="0FE68FCA" w14:textId="77777777" w:rsidR="00E9398D" w:rsidRPr="00AA0453" w:rsidRDefault="00E9398D" w:rsidP="003E757A">
      <w:pPr>
        <w:pStyle w:val="Rule"/>
        <w:rPr>
          <w:rStyle w:val="None"/>
          <w:rFonts w:eastAsia="Georgia" w:cs="Georgia"/>
        </w:rPr>
      </w:pPr>
      <w:r w:rsidRPr="00AA0453">
        <w:rPr>
          <w:rStyle w:val="None"/>
        </w:rPr>
        <w:t>When using a quotation within a quotation, you can either (1) attribute it to the original source with a parenthetical, or (2) acknowledge it by signaling that its citation has been omitted.</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“Although the annotations are not enacted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be indicated in a parenthetical:</w:t>
      </w:r>
    </w:p>
    <w:p w14:paraId="5CA9D8E3" w14:textId="77777777" w:rsidR="00E9398D" w:rsidRPr="00AA0453" w:rsidRDefault="00E9398D" w:rsidP="00171F69">
      <w:pPr>
        <w:pStyle w:val="Rule"/>
        <w:numPr>
          <w:ilvl w:val="0"/>
          <w:numId w:val="103"/>
        </w:numPr>
        <w:rPr>
          <w:rStyle w:val="None"/>
        </w:rPr>
      </w:pPr>
      <w:r w:rsidRPr="00AA0453">
        <w:rPr>
          <w:rStyle w:val="None"/>
        </w:rPr>
        <w:t xml:space="preserve">(Emphasis in original) </w:t>
      </w:r>
    </w:p>
    <w:p w14:paraId="7AF25507" w14:textId="77777777" w:rsidR="00E9398D" w:rsidRPr="00AA0453" w:rsidRDefault="00E9398D" w:rsidP="003E757A">
      <w:pPr>
        <w:pStyle w:val="Rule"/>
      </w:pPr>
      <w:r w:rsidRPr="00AA0453">
        <w:rPr>
          <w:rStyle w:val="None"/>
        </w:rPr>
        <w:t xml:space="preserve">No parenthetical is needed for a quotation that was copied verbatim, including italics or underlined emphasis, from the original source. </w:t>
      </w:r>
    </w:p>
    <w:p w14:paraId="3DB4E235" w14:textId="77777777" w:rsidR="00E9398D" w:rsidRPr="00AA0453" w:rsidRDefault="00E9398D" w:rsidP="00171F69">
      <w:pPr>
        <w:pStyle w:val="Rule"/>
        <w:numPr>
          <w:ilvl w:val="0"/>
          <w:numId w:val="103"/>
        </w:numPr>
        <w:rPr>
          <w:rStyle w:val="None"/>
        </w:rPr>
      </w:pPr>
      <w:r w:rsidRPr="00AA0453">
        <w:rPr>
          <w:rStyle w:val="None"/>
        </w:rPr>
        <w:t xml:space="preserve">(Citation omitted) or (Footnote omitted) </w:t>
      </w:r>
    </w:p>
    <w:p w14:paraId="5F56DE0C" w14:textId="18A442FE" w:rsidR="00E9398D" w:rsidRPr="00AA0453" w:rsidRDefault="00E9398D" w:rsidP="003E757A">
      <w:pPr>
        <w:pStyle w:val="Rule"/>
      </w:pPr>
      <w:r w:rsidRPr="00AA0453">
        <w:rPr>
          <w:rStyle w:val="None"/>
        </w:rPr>
        <w:t xml:space="preserve">No parenthetical is needed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be indicated</w:t>
      </w:r>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565A0396" w:rsidR="00AA0453" w:rsidRPr="00AA0453" w:rsidRDefault="00E9398D" w:rsidP="003E757A">
      <w:pPr>
        <w:pStyle w:val="Inkling"/>
        <w:rPr>
          <w:rStyle w:val="None"/>
          <w:lang w:val="en-US"/>
        </w:rPr>
      </w:pPr>
      <w:r w:rsidRPr="00AA0453">
        <w:rPr>
          <w:rStyle w:val="None"/>
          <w:lang w:val="en-US"/>
        </w:rPr>
        <w:t xml:space="preserve">Dealing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handle such situations: (cleaned up). The parenthetical (cleaned up) after a quotation and citation indicates essentially that the writer has adjusted the citation’s mechanics to the situation and will not list and elaborate on each mechanical modification, but is indicating to the reader that small tweaks have been made for clarity and convenience. </w:t>
      </w:r>
    </w:p>
    <w:p w14:paraId="021C21A8" w14:textId="77777777" w:rsidR="00FC138E" w:rsidRDefault="00FC138E" w:rsidP="003E757A">
      <w:pPr>
        <w:pStyle w:val="Inkling"/>
        <w:rPr>
          <w:rStyle w:val="None"/>
          <w:lang w:val="en-US"/>
        </w:rPr>
      </w:pPr>
    </w:p>
    <w:p w14:paraId="094C5913" w14:textId="6EB1B1AD" w:rsidR="00E9398D" w:rsidRPr="00AA0453" w:rsidRDefault="00FC138E" w:rsidP="005A5A45">
      <w:pPr>
        <w:pStyle w:val="Inkling"/>
        <w:rPr>
          <w:rStyle w:val="None"/>
          <w:lang w:val="en-US"/>
        </w:rPr>
      </w:pPr>
      <w:r>
        <w:rPr>
          <w:rStyle w:val="None"/>
          <w:lang w:val="en-US"/>
        </w:rPr>
        <w:t>The</w:t>
      </w:r>
      <w:r w:rsidR="00E9398D" w:rsidRPr="00AA0453">
        <w:rPr>
          <w:rStyle w:val="None"/>
          <w:lang w:val="en-US"/>
        </w:rPr>
        <w:t xml:space="preserve"> (cleaned up) parenthetical </w:t>
      </w:r>
      <w:r>
        <w:rPr>
          <w:rStyle w:val="None"/>
          <w:lang w:val="en-US"/>
        </w:rPr>
        <w:t>has not become part of the Uniform System of Citation—yet</w:t>
      </w:r>
      <w:r w:rsidR="00E9398D" w:rsidRPr="00AA0453">
        <w:rPr>
          <w:rStyle w:val="None"/>
          <w:lang w:val="en-US"/>
        </w:rPr>
        <w:t xml:space="preserve">. </w:t>
      </w:r>
      <w:r>
        <w:rPr>
          <w:rStyle w:val="None"/>
          <w:lang w:val="en-US"/>
        </w:rPr>
        <w:t xml:space="preserve">It has, however, actually </w:t>
      </w:r>
      <w:r w:rsidR="00E9398D" w:rsidRPr="00AA0453">
        <w:rPr>
          <w:rStyle w:val="None"/>
          <w:lang w:val="en-US"/>
        </w:rPr>
        <w:t xml:space="preserve">been used in thousands of federal and state judicial opinions. </w:t>
      </w:r>
      <w:r w:rsidR="00E9398D" w:rsidRPr="00FC138E">
        <w:rPr>
          <w:rStyle w:val="None"/>
          <w:i/>
          <w:iCs/>
          <w:lang w:val="en-US"/>
        </w:rPr>
        <w:t>See</w:t>
      </w:r>
      <w:r>
        <w:rPr>
          <w:rStyle w:val="None"/>
          <w:lang w:val="en-US"/>
        </w:rPr>
        <w:t xml:space="preserve"> </w:t>
      </w:r>
      <w:r w:rsidR="00E9398D" w:rsidRPr="00AA0453">
        <w:rPr>
          <w:rStyle w:val="None"/>
          <w:lang w:val="en-US"/>
        </w:rPr>
        <w:t xml:space="preserve">Jack Metzler, </w:t>
      </w:r>
      <w:r w:rsidR="00E9398D" w:rsidRPr="00AA0453">
        <w:rPr>
          <w:rStyle w:val="None"/>
          <w:i/>
          <w:iCs/>
          <w:lang w:val="en-US"/>
        </w:rPr>
        <w:t>Cleaning Up Citations</w:t>
      </w:r>
      <w:r w:rsidR="00E9398D" w:rsidRPr="00AA0453">
        <w:rPr>
          <w:rStyle w:val="None"/>
          <w:lang w:val="en-US"/>
        </w:rPr>
        <w:t>, 18 J. App. Prac. &amp; Process 142 (2017).</w:t>
      </w:r>
      <w:r w:rsidR="00E9398D" w:rsidRPr="00AA0453">
        <w:rPr>
          <w:lang w:val="en-US"/>
        </w:rPr>
        <w:t xml:space="preserve"> </w:t>
      </w:r>
      <w:r>
        <w:rPr>
          <w:rStyle w:val="None"/>
          <w:lang w:val="en-US"/>
        </w:rPr>
        <w:t>The (cleaned up) approach</w:t>
      </w:r>
      <w:r w:rsidR="00E9398D" w:rsidRPr="00AA0453">
        <w:rPr>
          <w:rStyle w:val="None"/>
          <w:lang w:val="en-US"/>
        </w:rPr>
        <w:t xml:space="preserve"> is not without its critics, though, who argue that transparently meticulous care with quotations enhances the writer’s credibility and does not unduly distract readers</w:t>
      </w:r>
      <w:r>
        <w:rPr>
          <w:rStyle w:val="None"/>
          <w:lang w:val="en-US"/>
        </w:rPr>
        <w:t>.</w:t>
      </w:r>
      <w:r w:rsidR="00F55224">
        <w:rPr>
          <w:rStyle w:val="None"/>
          <w:lang w:val="en-US"/>
        </w:rPr>
        <w:t xml:space="preserve"> Writers will </w:t>
      </w:r>
      <w:r w:rsidR="00DC1022">
        <w:rPr>
          <w:rStyle w:val="None"/>
          <w:lang w:val="en-US"/>
        </w:rPr>
        <w:t xml:space="preserve">need to make individual decisions whether to consider (cleaned up), depending on their role and their audience. Apart from these individual decisions, the (cleaned up) </w:t>
      </w:r>
      <w:r w:rsidR="00F55224">
        <w:rPr>
          <w:rStyle w:val="None"/>
          <w:lang w:val="en-US"/>
        </w:rPr>
        <w:t>parenthetical provides</w:t>
      </w:r>
      <w:r w:rsidR="005A5A45">
        <w:rPr>
          <w:rStyle w:val="None"/>
          <w:lang w:val="en-US"/>
        </w:rPr>
        <w:t xml:space="preserve"> yet more evidence that</w:t>
      </w:r>
      <w:r w:rsidR="00E9398D" w:rsidRPr="00AA0453">
        <w:rPr>
          <w:rStyle w:val="None"/>
          <w:lang w:val="en-US"/>
        </w:rPr>
        <w:t xml:space="preserve"> legal ci</w:t>
      </w:r>
      <w:r w:rsidR="0031765E">
        <w:rPr>
          <w:rStyle w:val="None"/>
          <w:lang w:val="en-US"/>
        </w:rPr>
        <w:t xml:space="preserve">tation </w:t>
      </w:r>
      <w:r w:rsidR="008360E9">
        <w:rPr>
          <w:rStyle w:val="None"/>
          <w:lang w:val="en-US"/>
        </w:rPr>
        <w:t xml:space="preserve">can and does evolve not just through the </w:t>
      </w:r>
      <w:r w:rsidR="001000B5">
        <w:rPr>
          <w:rStyle w:val="None"/>
          <w:lang w:val="en-US"/>
        </w:rPr>
        <w:t xml:space="preserve">periodic publication of citation </w:t>
      </w:r>
      <w:r w:rsidR="008360E9">
        <w:rPr>
          <w:rStyle w:val="None"/>
          <w:lang w:val="en-US"/>
        </w:rPr>
        <w:t>rule</w:t>
      </w:r>
      <w:r w:rsidR="00B6015D">
        <w:rPr>
          <w:rStyle w:val="None"/>
          <w:lang w:val="en-US"/>
        </w:rPr>
        <w:t xml:space="preserve">s but through practice and dialogue </w:t>
      </w:r>
      <w:r w:rsidR="0078655F">
        <w:rPr>
          <w:rStyle w:val="None"/>
          <w:lang w:val="en-US"/>
        </w:rPr>
        <w:t>with</w:t>
      </w:r>
      <w:r w:rsidR="00B6015D">
        <w:rPr>
          <w:rStyle w:val="None"/>
          <w:lang w:val="en-US"/>
        </w:rPr>
        <w:t>in the legal community.</w:t>
      </w:r>
      <w:r w:rsidR="008360E9">
        <w:rPr>
          <w:rStyle w:val="None"/>
          <w:lang w:val="en-US"/>
        </w:rPr>
        <w:t xml:space="preserve"> </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An omission is</w:t>
      </w:r>
      <w:r w:rsidR="00E9398D" w:rsidRPr="00AA0453">
        <w:rPr>
          <w:rStyle w:val="None"/>
        </w:rPr>
        <w:t xml:space="preserve"> indicated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is represented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 xml:space="preserve">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  </w:t>
      </w:r>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Exxon Mobil Corp. v. Allapattah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“The difference between actual and red flag knowledge is thus not between specific and generalized knowledge . . . .”</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“The difference between actual and red flag knowledge is thus not between specific and generalized knowledge . . . . [T]he red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1538427C" w:rsidR="00E9398D" w:rsidRPr="00AA0453" w:rsidRDefault="00E9398D" w:rsidP="003E757A">
      <w:pPr>
        <w:pStyle w:val="Rule"/>
      </w:pPr>
      <w:r w:rsidRPr="00AA0453">
        <w:t>When omitting a footnote or citation from quoted material, do not insert an ellips</w:t>
      </w:r>
      <w:r w:rsidR="00531553" w:rsidRPr="00AA0453">
        <w:t>i</w:t>
      </w:r>
      <w:r w:rsidRPr="00AA0453">
        <w:t>s</w:t>
      </w:r>
      <w:r w:rsidR="00913D36">
        <w:t>. D</w:t>
      </w:r>
      <w:r w:rsidRPr="00AA0453">
        <w:t xml:space="preserve">o insert a parenthetical indicating the omission immediately after the citation to the quoted source. </w:t>
      </w:r>
      <w:r w:rsidRPr="00AA0453">
        <w:rPr>
          <w:i/>
          <w:iCs/>
        </w:rPr>
        <w:t>See</w:t>
      </w:r>
      <w:r w:rsidRPr="00AA0453">
        <w:t xml:space="preserve"> </w:t>
      </w:r>
      <w:r w:rsidRPr="00641CF8">
        <w:rPr>
          <w:rStyle w:val="Rulereferencecharacterstyle"/>
        </w:rPr>
        <w:t xml:space="preserve">Rule </w:t>
      </w:r>
      <w:r w:rsidR="00FC138E" w:rsidRPr="00641CF8">
        <w:rPr>
          <w:rStyle w:val="Rulereferencecharacterstyle"/>
        </w:rPr>
        <w:t>R</w:t>
      </w:r>
      <w:r w:rsidR="00A971DD" w:rsidRPr="00641CF8">
        <w:rPr>
          <w:rStyle w:val="Rulereferencecharacterstyle"/>
        </w:rPr>
        <w:t>8.2.6</w:t>
      </w:r>
      <w:r w:rsidR="00A971DD" w:rsidRPr="00AA0453">
        <w:t>.</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r w:rsidR="00E255D8" w:rsidRPr="00AA0453">
        <w:rPr>
          <w:rStyle w:val="None"/>
          <w:rFonts w:ascii="Georgia" w:hAnsi="Georgia"/>
        </w:rPr>
        <w:t>m</w:t>
      </w:r>
      <w:r w:rsidR="00E9398D" w:rsidRPr="00AA0453">
        <w:rPr>
          <w:rStyle w:val="None"/>
          <w:rFonts w:ascii="Georgia" w:hAnsi="Georgia"/>
        </w:rPr>
        <w:t xml:space="preserve">aterial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is traditionally made with four spaces and three periods . . . but computers have keyboard shortcuts to produce an ellipsis that constitutes one single character. For example, option-semicolon on an Apple keyboard produces … as its ellipsis shortcut.  While the ellipsis shortcut character is not officially sanctioned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This unspaced citation may look incorrect to many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573A4798"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 xml:space="preserve">Basic </w:t>
      </w:r>
      <w:r w:rsidR="00A24DA4">
        <w:rPr>
          <w:rStyle w:val="None"/>
          <w:rFonts w:ascii="Georgia" w:hAnsi="Georgia"/>
          <w:b/>
          <w:bCs/>
        </w:rPr>
        <w:t>F</w:t>
      </w:r>
      <w:r w:rsidR="00E9398D" w:rsidRPr="00AA0453">
        <w:rPr>
          <w:rStyle w:val="None"/>
          <w:rFonts w:ascii="Georgia" w:hAnsi="Georgia"/>
          <w:b/>
          <w:bCs/>
        </w:rPr>
        <w:t xml:space="preserve">orm of a </w:t>
      </w:r>
      <w:r w:rsidR="00A24DA4">
        <w:rPr>
          <w:rStyle w:val="None"/>
          <w:rFonts w:ascii="Georgia" w:hAnsi="Georgia"/>
          <w:b/>
          <w:bCs/>
        </w:rPr>
        <w:t>B</w:t>
      </w:r>
      <w:r w:rsidR="00E9398D" w:rsidRPr="00AA0453">
        <w:rPr>
          <w:rStyle w:val="None"/>
          <w:rFonts w:ascii="Georgia" w:hAnsi="Georgia"/>
          <w:b/>
          <w:bCs/>
        </w:rPr>
        <w:t xml:space="preserve">lock </w:t>
      </w:r>
      <w:r w:rsidR="00A24DA4">
        <w:rPr>
          <w:rStyle w:val="None"/>
          <w:rFonts w:ascii="Georgia" w:hAnsi="Georgia"/>
          <w:b/>
          <w:bCs/>
        </w:rPr>
        <w:t>Q</w:t>
      </w:r>
      <w:r w:rsidR="00E9398D" w:rsidRPr="00AA0453">
        <w:rPr>
          <w:rStyle w:val="None"/>
          <w:rFonts w:ascii="Georgia" w:hAnsi="Georgia"/>
          <w:b/>
          <w:bCs/>
        </w:rPr>
        <w:t>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3E757A">
      <w:pPr>
        <w:pStyle w:val="Example"/>
        <w:tabs>
          <w:tab w:val="clear" w:pos="1440"/>
          <w:tab w:val="left" w:pos="2160"/>
        </w:tabs>
        <w:ind w:left="2160" w:right="720"/>
        <w:jc w:val="both"/>
      </w:pPr>
      <w:r w:rsidRPr="00AA0453">
        <w:t>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be assured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171F69">
      <w:pPr>
        <w:pStyle w:val="Rule"/>
        <w:numPr>
          <w:ilvl w:val="0"/>
          <w:numId w:val="103"/>
        </w:numPr>
      </w:pPr>
      <w:r w:rsidRPr="00AA0453">
        <w:rPr>
          <w:rStyle w:val="None"/>
        </w:rPr>
        <w:t>Block quotations are single spaced.</w:t>
      </w:r>
    </w:p>
    <w:p w14:paraId="3AE810C5" w14:textId="77777777" w:rsidR="00C66C6E" w:rsidRPr="00AA0453" w:rsidRDefault="00E9398D" w:rsidP="00171F69">
      <w:pPr>
        <w:pStyle w:val="Rule"/>
        <w:numPr>
          <w:ilvl w:val="0"/>
          <w:numId w:val="103"/>
        </w:numPr>
      </w:pPr>
      <w:r w:rsidRPr="00AA0453">
        <w:rPr>
          <w:rStyle w:val="None"/>
        </w:rPr>
        <w:t>Include a single line space after the block quotation, and resume the spacing convention in the surrounding document text.</w:t>
      </w:r>
    </w:p>
    <w:p w14:paraId="01489011" w14:textId="77777777" w:rsidR="00C66C6E" w:rsidRPr="00AA0453" w:rsidRDefault="00E9398D" w:rsidP="00171F69">
      <w:pPr>
        <w:pStyle w:val="Rule"/>
        <w:numPr>
          <w:ilvl w:val="0"/>
          <w:numId w:val="103"/>
        </w:numPr>
      </w:pPr>
      <w:r w:rsidRPr="00AA0453">
        <w:rPr>
          <w:rStyle w:val="None"/>
        </w:rPr>
        <w:t>Indent both left and right.</w:t>
      </w:r>
    </w:p>
    <w:p w14:paraId="6B5E9B1B" w14:textId="77777777" w:rsidR="00C66C6E" w:rsidRPr="00AA0453" w:rsidRDefault="00E9398D" w:rsidP="00171F69">
      <w:pPr>
        <w:pStyle w:val="Rule"/>
        <w:numPr>
          <w:ilvl w:val="0"/>
          <w:numId w:val="103"/>
        </w:numPr>
      </w:pPr>
      <w:r w:rsidRPr="00AA0453">
        <w:rPr>
          <w:rStyle w:val="None"/>
        </w:rPr>
        <w:t>Block quotations should be formatted with “full justification.” The right and left margins of the block quotation are fully justified, meaning aligned on the left margin and on the right margin. The aligned left and right margins give the block quotation its appearance as a rectangular “block” of text on the page.</w:t>
      </w:r>
    </w:p>
    <w:p w14:paraId="312FBE2A" w14:textId="11F14C0F" w:rsidR="00C66C6E" w:rsidRPr="00AA0453" w:rsidRDefault="00E9398D" w:rsidP="00171F69">
      <w:pPr>
        <w:pStyle w:val="Rule"/>
        <w:numPr>
          <w:ilvl w:val="0"/>
          <w:numId w:val="103"/>
        </w:numPr>
      </w:pPr>
      <w:r w:rsidRPr="00AA0453">
        <w:rPr>
          <w:rStyle w:val="None"/>
        </w:rPr>
        <w:t>Do not use quotation marks surrounding the block quotation.</w:t>
      </w:r>
      <w:r w:rsidR="00900A21">
        <w:rPr>
          <w:rStyle w:val="None"/>
        </w:rPr>
        <w:t xml:space="preserve"> The block format itself indicates that the material is a quotation, and quotation marks around a block would be redundant. (Exception: Use</w:t>
      </w:r>
      <w:r w:rsidR="00900A21" w:rsidRPr="00AA0453">
        <w:rPr>
          <w:rStyle w:val="None"/>
        </w:rPr>
        <w:t xml:space="preserve"> quotation marks if the entire block quotation is itself a quotation within the source being quoted, and indicate the </w:t>
      </w:r>
      <w:r w:rsidR="00900A21">
        <w:rPr>
          <w:rStyle w:val="None"/>
        </w:rPr>
        <w:t>internal quotation and source</w:t>
      </w:r>
      <w:r w:rsidR="00900A21" w:rsidRPr="00AA0453">
        <w:rPr>
          <w:rStyle w:val="None"/>
        </w:rPr>
        <w:t xml:space="preserve"> parenthetically after the block.</w:t>
      </w:r>
      <w:r w:rsidR="00900A21">
        <w:rPr>
          <w:rStyle w:val="None"/>
        </w:rPr>
        <w:t>)</w:t>
      </w:r>
      <w:r w:rsidR="00C66C6E" w:rsidRPr="00AA0453">
        <w:rPr>
          <w:rStyle w:val="None"/>
        </w:rPr>
        <w:t xml:space="preserve"> </w:t>
      </w:r>
    </w:p>
    <w:p w14:paraId="28F612A7" w14:textId="04CFC299" w:rsidR="00C66C6E" w:rsidRPr="00AA0453" w:rsidRDefault="001948C8" w:rsidP="00171F69">
      <w:pPr>
        <w:pStyle w:val="Rule"/>
        <w:numPr>
          <w:ilvl w:val="0"/>
          <w:numId w:val="103"/>
        </w:numPr>
      </w:pPr>
      <w:r>
        <w:rPr>
          <w:rStyle w:val="None"/>
        </w:rPr>
        <w:t>In general, internal</w:t>
      </w:r>
      <w:r w:rsidR="00E9398D" w:rsidRPr="00AA0453">
        <w:rPr>
          <w:rStyle w:val="None"/>
        </w:rPr>
        <w:t> quotation marks should appear as in the original.</w:t>
      </w:r>
      <w:r w:rsidR="00D85501">
        <w:rPr>
          <w:rStyle w:val="None"/>
        </w:rPr>
        <w:t xml:space="preserve"> </w:t>
      </w:r>
      <w:r w:rsidR="00C66C6E" w:rsidRPr="00AA0453">
        <w:rPr>
          <w:rStyle w:val="None"/>
        </w:rPr>
        <w:t xml:space="preserve"> </w:t>
      </w:r>
    </w:p>
    <w:p w14:paraId="1E12E0BA" w14:textId="6B827178" w:rsidR="00E9398D" w:rsidRPr="00AA0453" w:rsidRDefault="00E9398D" w:rsidP="00171F69">
      <w:pPr>
        <w:pStyle w:val="Rule"/>
        <w:numPr>
          <w:ilvl w:val="0"/>
          <w:numId w:val="103"/>
        </w:numPr>
        <w:rPr>
          <w:rStyle w:val="None"/>
        </w:rPr>
      </w:pPr>
      <w:r w:rsidRPr="00AA0453">
        <w:rPr>
          <w:rStyle w:val="None"/>
        </w:rPr>
        <w:t>The citation following a block quotation should start at the line’s left margin, without any indentation. This citation can be a full citation or a short citation, as the circumstances dictate. It should include a pincite to the page or pages where the quoted material is found.</w:t>
      </w:r>
    </w:p>
    <w:p w14:paraId="0647EA4E" w14:textId="77777777" w:rsidR="00C66C6E" w:rsidRPr="00AA0453" w:rsidRDefault="00C66C6E" w:rsidP="00C66C6E">
      <w:pPr>
        <w:pStyle w:val="Rule"/>
        <w:ind w:left="1560"/>
        <w:rPr>
          <w:rStyle w:val="None"/>
        </w:rPr>
      </w:pPr>
    </w:p>
    <w:p w14:paraId="5543FF42" w14:textId="70FF9105"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 xml:space="preserve">R10 </w:t>
      </w:r>
      <w:r w:rsidR="00900A21">
        <w:rPr>
          <w:rStyle w:val="None"/>
          <w:rFonts w:ascii="Georgia" w:hAnsi="Georgia"/>
          <w:b/>
          <w:bCs/>
        </w:rPr>
        <w:tab/>
      </w:r>
      <w:r w:rsidRPr="00AA0453">
        <w:rPr>
          <w:rStyle w:val="None"/>
          <w:rFonts w:ascii="Georgia" w:hAnsi="Georgia"/>
          <w:b/>
          <w:bCs/>
        </w:rPr>
        <w:t>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articiple such as (holding . . . )</w:t>
      </w:r>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parody of O.J. Simpson murder trial was substantially similar to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Ty, Inc. v. Publ’ns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r w:rsidRPr="00AA0453">
        <w:rPr>
          <w:rStyle w:val="None"/>
        </w:rPr>
        <w:t xml:space="preserve">Some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curiam) or (en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are followed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w:t>
      </w:r>
      <w:r w:rsidR="00FC138E" w:rsidRPr="00104DAB">
        <w:rPr>
          <w:rStyle w:val="Rulereferencecharacterstyle"/>
        </w:rPr>
        <w:t>Rule R14</w:t>
      </w:r>
      <w:r w:rsidR="00FC138E">
        <w:rPr>
          <w:rStyle w:val="None"/>
        </w:rPr>
        <w:t xml:space="preserve">)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(en banc) (</w:t>
      </w:r>
      <w:r w:rsidRPr="00AA0453">
        <w:rPr>
          <w:rStyle w:val="None"/>
          <w:rFonts w:ascii="Monaco" w:hAnsi="Monaco"/>
          <w:color w:val="4B0082"/>
          <w:u w:color="4B0082"/>
        </w:rPr>
        <w:t>&lt;Lastname, J.&gt;</w:t>
      </w:r>
      <w:r w:rsidRPr="00AA0453">
        <w:rPr>
          <w:rStyle w:val="None"/>
          <w:rFonts w:ascii="Georgia" w:hAnsi="Georgia"/>
        </w:rPr>
        <w:t>, concurring) (plurality opinion) (per curiam)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A4A0" w14:textId="77777777" w:rsidR="001C4902" w:rsidRDefault="001C4902" w:rsidP="00FA58FE">
      <w:r>
        <w:separator/>
      </w:r>
    </w:p>
  </w:endnote>
  <w:endnote w:type="continuationSeparator" w:id="0">
    <w:p w14:paraId="709AC634" w14:textId="77777777" w:rsidR="001C4902" w:rsidRDefault="001C4902"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0C90" w14:textId="77777777" w:rsidR="001C4902" w:rsidRDefault="001C4902" w:rsidP="00FA58FE">
      <w:r>
        <w:separator/>
      </w:r>
    </w:p>
  </w:footnote>
  <w:footnote w:type="continuationSeparator" w:id="0">
    <w:p w14:paraId="30558A2D" w14:textId="77777777" w:rsidR="001C4902" w:rsidRDefault="001C4902"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4CC85A1A"/>
    <w:multiLevelType w:val="hybridMultilevel"/>
    <w:tmpl w:val="D16EFA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5"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56FC3BCA"/>
    <w:multiLevelType w:val="hybridMultilevel"/>
    <w:tmpl w:val="4EDCD174"/>
    <w:numStyleLink w:val="ImportedStyle3"/>
  </w:abstractNum>
  <w:abstractNum w:abstractNumId="75"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67FF744B"/>
    <w:multiLevelType w:val="hybridMultilevel"/>
    <w:tmpl w:val="49049F9E"/>
    <w:lvl w:ilvl="0" w:tplc="8892C3D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7"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99"/>
  </w:num>
  <w:num w:numId="2">
    <w:abstractNumId w:val="52"/>
  </w:num>
  <w:num w:numId="3">
    <w:abstractNumId w:val="29"/>
  </w:num>
  <w:num w:numId="4">
    <w:abstractNumId w:val="74"/>
  </w:num>
  <w:num w:numId="5">
    <w:abstractNumId w:val="36"/>
  </w:num>
  <w:num w:numId="6">
    <w:abstractNumId w:val="34"/>
  </w:num>
  <w:num w:numId="7">
    <w:abstractNumId w:val="19"/>
  </w:num>
  <w:num w:numId="8">
    <w:abstractNumId w:val="51"/>
  </w:num>
  <w:num w:numId="9">
    <w:abstractNumId w:val="89"/>
  </w:num>
  <w:num w:numId="10">
    <w:abstractNumId w:val="90"/>
  </w:num>
  <w:num w:numId="11">
    <w:abstractNumId w:val="82"/>
  </w:num>
  <w:num w:numId="12">
    <w:abstractNumId w:val="4"/>
  </w:num>
  <w:num w:numId="13">
    <w:abstractNumId w:val="12"/>
  </w:num>
  <w:num w:numId="14">
    <w:abstractNumId w:val="22"/>
  </w:num>
  <w:num w:numId="15">
    <w:abstractNumId w:val="98"/>
  </w:num>
  <w:num w:numId="16">
    <w:abstractNumId w:val="87"/>
  </w:num>
  <w:num w:numId="17">
    <w:abstractNumId w:val="39"/>
  </w:num>
  <w:num w:numId="18">
    <w:abstractNumId w:val="75"/>
  </w:num>
  <w:num w:numId="19">
    <w:abstractNumId w:val="1"/>
  </w:num>
  <w:num w:numId="20">
    <w:abstractNumId w:val="23"/>
  </w:num>
  <w:num w:numId="21">
    <w:abstractNumId w:val="61"/>
  </w:num>
  <w:num w:numId="22">
    <w:abstractNumId w:val="35"/>
  </w:num>
  <w:num w:numId="23">
    <w:abstractNumId w:val="50"/>
  </w:num>
  <w:num w:numId="24">
    <w:abstractNumId w:val="62"/>
  </w:num>
  <w:num w:numId="25">
    <w:abstractNumId w:val="83"/>
  </w:num>
  <w:num w:numId="26">
    <w:abstractNumId w:val="91"/>
  </w:num>
  <w:num w:numId="27">
    <w:abstractNumId w:val="21"/>
  </w:num>
  <w:num w:numId="28">
    <w:abstractNumId w:val="3"/>
  </w:num>
  <w:num w:numId="29">
    <w:abstractNumId w:val="46"/>
  </w:num>
  <w:num w:numId="30">
    <w:abstractNumId w:val="85"/>
  </w:num>
  <w:num w:numId="31">
    <w:abstractNumId w:val="9"/>
  </w:num>
  <w:num w:numId="32">
    <w:abstractNumId w:val="77"/>
  </w:num>
  <w:num w:numId="33">
    <w:abstractNumId w:val="84"/>
  </w:num>
  <w:num w:numId="34">
    <w:abstractNumId w:val="40"/>
  </w:num>
  <w:num w:numId="35">
    <w:abstractNumId w:val="0"/>
  </w:num>
  <w:num w:numId="36">
    <w:abstractNumId w:val="57"/>
  </w:num>
  <w:num w:numId="37">
    <w:abstractNumId w:val="45"/>
  </w:num>
  <w:num w:numId="38">
    <w:abstractNumId w:val="97"/>
  </w:num>
  <w:num w:numId="39">
    <w:abstractNumId w:val="48"/>
  </w:num>
  <w:num w:numId="40">
    <w:abstractNumId w:val="5"/>
  </w:num>
  <w:num w:numId="41">
    <w:abstractNumId w:val="49"/>
  </w:num>
  <w:num w:numId="42">
    <w:abstractNumId w:val="79"/>
  </w:num>
  <w:num w:numId="43">
    <w:abstractNumId w:val="66"/>
  </w:num>
  <w:num w:numId="44">
    <w:abstractNumId w:val="103"/>
  </w:num>
  <w:num w:numId="45">
    <w:abstractNumId w:val="31"/>
  </w:num>
  <w:num w:numId="46">
    <w:abstractNumId w:val="55"/>
  </w:num>
  <w:num w:numId="47">
    <w:abstractNumId w:val="38"/>
  </w:num>
  <w:num w:numId="48">
    <w:abstractNumId w:val="20"/>
  </w:num>
  <w:num w:numId="49">
    <w:abstractNumId w:val="16"/>
  </w:num>
  <w:num w:numId="50">
    <w:abstractNumId w:val="81"/>
  </w:num>
  <w:num w:numId="51">
    <w:abstractNumId w:val="68"/>
  </w:num>
  <w:num w:numId="52">
    <w:abstractNumId w:val="100"/>
  </w:num>
  <w:num w:numId="53">
    <w:abstractNumId w:val="73"/>
  </w:num>
  <w:num w:numId="54">
    <w:abstractNumId w:val="41"/>
  </w:num>
  <w:num w:numId="55">
    <w:abstractNumId w:val="14"/>
  </w:num>
  <w:num w:numId="56">
    <w:abstractNumId w:val="26"/>
  </w:num>
  <w:num w:numId="57">
    <w:abstractNumId w:val="94"/>
  </w:num>
  <w:num w:numId="58">
    <w:abstractNumId w:val="32"/>
  </w:num>
  <w:num w:numId="59">
    <w:abstractNumId w:val="33"/>
  </w:num>
  <w:num w:numId="60">
    <w:abstractNumId w:val="70"/>
  </w:num>
  <w:num w:numId="61">
    <w:abstractNumId w:val="10"/>
  </w:num>
  <w:num w:numId="62">
    <w:abstractNumId w:val="95"/>
  </w:num>
  <w:num w:numId="63">
    <w:abstractNumId w:val="13"/>
  </w:num>
  <w:num w:numId="64">
    <w:abstractNumId w:val="63"/>
  </w:num>
  <w:num w:numId="65">
    <w:abstractNumId w:val="101"/>
  </w:num>
  <w:num w:numId="66">
    <w:abstractNumId w:val="7"/>
  </w:num>
  <w:num w:numId="67">
    <w:abstractNumId w:val="53"/>
  </w:num>
  <w:num w:numId="68">
    <w:abstractNumId w:val="76"/>
  </w:num>
  <w:num w:numId="69">
    <w:abstractNumId w:val="71"/>
  </w:num>
  <w:num w:numId="70">
    <w:abstractNumId w:val="80"/>
  </w:num>
  <w:num w:numId="71">
    <w:abstractNumId w:val="56"/>
  </w:num>
  <w:num w:numId="72">
    <w:abstractNumId w:val="37"/>
  </w:num>
  <w:num w:numId="73">
    <w:abstractNumId w:val="58"/>
  </w:num>
  <w:num w:numId="74">
    <w:abstractNumId w:val="11"/>
  </w:num>
  <w:num w:numId="75">
    <w:abstractNumId w:val="28"/>
  </w:num>
  <w:num w:numId="76">
    <w:abstractNumId w:val="93"/>
  </w:num>
  <w:num w:numId="77">
    <w:abstractNumId w:val="30"/>
  </w:num>
  <w:num w:numId="78">
    <w:abstractNumId w:val="96"/>
  </w:num>
  <w:num w:numId="79">
    <w:abstractNumId w:val="88"/>
  </w:num>
  <w:num w:numId="80">
    <w:abstractNumId w:val="78"/>
  </w:num>
  <w:num w:numId="81">
    <w:abstractNumId w:val="67"/>
  </w:num>
  <w:num w:numId="82">
    <w:abstractNumId w:val="59"/>
  </w:num>
  <w:num w:numId="83">
    <w:abstractNumId w:val="60"/>
  </w:num>
  <w:num w:numId="84">
    <w:abstractNumId w:val="24"/>
  </w:num>
  <w:num w:numId="85">
    <w:abstractNumId w:val="8"/>
  </w:num>
  <w:num w:numId="86">
    <w:abstractNumId w:val="92"/>
  </w:num>
  <w:num w:numId="87">
    <w:abstractNumId w:val="69"/>
  </w:num>
  <w:num w:numId="88">
    <w:abstractNumId w:val="15"/>
  </w:num>
  <w:num w:numId="89">
    <w:abstractNumId w:val="54"/>
  </w:num>
  <w:num w:numId="90">
    <w:abstractNumId w:val="17"/>
  </w:num>
  <w:num w:numId="91">
    <w:abstractNumId w:val="25"/>
  </w:num>
  <w:num w:numId="92">
    <w:abstractNumId w:val="104"/>
  </w:num>
  <w:num w:numId="93">
    <w:abstractNumId w:val="43"/>
  </w:num>
  <w:num w:numId="94">
    <w:abstractNumId w:val="65"/>
  </w:num>
  <w:num w:numId="95">
    <w:abstractNumId w:val="44"/>
  </w:num>
  <w:num w:numId="96">
    <w:abstractNumId w:val="72"/>
  </w:num>
  <w:num w:numId="97">
    <w:abstractNumId w:val="47"/>
  </w:num>
  <w:num w:numId="98">
    <w:abstractNumId w:val="18"/>
  </w:num>
  <w:num w:numId="99">
    <w:abstractNumId w:val="102"/>
  </w:num>
  <w:num w:numId="100">
    <w:abstractNumId w:val="6"/>
  </w:num>
  <w:num w:numId="101">
    <w:abstractNumId w:val="27"/>
  </w:num>
  <w:num w:numId="102">
    <w:abstractNumId w:val="42"/>
  </w:num>
  <w:num w:numId="103">
    <w:abstractNumId w:val="2"/>
  </w:num>
  <w:num w:numId="104">
    <w:abstractNumId w:val="86"/>
  </w:num>
  <w:num w:numId="105">
    <w:abstractNumId w:val="6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8D"/>
    <w:rsid w:val="0001645D"/>
    <w:rsid w:val="000204D4"/>
    <w:rsid w:val="00026A3D"/>
    <w:rsid w:val="000312EE"/>
    <w:rsid w:val="00032B74"/>
    <w:rsid w:val="000354E5"/>
    <w:rsid w:val="00036E86"/>
    <w:rsid w:val="00051D11"/>
    <w:rsid w:val="00051FA9"/>
    <w:rsid w:val="00056C0C"/>
    <w:rsid w:val="00080308"/>
    <w:rsid w:val="00081E3F"/>
    <w:rsid w:val="00082D60"/>
    <w:rsid w:val="00087544"/>
    <w:rsid w:val="00087F6F"/>
    <w:rsid w:val="00091862"/>
    <w:rsid w:val="000923FD"/>
    <w:rsid w:val="000C53BB"/>
    <w:rsid w:val="000D5423"/>
    <w:rsid w:val="000E226C"/>
    <w:rsid w:val="000F0F48"/>
    <w:rsid w:val="000F6DA2"/>
    <w:rsid w:val="001000B5"/>
    <w:rsid w:val="00104DAB"/>
    <w:rsid w:val="00105421"/>
    <w:rsid w:val="00106D1D"/>
    <w:rsid w:val="00110B4C"/>
    <w:rsid w:val="0011192F"/>
    <w:rsid w:val="00124906"/>
    <w:rsid w:val="00133152"/>
    <w:rsid w:val="00135932"/>
    <w:rsid w:val="00141CC9"/>
    <w:rsid w:val="001474ED"/>
    <w:rsid w:val="0015702B"/>
    <w:rsid w:val="0015780A"/>
    <w:rsid w:val="00162C76"/>
    <w:rsid w:val="00171F69"/>
    <w:rsid w:val="00185C40"/>
    <w:rsid w:val="001948C8"/>
    <w:rsid w:val="001A090A"/>
    <w:rsid w:val="001A272F"/>
    <w:rsid w:val="001B5ECE"/>
    <w:rsid w:val="001C0DED"/>
    <w:rsid w:val="001C27B4"/>
    <w:rsid w:val="001C4902"/>
    <w:rsid w:val="001D2092"/>
    <w:rsid w:val="00203130"/>
    <w:rsid w:val="002235E0"/>
    <w:rsid w:val="00225800"/>
    <w:rsid w:val="00230614"/>
    <w:rsid w:val="002340B7"/>
    <w:rsid w:val="0024373D"/>
    <w:rsid w:val="002458E2"/>
    <w:rsid w:val="0026353F"/>
    <w:rsid w:val="00264D99"/>
    <w:rsid w:val="00270FF4"/>
    <w:rsid w:val="0027512B"/>
    <w:rsid w:val="0028410E"/>
    <w:rsid w:val="002944B4"/>
    <w:rsid w:val="0029598D"/>
    <w:rsid w:val="00295DC3"/>
    <w:rsid w:val="002B1295"/>
    <w:rsid w:val="002B2A8C"/>
    <w:rsid w:val="002B2A9B"/>
    <w:rsid w:val="002B60D1"/>
    <w:rsid w:val="002C20CA"/>
    <w:rsid w:val="002D0CBA"/>
    <w:rsid w:val="002D2574"/>
    <w:rsid w:val="002E41B9"/>
    <w:rsid w:val="002F28C5"/>
    <w:rsid w:val="00306866"/>
    <w:rsid w:val="00307367"/>
    <w:rsid w:val="00317016"/>
    <w:rsid w:val="0031765E"/>
    <w:rsid w:val="0032065F"/>
    <w:rsid w:val="00327D63"/>
    <w:rsid w:val="00334365"/>
    <w:rsid w:val="00345C74"/>
    <w:rsid w:val="00376227"/>
    <w:rsid w:val="003C4857"/>
    <w:rsid w:val="003E1F89"/>
    <w:rsid w:val="003E757A"/>
    <w:rsid w:val="003F1FC2"/>
    <w:rsid w:val="004001EC"/>
    <w:rsid w:val="004066DE"/>
    <w:rsid w:val="004214B7"/>
    <w:rsid w:val="00421E61"/>
    <w:rsid w:val="004247CB"/>
    <w:rsid w:val="004301FB"/>
    <w:rsid w:val="0043280B"/>
    <w:rsid w:val="0044593F"/>
    <w:rsid w:val="0045211C"/>
    <w:rsid w:val="00452908"/>
    <w:rsid w:val="004609B8"/>
    <w:rsid w:val="00461C07"/>
    <w:rsid w:val="0046637A"/>
    <w:rsid w:val="00472796"/>
    <w:rsid w:val="00486C97"/>
    <w:rsid w:val="004B1AFD"/>
    <w:rsid w:val="004C7900"/>
    <w:rsid w:val="004D7C11"/>
    <w:rsid w:val="004E6C18"/>
    <w:rsid w:val="005009BA"/>
    <w:rsid w:val="00524661"/>
    <w:rsid w:val="00531553"/>
    <w:rsid w:val="00534BA1"/>
    <w:rsid w:val="00544A5B"/>
    <w:rsid w:val="00545067"/>
    <w:rsid w:val="005457BB"/>
    <w:rsid w:val="00545E42"/>
    <w:rsid w:val="00550EB9"/>
    <w:rsid w:val="00561629"/>
    <w:rsid w:val="005A2A94"/>
    <w:rsid w:val="005A2B7B"/>
    <w:rsid w:val="005A30DC"/>
    <w:rsid w:val="005A5A45"/>
    <w:rsid w:val="005B425F"/>
    <w:rsid w:val="005C4420"/>
    <w:rsid w:val="005D0A08"/>
    <w:rsid w:val="005D6673"/>
    <w:rsid w:val="005E6B14"/>
    <w:rsid w:val="005E79C8"/>
    <w:rsid w:val="00602747"/>
    <w:rsid w:val="00602F33"/>
    <w:rsid w:val="00634C29"/>
    <w:rsid w:val="00640AEC"/>
    <w:rsid w:val="00641CF8"/>
    <w:rsid w:val="00646AB4"/>
    <w:rsid w:val="006524C0"/>
    <w:rsid w:val="00674D95"/>
    <w:rsid w:val="00680E97"/>
    <w:rsid w:val="00681B31"/>
    <w:rsid w:val="00695EBF"/>
    <w:rsid w:val="006A2EC1"/>
    <w:rsid w:val="006A4770"/>
    <w:rsid w:val="006B6408"/>
    <w:rsid w:val="006C4436"/>
    <w:rsid w:val="006C634D"/>
    <w:rsid w:val="006D08A6"/>
    <w:rsid w:val="006D190E"/>
    <w:rsid w:val="006D1F19"/>
    <w:rsid w:val="006D5ACA"/>
    <w:rsid w:val="006D785B"/>
    <w:rsid w:val="006E72AE"/>
    <w:rsid w:val="006F4F20"/>
    <w:rsid w:val="006F7D53"/>
    <w:rsid w:val="00700182"/>
    <w:rsid w:val="00704D45"/>
    <w:rsid w:val="007103E2"/>
    <w:rsid w:val="00743A61"/>
    <w:rsid w:val="00756AF5"/>
    <w:rsid w:val="00777C41"/>
    <w:rsid w:val="0078655F"/>
    <w:rsid w:val="007955C6"/>
    <w:rsid w:val="007A0482"/>
    <w:rsid w:val="007B0DB1"/>
    <w:rsid w:val="007B1236"/>
    <w:rsid w:val="007C700C"/>
    <w:rsid w:val="007C771A"/>
    <w:rsid w:val="007D1913"/>
    <w:rsid w:val="007D1FB3"/>
    <w:rsid w:val="007E264E"/>
    <w:rsid w:val="007F281D"/>
    <w:rsid w:val="007F4342"/>
    <w:rsid w:val="00803C62"/>
    <w:rsid w:val="00814AA1"/>
    <w:rsid w:val="00821656"/>
    <w:rsid w:val="008238FE"/>
    <w:rsid w:val="00824283"/>
    <w:rsid w:val="00835EF6"/>
    <w:rsid w:val="008360E9"/>
    <w:rsid w:val="008500B8"/>
    <w:rsid w:val="008501E8"/>
    <w:rsid w:val="008565BF"/>
    <w:rsid w:val="008615E2"/>
    <w:rsid w:val="00877AD0"/>
    <w:rsid w:val="00885DDE"/>
    <w:rsid w:val="008B4E03"/>
    <w:rsid w:val="008D2016"/>
    <w:rsid w:val="008D69A0"/>
    <w:rsid w:val="008D7618"/>
    <w:rsid w:val="008E2236"/>
    <w:rsid w:val="008F3C80"/>
    <w:rsid w:val="008F4442"/>
    <w:rsid w:val="008F5B6D"/>
    <w:rsid w:val="00900A21"/>
    <w:rsid w:val="00913D36"/>
    <w:rsid w:val="009175F0"/>
    <w:rsid w:val="00927045"/>
    <w:rsid w:val="00931951"/>
    <w:rsid w:val="00932FC5"/>
    <w:rsid w:val="009336EA"/>
    <w:rsid w:val="00936642"/>
    <w:rsid w:val="00946189"/>
    <w:rsid w:val="00953576"/>
    <w:rsid w:val="00963ABC"/>
    <w:rsid w:val="009706A7"/>
    <w:rsid w:val="00970B0E"/>
    <w:rsid w:val="0097652C"/>
    <w:rsid w:val="00985A39"/>
    <w:rsid w:val="00986807"/>
    <w:rsid w:val="009B54E2"/>
    <w:rsid w:val="009C2CE5"/>
    <w:rsid w:val="009D0752"/>
    <w:rsid w:val="00A013D2"/>
    <w:rsid w:val="00A04981"/>
    <w:rsid w:val="00A125A3"/>
    <w:rsid w:val="00A13AD4"/>
    <w:rsid w:val="00A24DA4"/>
    <w:rsid w:val="00A367EF"/>
    <w:rsid w:val="00A66397"/>
    <w:rsid w:val="00A971DD"/>
    <w:rsid w:val="00AA0453"/>
    <w:rsid w:val="00AA3BEE"/>
    <w:rsid w:val="00AB104A"/>
    <w:rsid w:val="00AB38A8"/>
    <w:rsid w:val="00AC307B"/>
    <w:rsid w:val="00AC6336"/>
    <w:rsid w:val="00AC7431"/>
    <w:rsid w:val="00AD213C"/>
    <w:rsid w:val="00AD3120"/>
    <w:rsid w:val="00AD5505"/>
    <w:rsid w:val="00AE0BBC"/>
    <w:rsid w:val="00AF17E5"/>
    <w:rsid w:val="00AF2EEE"/>
    <w:rsid w:val="00B01569"/>
    <w:rsid w:val="00B10744"/>
    <w:rsid w:val="00B17CF1"/>
    <w:rsid w:val="00B3220F"/>
    <w:rsid w:val="00B32D40"/>
    <w:rsid w:val="00B35379"/>
    <w:rsid w:val="00B44756"/>
    <w:rsid w:val="00B449A4"/>
    <w:rsid w:val="00B4642F"/>
    <w:rsid w:val="00B5047B"/>
    <w:rsid w:val="00B544C9"/>
    <w:rsid w:val="00B6015D"/>
    <w:rsid w:val="00B70C42"/>
    <w:rsid w:val="00B77F37"/>
    <w:rsid w:val="00B817EC"/>
    <w:rsid w:val="00BD2A8C"/>
    <w:rsid w:val="00BD4C0C"/>
    <w:rsid w:val="00BD55C4"/>
    <w:rsid w:val="00BE1F50"/>
    <w:rsid w:val="00BF13D9"/>
    <w:rsid w:val="00C00D1F"/>
    <w:rsid w:val="00C011DE"/>
    <w:rsid w:val="00C04169"/>
    <w:rsid w:val="00C05DAB"/>
    <w:rsid w:val="00C34999"/>
    <w:rsid w:val="00C404A6"/>
    <w:rsid w:val="00C621C6"/>
    <w:rsid w:val="00C66C6E"/>
    <w:rsid w:val="00CC2E6E"/>
    <w:rsid w:val="00CD0922"/>
    <w:rsid w:val="00CD4218"/>
    <w:rsid w:val="00CD6B66"/>
    <w:rsid w:val="00CE20C9"/>
    <w:rsid w:val="00CE70AA"/>
    <w:rsid w:val="00D07EEF"/>
    <w:rsid w:val="00D1288A"/>
    <w:rsid w:val="00D20719"/>
    <w:rsid w:val="00D26369"/>
    <w:rsid w:val="00D44C4A"/>
    <w:rsid w:val="00D569D1"/>
    <w:rsid w:val="00D65D2A"/>
    <w:rsid w:val="00D76528"/>
    <w:rsid w:val="00D765DF"/>
    <w:rsid w:val="00D85501"/>
    <w:rsid w:val="00D85A10"/>
    <w:rsid w:val="00D87112"/>
    <w:rsid w:val="00D920A0"/>
    <w:rsid w:val="00D955EC"/>
    <w:rsid w:val="00D95AC6"/>
    <w:rsid w:val="00D96642"/>
    <w:rsid w:val="00DA6B1D"/>
    <w:rsid w:val="00DB39A5"/>
    <w:rsid w:val="00DB7B3F"/>
    <w:rsid w:val="00DC1022"/>
    <w:rsid w:val="00DD1BAE"/>
    <w:rsid w:val="00DD7388"/>
    <w:rsid w:val="00DD7A0D"/>
    <w:rsid w:val="00E030BE"/>
    <w:rsid w:val="00E043B4"/>
    <w:rsid w:val="00E04D71"/>
    <w:rsid w:val="00E04DBD"/>
    <w:rsid w:val="00E05549"/>
    <w:rsid w:val="00E10BE8"/>
    <w:rsid w:val="00E11722"/>
    <w:rsid w:val="00E232B0"/>
    <w:rsid w:val="00E23AB6"/>
    <w:rsid w:val="00E255D8"/>
    <w:rsid w:val="00E5393B"/>
    <w:rsid w:val="00E543E4"/>
    <w:rsid w:val="00E6485F"/>
    <w:rsid w:val="00E66143"/>
    <w:rsid w:val="00E86E8D"/>
    <w:rsid w:val="00E86F73"/>
    <w:rsid w:val="00E9398D"/>
    <w:rsid w:val="00EA1B28"/>
    <w:rsid w:val="00EA3E0C"/>
    <w:rsid w:val="00EA5DE9"/>
    <w:rsid w:val="00EB565E"/>
    <w:rsid w:val="00EB6A8F"/>
    <w:rsid w:val="00ED04F0"/>
    <w:rsid w:val="00ED0BA6"/>
    <w:rsid w:val="00ED6A7C"/>
    <w:rsid w:val="00EE6733"/>
    <w:rsid w:val="00F00F95"/>
    <w:rsid w:val="00F34925"/>
    <w:rsid w:val="00F37BED"/>
    <w:rsid w:val="00F4172D"/>
    <w:rsid w:val="00F51A16"/>
    <w:rsid w:val="00F55224"/>
    <w:rsid w:val="00F85F2C"/>
    <w:rsid w:val="00FA58FE"/>
    <w:rsid w:val="00FB2541"/>
    <w:rsid w:val="00FC138E"/>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7"/>
      </w:numPr>
    </w:pPr>
  </w:style>
  <w:style w:type="numbering" w:customStyle="1" w:styleId="ImportedStyle8">
    <w:name w:val="Imported Style 8"/>
    <w:rsid w:val="00E9398D"/>
    <w:pPr>
      <w:numPr>
        <w:numId w:val="8"/>
      </w:numPr>
    </w:pPr>
  </w:style>
  <w:style w:type="numbering" w:customStyle="1" w:styleId="ImportedStyle9">
    <w:name w:val="Imported Style 9"/>
    <w:rsid w:val="00E9398D"/>
    <w:pPr>
      <w:numPr>
        <w:numId w:val="9"/>
      </w:numPr>
    </w:pPr>
  </w:style>
  <w:style w:type="numbering" w:customStyle="1" w:styleId="ImportedStyle10">
    <w:name w:val="Imported Style 10"/>
    <w:rsid w:val="00E9398D"/>
    <w:pPr>
      <w:numPr>
        <w:numId w:val="10"/>
      </w:numPr>
    </w:pPr>
  </w:style>
  <w:style w:type="numbering" w:customStyle="1" w:styleId="ImportedStyle11">
    <w:name w:val="Imported Style 11"/>
    <w:rsid w:val="00E9398D"/>
    <w:pPr>
      <w:numPr>
        <w:numId w:val="11"/>
      </w:numPr>
    </w:pPr>
  </w:style>
  <w:style w:type="numbering" w:customStyle="1" w:styleId="ImportedStyle12">
    <w:name w:val="Imported Style 12"/>
    <w:rsid w:val="00E9398D"/>
    <w:pPr>
      <w:numPr>
        <w:numId w:val="12"/>
      </w:numPr>
    </w:pPr>
  </w:style>
  <w:style w:type="numbering" w:customStyle="1" w:styleId="ImportedStyle13">
    <w:name w:val="Imported Style 13"/>
    <w:rsid w:val="00E9398D"/>
    <w:pPr>
      <w:numPr>
        <w:numId w:val="13"/>
      </w:numPr>
    </w:pPr>
  </w:style>
  <w:style w:type="numbering" w:customStyle="1" w:styleId="ImportedStyle14">
    <w:name w:val="Imported Style 14"/>
    <w:rsid w:val="00E9398D"/>
    <w:pPr>
      <w:numPr>
        <w:numId w:val="14"/>
      </w:numPr>
    </w:pPr>
  </w:style>
  <w:style w:type="numbering" w:customStyle="1" w:styleId="ImportedStyle15">
    <w:name w:val="Imported Style 15"/>
    <w:rsid w:val="00E9398D"/>
    <w:pPr>
      <w:numPr>
        <w:numId w:val="15"/>
      </w:numPr>
    </w:pPr>
  </w:style>
  <w:style w:type="numbering" w:customStyle="1" w:styleId="ImportedStyle16">
    <w:name w:val="Imported Style 16"/>
    <w:rsid w:val="00E9398D"/>
    <w:pPr>
      <w:numPr>
        <w:numId w:val="16"/>
      </w:numPr>
    </w:pPr>
  </w:style>
  <w:style w:type="numbering" w:customStyle="1" w:styleId="ImportedStyle160">
    <w:name w:val="Imported Style 16.0"/>
    <w:rsid w:val="00E9398D"/>
    <w:pPr>
      <w:numPr>
        <w:numId w:val="17"/>
      </w:numPr>
    </w:pPr>
  </w:style>
  <w:style w:type="numbering" w:customStyle="1" w:styleId="ImportedStyle17">
    <w:name w:val="Imported Style 17"/>
    <w:rsid w:val="00E9398D"/>
    <w:pPr>
      <w:numPr>
        <w:numId w:val="18"/>
      </w:numPr>
    </w:pPr>
  </w:style>
  <w:style w:type="numbering" w:customStyle="1" w:styleId="ImportedStyle170">
    <w:name w:val="Imported Style 17.0"/>
    <w:rsid w:val="00E9398D"/>
    <w:pPr>
      <w:numPr>
        <w:numId w:val="19"/>
      </w:numPr>
    </w:pPr>
  </w:style>
  <w:style w:type="numbering" w:customStyle="1" w:styleId="ImportedStyle18">
    <w:name w:val="Imported Style 18"/>
    <w:rsid w:val="00E9398D"/>
    <w:pPr>
      <w:numPr>
        <w:numId w:val="20"/>
      </w:numPr>
    </w:pPr>
  </w:style>
  <w:style w:type="numbering" w:customStyle="1" w:styleId="ImportedStyle180">
    <w:name w:val="Imported Style 18.0"/>
    <w:rsid w:val="00E9398D"/>
    <w:pPr>
      <w:numPr>
        <w:numId w:val="21"/>
      </w:numPr>
    </w:pPr>
  </w:style>
  <w:style w:type="numbering" w:customStyle="1" w:styleId="ImportedStyle19">
    <w:name w:val="Imported Style 19"/>
    <w:rsid w:val="00E9398D"/>
    <w:pPr>
      <w:numPr>
        <w:numId w:val="22"/>
      </w:numPr>
    </w:pPr>
  </w:style>
  <w:style w:type="numbering" w:customStyle="1" w:styleId="ImportedStyle200">
    <w:name w:val="Imported Style 20"/>
    <w:rsid w:val="00E9398D"/>
    <w:pPr>
      <w:numPr>
        <w:numId w:val="23"/>
      </w:numPr>
    </w:pPr>
  </w:style>
  <w:style w:type="numbering" w:customStyle="1" w:styleId="ImportedStyle21">
    <w:name w:val="Imported Style 21"/>
    <w:rsid w:val="00E9398D"/>
    <w:pPr>
      <w:numPr>
        <w:numId w:val="24"/>
      </w:numPr>
    </w:pPr>
  </w:style>
  <w:style w:type="numbering" w:customStyle="1" w:styleId="ImportedStyle22">
    <w:name w:val="Imported Style 22"/>
    <w:rsid w:val="00E9398D"/>
    <w:pPr>
      <w:numPr>
        <w:numId w:val="25"/>
      </w:numPr>
    </w:pPr>
  </w:style>
  <w:style w:type="numbering" w:customStyle="1" w:styleId="ImportedStyle23">
    <w:name w:val="Imported Style 23"/>
    <w:rsid w:val="00E9398D"/>
    <w:pPr>
      <w:numPr>
        <w:numId w:val="26"/>
      </w:numPr>
    </w:pPr>
  </w:style>
  <w:style w:type="numbering" w:customStyle="1" w:styleId="ImportedStyle24">
    <w:name w:val="Imported Style 24"/>
    <w:rsid w:val="00E9398D"/>
    <w:pPr>
      <w:numPr>
        <w:numId w:val="27"/>
      </w:numPr>
    </w:pPr>
  </w:style>
  <w:style w:type="numbering" w:customStyle="1" w:styleId="ImportedStyle25">
    <w:name w:val="Imported Style 25"/>
    <w:rsid w:val="00E9398D"/>
    <w:pPr>
      <w:numPr>
        <w:numId w:val="28"/>
      </w:numPr>
    </w:pPr>
  </w:style>
  <w:style w:type="numbering" w:customStyle="1" w:styleId="ImportedStyle26">
    <w:name w:val="Imported Style 26"/>
    <w:rsid w:val="00E9398D"/>
    <w:pPr>
      <w:numPr>
        <w:numId w:val="29"/>
      </w:numPr>
    </w:pPr>
  </w:style>
  <w:style w:type="numbering" w:customStyle="1" w:styleId="ImportedStyle260">
    <w:name w:val="Imported Style 26.0"/>
    <w:rsid w:val="00E9398D"/>
    <w:pPr>
      <w:numPr>
        <w:numId w:val="30"/>
      </w:numPr>
    </w:pPr>
  </w:style>
  <w:style w:type="numbering" w:customStyle="1" w:styleId="ImportedStyle27">
    <w:name w:val="Imported Style 27"/>
    <w:rsid w:val="00E9398D"/>
    <w:pPr>
      <w:numPr>
        <w:numId w:val="31"/>
      </w:numPr>
    </w:pPr>
  </w:style>
  <w:style w:type="numbering" w:customStyle="1" w:styleId="ImportedStyle270">
    <w:name w:val="Imported Style 27.0"/>
    <w:rsid w:val="00E9398D"/>
    <w:pPr>
      <w:numPr>
        <w:numId w:val="32"/>
      </w:numPr>
    </w:pPr>
  </w:style>
  <w:style w:type="numbering" w:customStyle="1" w:styleId="ImportedStyle28">
    <w:name w:val="Imported Style 28"/>
    <w:rsid w:val="00E9398D"/>
    <w:pPr>
      <w:numPr>
        <w:numId w:val="33"/>
      </w:numPr>
    </w:pPr>
  </w:style>
  <w:style w:type="numbering" w:customStyle="1" w:styleId="ImportedStyle29">
    <w:name w:val="Imported Style 29"/>
    <w:rsid w:val="00E9398D"/>
    <w:pPr>
      <w:numPr>
        <w:numId w:val="34"/>
      </w:numPr>
    </w:pPr>
  </w:style>
  <w:style w:type="numbering" w:customStyle="1" w:styleId="ImportedStyle290">
    <w:name w:val="Imported Style 29.0"/>
    <w:rsid w:val="00E9398D"/>
    <w:pPr>
      <w:numPr>
        <w:numId w:val="35"/>
      </w:numPr>
    </w:pPr>
  </w:style>
  <w:style w:type="numbering" w:customStyle="1" w:styleId="ImportedStyle30">
    <w:name w:val="Imported Style 30"/>
    <w:rsid w:val="00E9398D"/>
    <w:pPr>
      <w:numPr>
        <w:numId w:val="36"/>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37"/>
      </w:numPr>
    </w:pPr>
  </w:style>
  <w:style w:type="numbering" w:customStyle="1" w:styleId="ImportedStyle310">
    <w:name w:val="Imported Style 31.0"/>
    <w:rsid w:val="00E9398D"/>
    <w:pPr>
      <w:numPr>
        <w:numId w:val="38"/>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39"/>
      </w:numPr>
    </w:pPr>
  </w:style>
  <w:style w:type="numbering" w:customStyle="1" w:styleId="ImportedStyle320">
    <w:name w:val="Imported Style 32.0"/>
    <w:rsid w:val="00E9398D"/>
    <w:pPr>
      <w:numPr>
        <w:numId w:val="40"/>
      </w:numPr>
    </w:pPr>
  </w:style>
  <w:style w:type="numbering" w:customStyle="1" w:styleId="ImportedStyle33">
    <w:name w:val="Imported Style 33"/>
    <w:rsid w:val="00E9398D"/>
    <w:pPr>
      <w:numPr>
        <w:numId w:val="41"/>
      </w:numPr>
    </w:pPr>
  </w:style>
  <w:style w:type="numbering" w:customStyle="1" w:styleId="ImportedStyle34">
    <w:name w:val="Imported Style 34"/>
    <w:rsid w:val="00E9398D"/>
    <w:pPr>
      <w:numPr>
        <w:numId w:val="42"/>
      </w:numPr>
    </w:pPr>
  </w:style>
  <w:style w:type="numbering" w:customStyle="1" w:styleId="ImportedStyle35">
    <w:name w:val="Imported Style 35"/>
    <w:rsid w:val="00E9398D"/>
    <w:pPr>
      <w:numPr>
        <w:numId w:val="43"/>
      </w:numPr>
    </w:pPr>
  </w:style>
  <w:style w:type="numbering" w:customStyle="1" w:styleId="ImportedStyle36">
    <w:name w:val="Imported Style 36"/>
    <w:rsid w:val="00E9398D"/>
    <w:pPr>
      <w:numPr>
        <w:numId w:val="44"/>
      </w:numPr>
    </w:pPr>
  </w:style>
  <w:style w:type="numbering" w:customStyle="1" w:styleId="ImportedStyle360">
    <w:name w:val="Imported Style 36.0"/>
    <w:rsid w:val="00E9398D"/>
    <w:pPr>
      <w:numPr>
        <w:numId w:val="45"/>
      </w:numPr>
    </w:pPr>
  </w:style>
  <w:style w:type="numbering" w:customStyle="1" w:styleId="ImportedStyle6">
    <w:name w:val="Imported Style 6"/>
    <w:rsid w:val="00E9398D"/>
    <w:pPr>
      <w:numPr>
        <w:numId w:val="46"/>
      </w:numPr>
    </w:pPr>
  </w:style>
  <w:style w:type="numbering" w:customStyle="1" w:styleId="ImportedStyle37">
    <w:name w:val="Imported Style 37"/>
    <w:rsid w:val="00E9398D"/>
    <w:pPr>
      <w:numPr>
        <w:numId w:val="47"/>
      </w:numPr>
    </w:pPr>
  </w:style>
  <w:style w:type="numbering" w:customStyle="1" w:styleId="ImportedStyle38">
    <w:name w:val="Imported Style 38"/>
    <w:rsid w:val="00E9398D"/>
    <w:pPr>
      <w:numPr>
        <w:numId w:val="48"/>
      </w:numPr>
    </w:pPr>
  </w:style>
  <w:style w:type="numbering" w:customStyle="1" w:styleId="ImportedStyle60">
    <w:name w:val="Imported Style 6.0"/>
    <w:rsid w:val="00E9398D"/>
    <w:pPr>
      <w:numPr>
        <w:numId w:val="49"/>
      </w:numPr>
    </w:pPr>
  </w:style>
  <w:style w:type="numbering" w:customStyle="1" w:styleId="ImportedStyle39">
    <w:name w:val="Imported Style 39"/>
    <w:rsid w:val="00E9398D"/>
    <w:pPr>
      <w:numPr>
        <w:numId w:val="50"/>
      </w:numPr>
    </w:pPr>
  </w:style>
  <w:style w:type="numbering" w:customStyle="1" w:styleId="ImportedStyle40">
    <w:name w:val="Imported Style 40"/>
    <w:rsid w:val="00E9398D"/>
    <w:pPr>
      <w:numPr>
        <w:numId w:val="51"/>
      </w:numPr>
    </w:pPr>
  </w:style>
  <w:style w:type="numbering" w:customStyle="1" w:styleId="ImportedStyle41">
    <w:name w:val="Imported Style 41"/>
    <w:rsid w:val="00E9398D"/>
    <w:pPr>
      <w:numPr>
        <w:numId w:val="52"/>
      </w:numPr>
    </w:pPr>
  </w:style>
  <w:style w:type="numbering" w:customStyle="1" w:styleId="ImportedStyle42">
    <w:name w:val="Imported Style 42"/>
    <w:rsid w:val="00E9398D"/>
    <w:pPr>
      <w:numPr>
        <w:numId w:val="53"/>
      </w:numPr>
    </w:pPr>
  </w:style>
  <w:style w:type="numbering" w:customStyle="1" w:styleId="ImportedStyle43">
    <w:name w:val="Imported Style 43"/>
    <w:rsid w:val="00E9398D"/>
    <w:pPr>
      <w:numPr>
        <w:numId w:val="54"/>
      </w:numPr>
    </w:pPr>
  </w:style>
  <w:style w:type="numbering" w:customStyle="1" w:styleId="ImportedStyle44">
    <w:name w:val="Imported Style 44"/>
    <w:rsid w:val="00E9398D"/>
    <w:pPr>
      <w:numPr>
        <w:numId w:val="55"/>
      </w:numPr>
    </w:pPr>
  </w:style>
  <w:style w:type="numbering" w:customStyle="1" w:styleId="ImportedStyle45">
    <w:name w:val="Imported Style 45"/>
    <w:rsid w:val="00E9398D"/>
    <w:pPr>
      <w:numPr>
        <w:numId w:val="56"/>
      </w:numPr>
    </w:pPr>
  </w:style>
  <w:style w:type="numbering" w:customStyle="1" w:styleId="ImportedStyle46">
    <w:name w:val="Imported Style 46"/>
    <w:rsid w:val="00E9398D"/>
    <w:pPr>
      <w:numPr>
        <w:numId w:val="57"/>
      </w:numPr>
    </w:pPr>
  </w:style>
  <w:style w:type="numbering" w:customStyle="1" w:styleId="ImportedStyle460">
    <w:name w:val="Imported Style 46.0"/>
    <w:rsid w:val="00E9398D"/>
    <w:pPr>
      <w:numPr>
        <w:numId w:val="58"/>
      </w:numPr>
    </w:pPr>
  </w:style>
  <w:style w:type="numbering" w:customStyle="1" w:styleId="ImportedStyle47">
    <w:name w:val="Imported Style 47"/>
    <w:rsid w:val="00E9398D"/>
    <w:pPr>
      <w:numPr>
        <w:numId w:val="59"/>
      </w:numPr>
    </w:pPr>
  </w:style>
  <w:style w:type="numbering" w:customStyle="1" w:styleId="ImportedStyle48">
    <w:name w:val="Imported Style 48"/>
    <w:rsid w:val="00E9398D"/>
    <w:pPr>
      <w:numPr>
        <w:numId w:val="60"/>
      </w:numPr>
    </w:pPr>
  </w:style>
  <w:style w:type="numbering" w:customStyle="1" w:styleId="ImportedStyle49">
    <w:name w:val="Imported Style 49"/>
    <w:rsid w:val="00E9398D"/>
    <w:pPr>
      <w:numPr>
        <w:numId w:val="61"/>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62"/>
      </w:numPr>
    </w:pPr>
  </w:style>
  <w:style w:type="numbering" w:customStyle="1" w:styleId="ImportedStyle51">
    <w:name w:val="Imported Style 51"/>
    <w:rsid w:val="00E9398D"/>
    <w:pPr>
      <w:numPr>
        <w:numId w:val="63"/>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64"/>
      </w:numPr>
    </w:pPr>
  </w:style>
  <w:style w:type="numbering" w:customStyle="1" w:styleId="ImportedStyle53">
    <w:name w:val="Imported Style 53"/>
    <w:rsid w:val="00E9398D"/>
    <w:pPr>
      <w:numPr>
        <w:numId w:val="65"/>
      </w:numPr>
    </w:pPr>
  </w:style>
  <w:style w:type="numbering" w:customStyle="1" w:styleId="ImportedStyle54">
    <w:name w:val="Imported Style 54"/>
    <w:rsid w:val="00E9398D"/>
    <w:pPr>
      <w:numPr>
        <w:numId w:val="66"/>
      </w:numPr>
    </w:pPr>
  </w:style>
  <w:style w:type="numbering" w:customStyle="1" w:styleId="ImportedStyle55">
    <w:name w:val="Imported Style 55"/>
    <w:rsid w:val="00E9398D"/>
    <w:pPr>
      <w:numPr>
        <w:numId w:val="67"/>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68"/>
      </w:numPr>
    </w:pPr>
  </w:style>
  <w:style w:type="numbering" w:customStyle="1" w:styleId="ImportedStyle57">
    <w:name w:val="Imported Style 57"/>
    <w:rsid w:val="00E9398D"/>
    <w:pPr>
      <w:numPr>
        <w:numId w:val="69"/>
      </w:numPr>
    </w:pPr>
  </w:style>
  <w:style w:type="numbering" w:customStyle="1" w:styleId="ImportedStyle58">
    <w:name w:val="Imported Style 58"/>
    <w:rsid w:val="00E9398D"/>
    <w:pPr>
      <w:numPr>
        <w:numId w:val="70"/>
      </w:numPr>
    </w:pPr>
  </w:style>
  <w:style w:type="numbering" w:customStyle="1" w:styleId="ImportedStyle560">
    <w:name w:val="Imported Style 56.0"/>
    <w:rsid w:val="00E9398D"/>
    <w:pPr>
      <w:numPr>
        <w:numId w:val="71"/>
      </w:numPr>
    </w:pPr>
  </w:style>
  <w:style w:type="numbering" w:customStyle="1" w:styleId="ImportedStyle59">
    <w:name w:val="Imported Style 59"/>
    <w:rsid w:val="00E9398D"/>
    <w:pPr>
      <w:numPr>
        <w:numId w:val="72"/>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73"/>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74"/>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75"/>
      </w:numPr>
    </w:pPr>
  </w:style>
  <w:style w:type="numbering" w:customStyle="1" w:styleId="ImportedStyle62">
    <w:name w:val="Imported Style 62"/>
    <w:rsid w:val="00E9398D"/>
    <w:pPr>
      <w:numPr>
        <w:numId w:val="76"/>
      </w:numPr>
    </w:pPr>
  </w:style>
  <w:style w:type="numbering" w:customStyle="1" w:styleId="ImportedStyle63">
    <w:name w:val="Imported Style 63"/>
    <w:rsid w:val="00E9398D"/>
    <w:pPr>
      <w:numPr>
        <w:numId w:val="77"/>
      </w:numPr>
    </w:pPr>
  </w:style>
  <w:style w:type="numbering" w:customStyle="1" w:styleId="ImportedStyle630">
    <w:name w:val="Imported Style 63.0"/>
    <w:rsid w:val="00E9398D"/>
    <w:pPr>
      <w:numPr>
        <w:numId w:val="78"/>
      </w:numPr>
    </w:pPr>
  </w:style>
  <w:style w:type="numbering" w:customStyle="1" w:styleId="ImportedStyle64">
    <w:name w:val="Imported Style 64"/>
    <w:rsid w:val="00E9398D"/>
    <w:pPr>
      <w:numPr>
        <w:numId w:val="79"/>
      </w:numPr>
    </w:pPr>
  </w:style>
  <w:style w:type="numbering" w:customStyle="1" w:styleId="ImportedStyle65">
    <w:name w:val="Imported Style 65"/>
    <w:rsid w:val="00E9398D"/>
    <w:pPr>
      <w:numPr>
        <w:numId w:val="80"/>
      </w:numPr>
    </w:pPr>
  </w:style>
  <w:style w:type="numbering" w:customStyle="1" w:styleId="ImportedStyle66">
    <w:name w:val="Imported Style 66"/>
    <w:rsid w:val="00E9398D"/>
    <w:pPr>
      <w:numPr>
        <w:numId w:val="81"/>
      </w:numPr>
    </w:pPr>
  </w:style>
  <w:style w:type="numbering" w:customStyle="1" w:styleId="ImportedStyle67">
    <w:name w:val="Imported Style 67"/>
    <w:rsid w:val="00E9398D"/>
    <w:pPr>
      <w:numPr>
        <w:numId w:val="82"/>
      </w:numPr>
    </w:pPr>
  </w:style>
  <w:style w:type="numbering" w:customStyle="1" w:styleId="ImportedStyle68">
    <w:name w:val="Imported Style 68"/>
    <w:rsid w:val="00E9398D"/>
    <w:pPr>
      <w:numPr>
        <w:numId w:val="83"/>
      </w:numPr>
    </w:pPr>
  </w:style>
  <w:style w:type="numbering" w:customStyle="1" w:styleId="ImportedStyle69">
    <w:name w:val="Imported Style 69"/>
    <w:rsid w:val="00E9398D"/>
    <w:pPr>
      <w:numPr>
        <w:numId w:val="84"/>
      </w:numPr>
    </w:pPr>
  </w:style>
  <w:style w:type="numbering" w:customStyle="1" w:styleId="ImportedStyle70">
    <w:name w:val="Imported Style 70"/>
    <w:rsid w:val="00E9398D"/>
    <w:pPr>
      <w:numPr>
        <w:numId w:val="85"/>
      </w:numPr>
    </w:pPr>
  </w:style>
  <w:style w:type="numbering" w:customStyle="1" w:styleId="ImportedStyle71">
    <w:name w:val="Imported Style 71"/>
    <w:rsid w:val="00E9398D"/>
    <w:pPr>
      <w:numPr>
        <w:numId w:val="86"/>
      </w:numPr>
    </w:pPr>
  </w:style>
  <w:style w:type="numbering" w:customStyle="1" w:styleId="ImportedStyle710">
    <w:name w:val="Imported Style 71.0"/>
    <w:rsid w:val="00E9398D"/>
    <w:pPr>
      <w:numPr>
        <w:numId w:val="87"/>
      </w:numPr>
    </w:pPr>
  </w:style>
  <w:style w:type="numbering" w:customStyle="1" w:styleId="ImportedStyle72">
    <w:name w:val="Imported Style 72"/>
    <w:rsid w:val="00E9398D"/>
    <w:pPr>
      <w:numPr>
        <w:numId w:val="88"/>
      </w:numPr>
    </w:pPr>
  </w:style>
  <w:style w:type="numbering" w:customStyle="1" w:styleId="ImportedStyle720">
    <w:name w:val="Imported Style 72.0"/>
    <w:rsid w:val="00E9398D"/>
    <w:pPr>
      <w:numPr>
        <w:numId w:val="89"/>
      </w:numPr>
    </w:pPr>
  </w:style>
  <w:style w:type="numbering" w:customStyle="1" w:styleId="ImportedStyle73">
    <w:name w:val="Imported Style 73"/>
    <w:rsid w:val="00E9398D"/>
    <w:pPr>
      <w:numPr>
        <w:numId w:val="90"/>
      </w:numPr>
    </w:pPr>
  </w:style>
  <w:style w:type="numbering" w:customStyle="1" w:styleId="ImportedStyle74">
    <w:name w:val="Imported Style 74"/>
    <w:rsid w:val="00E9398D"/>
    <w:pPr>
      <w:numPr>
        <w:numId w:val="91"/>
      </w:numPr>
    </w:pPr>
  </w:style>
  <w:style w:type="numbering" w:customStyle="1" w:styleId="ImportedStyle75">
    <w:name w:val="Imported Style 75"/>
    <w:rsid w:val="00E9398D"/>
    <w:pPr>
      <w:numPr>
        <w:numId w:val="92"/>
      </w:numPr>
    </w:pPr>
  </w:style>
  <w:style w:type="numbering" w:customStyle="1" w:styleId="ImportedStyle76">
    <w:name w:val="Imported Style 76"/>
    <w:rsid w:val="00E9398D"/>
    <w:pPr>
      <w:numPr>
        <w:numId w:val="93"/>
      </w:numPr>
    </w:pPr>
  </w:style>
  <w:style w:type="numbering" w:customStyle="1" w:styleId="ImportedStyle77">
    <w:name w:val="Imported Style 77"/>
    <w:rsid w:val="00E9398D"/>
    <w:pPr>
      <w:numPr>
        <w:numId w:val="94"/>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95"/>
      </w:numPr>
    </w:pPr>
  </w:style>
  <w:style w:type="numbering" w:customStyle="1" w:styleId="ImportedStyle780">
    <w:name w:val="Imported Style 78.0"/>
    <w:rsid w:val="00E9398D"/>
    <w:pPr>
      <w:numPr>
        <w:numId w:val="96"/>
      </w:numPr>
    </w:pPr>
  </w:style>
  <w:style w:type="numbering" w:customStyle="1" w:styleId="ImportedStyle79">
    <w:name w:val="Imported Style 79"/>
    <w:rsid w:val="00E9398D"/>
    <w:pPr>
      <w:numPr>
        <w:numId w:val="97"/>
      </w:numPr>
    </w:pPr>
  </w:style>
  <w:style w:type="numbering" w:customStyle="1" w:styleId="ImportedStyle790">
    <w:name w:val="Imported Style 79.0"/>
    <w:rsid w:val="00E9398D"/>
    <w:pPr>
      <w:numPr>
        <w:numId w:val="98"/>
      </w:numPr>
    </w:pPr>
  </w:style>
  <w:style w:type="numbering" w:customStyle="1" w:styleId="ImportedStyle80">
    <w:name w:val="Imported Style 80"/>
    <w:rsid w:val="00E9398D"/>
    <w:pPr>
      <w:numPr>
        <w:numId w:val="99"/>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styleId="UnresolvedMention">
    <w:name w:val="Unresolved Mention"/>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 w:type="paragraph" w:customStyle="1" w:styleId="Rulecross-reference">
    <w:name w:val="Rule cross-reference"/>
    <w:basedOn w:val="Rule"/>
    <w:qFormat/>
    <w:rsid w:val="002944B4"/>
    <w:rPr>
      <w:color w:val="7030A0"/>
    </w:rPr>
  </w:style>
  <w:style w:type="character" w:customStyle="1" w:styleId="Rulereferencecharacterstyle">
    <w:name w:val="Rule reference character style"/>
    <w:basedOn w:val="None"/>
    <w:uiPriority w:val="1"/>
    <w:qFormat/>
    <w:rsid w:val="00CD0922"/>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3D10-585F-436E-A014-DBE99411C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5206E0-3841-4DF1-8FBF-EB3CDFB5B71D}">
  <ds:schemaRefs>
    <ds:schemaRef ds:uri="http://schemas.microsoft.com/sharepoint/v3/contenttype/forms"/>
  </ds:schemaRefs>
</ds:datastoreItem>
</file>

<file path=customXml/itemProps4.xml><?xml version="1.0" encoding="utf-8"?>
<ds:datastoreItem xmlns:ds="http://schemas.openxmlformats.org/officeDocument/2006/customXml" ds:itemID="{B22A17B1-15AB-415C-B4C3-C7AC5F9B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8106</Words>
  <Characters>46209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3</cp:revision>
  <dcterms:created xsi:type="dcterms:W3CDTF">2021-08-20T21:52:00Z</dcterms:created>
  <dcterms:modified xsi:type="dcterms:W3CDTF">2021-09-02T12:16:00Z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