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94DE9" w14:textId="77777777" w:rsidR="00E9398D" w:rsidRPr="00AA0453" w:rsidRDefault="00E9398D" w:rsidP="00056C0C">
      <w:pPr>
        <w:pStyle w:val="Heading2"/>
        <w:rPr>
          <w:rStyle w:val="None"/>
          <w:rFonts w:ascii="Georgia" w:eastAsia="Georgia" w:hAnsi="Georgia" w:cs="Georgia"/>
          <w:b/>
          <w:bCs/>
          <w:color w:val="990000"/>
          <w:sz w:val="32"/>
          <w:szCs w:val="32"/>
          <w:u w:color="990000"/>
        </w:rPr>
      </w:pPr>
      <w:r w:rsidRPr="00AA0453">
        <w:rPr>
          <w:rStyle w:val="None"/>
          <w:rFonts w:ascii="Georgia" w:hAnsi="Georgia"/>
          <w:b/>
          <w:bCs/>
          <w:color w:val="990000"/>
          <w:sz w:val="32"/>
          <w:szCs w:val="32"/>
          <w:u w:color="990000"/>
        </w:rPr>
        <w:t>A. BACKGROUND RULES</w:t>
      </w:r>
    </w:p>
    <w:p w14:paraId="1F0E958D" w14:textId="0A6C724A" w:rsidR="00E9398D" w:rsidRPr="00AA0453" w:rsidRDefault="00E9398D" w:rsidP="005D0A08">
      <w:pPr>
        <w:pStyle w:val="Heading3"/>
        <w:rPr>
          <w:rStyle w:val="None"/>
          <w:rFonts w:ascii="Georgia" w:eastAsia="Georgia" w:hAnsi="Georgia" w:cs="Georgia"/>
          <w:b/>
          <w:bCs/>
          <w:sz w:val="26"/>
          <w:szCs w:val="26"/>
        </w:rPr>
      </w:pPr>
      <w:r w:rsidRPr="00AA0453">
        <w:rPr>
          <w:rStyle w:val="None"/>
          <w:rFonts w:ascii="Georgia" w:hAnsi="Georgia"/>
          <w:b/>
          <w:bCs/>
          <w:sz w:val="26"/>
          <w:szCs w:val="26"/>
        </w:rPr>
        <w:t>R1</w:t>
      </w:r>
      <w:r w:rsidR="002235E0">
        <w:rPr>
          <w:rStyle w:val="None"/>
          <w:rFonts w:ascii="Georgia" w:hAnsi="Georgia"/>
          <w:b/>
          <w:bCs/>
          <w:sz w:val="26"/>
          <w:szCs w:val="26"/>
        </w:rPr>
        <w:tab/>
      </w:r>
      <w:r w:rsidR="000E226C" w:rsidRPr="00AA0453">
        <w:rPr>
          <w:rStyle w:val="None"/>
          <w:rFonts w:ascii="Georgia" w:hAnsi="Georgia"/>
          <w:b/>
          <w:bCs/>
          <w:sz w:val="26"/>
          <w:szCs w:val="26"/>
        </w:rPr>
        <w:t xml:space="preserve">Scope and Format </w:t>
      </w:r>
      <w:r w:rsidR="0043280B" w:rsidRPr="00AA0453">
        <w:rPr>
          <w:rStyle w:val="None"/>
          <w:rFonts w:ascii="Georgia" w:hAnsi="Georgia"/>
          <w:b/>
          <w:bCs/>
          <w:sz w:val="26"/>
          <w:szCs w:val="26"/>
        </w:rPr>
        <w:t>of Standard Legal Documents</w:t>
      </w:r>
    </w:p>
    <w:p w14:paraId="223E5D1D" w14:textId="38488C99" w:rsidR="0043280B" w:rsidRPr="00AA0453" w:rsidRDefault="0043280B" w:rsidP="00BD55C4">
      <w:pPr>
        <w:pStyle w:val="Body"/>
        <w:rPr>
          <w:rStyle w:val="None"/>
          <w:lang w:val="en-US"/>
        </w:rPr>
      </w:pPr>
      <w:r w:rsidRPr="00AA0453">
        <w:rPr>
          <w:rStyle w:val="None"/>
          <w:lang w:val="en-US"/>
        </w:rPr>
        <w:t xml:space="preserve">The Uniform System of Citation </w:t>
      </w:r>
      <w:r w:rsidR="002B60D1" w:rsidRPr="00AA0453">
        <w:rPr>
          <w:rStyle w:val="None"/>
          <w:lang w:val="en-US"/>
        </w:rPr>
        <w:t xml:space="preserve">has split into two main branches, with somewhat different citation rules for each. </w:t>
      </w:r>
      <w:r w:rsidR="0011192F" w:rsidRPr="00AA0453">
        <w:rPr>
          <w:rStyle w:val="None"/>
          <w:i/>
          <w:iCs/>
          <w:lang w:val="en-US"/>
        </w:rPr>
        <w:t>The Indigo Book</w:t>
      </w:r>
      <w:r w:rsidR="0011192F" w:rsidRPr="00AA0453">
        <w:rPr>
          <w:rStyle w:val="None"/>
          <w:lang w:val="en-US"/>
        </w:rPr>
        <w:t xml:space="preserve"> is </w:t>
      </w:r>
      <w:r w:rsidR="00CD6B66" w:rsidRPr="00AA0453">
        <w:rPr>
          <w:rStyle w:val="None"/>
          <w:lang w:val="en-US"/>
        </w:rPr>
        <w:t>a resource for legal citations in standard legal documents.</w:t>
      </w:r>
    </w:p>
    <w:p w14:paraId="52468CA4" w14:textId="77777777" w:rsidR="00CD6B66" w:rsidRPr="00AA0453" w:rsidRDefault="00CD6B66" w:rsidP="00BD55C4">
      <w:pPr>
        <w:pStyle w:val="Body"/>
        <w:rPr>
          <w:rStyle w:val="None"/>
          <w:lang w:val="en-US"/>
        </w:rPr>
      </w:pPr>
    </w:p>
    <w:p w14:paraId="4D356782" w14:textId="159A782E" w:rsidR="00E9398D" w:rsidRPr="00AA0453" w:rsidRDefault="00E9398D" w:rsidP="00BD55C4">
      <w:pPr>
        <w:pStyle w:val="Heading4"/>
        <w:rPr>
          <w:rStyle w:val="None"/>
          <w:rFonts w:ascii="Georgia" w:eastAsia="Georgia" w:hAnsi="Georgia" w:cs="Georgia"/>
        </w:rPr>
      </w:pPr>
      <w:r w:rsidRPr="00AA0453">
        <w:rPr>
          <w:rStyle w:val="None"/>
          <w:rFonts w:ascii="Georgia" w:hAnsi="Georgia"/>
        </w:rPr>
        <w:t xml:space="preserve">R1.1 </w:t>
      </w:r>
      <w:r w:rsidR="001D2092" w:rsidRPr="00AA0453">
        <w:rPr>
          <w:rStyle w:val="None"/>
          <w:rFonts w:ascii="Georgia" w:hAnsi="Georgia"/>
        </w:rPr>
        <w:tab/>
      </w:r>
      <w:r w:rsidRPr="00AA0453">
        <w:rPr>
          <w:rStyle w:val="None"/>
          <w:rFonts w:ascii="Georgia" w:hAnsi="Georgia"/>
        </w:rPr>
        <w:t>Standard Legal Documents</w:t>
      </w:r>
    </w:p>
    <w:p w14:paraId="0292F60E" w14:textId="2ACAF5D1" w:rsidR="00DD1BAE" w:rsidRPr="00AA0453" w:rsidRDefault="00D920A0" w:rsidP="00DD1BAE">
      <w:pPr>
        <w:spacing w:before="150" w:after="90"/>
        <w:ind w:left="840"/>
        <w:rPr>
          <w:rStyle w:val="None"/>
          <w:rFonts w:ascii="Georgia" w:hAnsi="Georgia"/>
        </w:rPr>
      </w:pPr>
      <w:r w:rsidRPr="00AA0453">
        <w:rPr>
          <w:rStyle w:val="None"/>
          <w:rFonts w:ascii="Georgia" w:hAnsi="Georgia"/>
          <w:i/>
          <w:iCs/>
        </w:rPr>
        <w:t>The Indigo Book</w:t>
      </w:r>
      <w:r w:rsidRPr="00AA0453">
        <w:rPr>
          <w:rStyle w:val="None"/>
          <w:rFonts w:ascii="Georgia" w:hAnsi="Georgia"/>
        </w:rPr>
        <w:t xml:space="preserve"> states the rules and provides examples for standard legal documents. </w:t>
      </w:r>
      <w:r w:rsidR="00A13AD4" w:rsidRPr="00AA0453">
        <w:rPr>
          <w:rStyle w:val="None"/>
          <w:rFonts w:ascii="Georgia" w:hAnsi="Georgia"/>
        </w:rPr>
        <w:t>We define standard legal documents as documents created</w:t>
      </w:r>
      <w:r w:rsidR="00BD4C0C" w:rsidRPr="00AA0453">
        <w:rPr>
          <w:rStyle w:val="None"/>
          <w:rFonts w:ascii="Georgia" w:hAnsi="Georgia"/>
        </w:rPr>
        <w:t xml:space="preserve"> for practical </w:t>
      </w:r>
      <w:r w:rsidR="00F37BED" w:rsidRPr="00AA0453">
        <w:rPr>
          <w:rStyle w:val="None"/>
          <w:rFonts w:ascii="Georgia" w:hAnsi="Georgia"/>
        </w:rPr>
        <w:t>law-related</w:t>
      </w:r>
      <w:r w:rsidR="00A13AD4" w:rsidRPr="00AA0453">
        <w:rPr>
          <w:rStyle w:val="None"/>
          <w:rFonts w:ascii="Georgia" w:hAnsi="Georgia"/>
        </w:rPr>
        <w:t xml:space="preserve"> </w:t>
      </w:r>
      <w:r w:rsidR="00BD4C0C" w:rsidRPr="00AA0453">
        <w:rPr>
          <w:rStyle w:val="None"/>
          <w:rFonts w:ascii="Georgia" w:hAnsi="Georgia"/>
        </w:rPr>
        <w:t>purposes such as court filings</w:t>
      </w:r>
      <w:r w:rsidR="00EA3E0C" w:rsidRPr="00AA0453">
        <w:rPr>
          <w:rStyle w:val="None"/>
          <w:rFonts w:ascii="Georgia" w:hAnsi="Georgia"/>
        </w:rPr>
        <w:t xml:space="preserve">, legal </w:t>
      </w:r>
      <w:r w:rsidR="00345C74" w:rsidRPr="00AA0453">
        <w:rPr>
          <w:rStyle w:val="None"/>
          <w:rFonts w:ascii="Georgia" w:hAnsi="Georgia"/>
        </w:rPr>
        <w:t>memoranda</w:t>
      </w:r>
      <w:r w:rsidR="00EA3E0C" w:rsidRPr="00AA0453">
        <w:rPr>
          <w:rStyle w:val="None"/>
          <w:rFonts w:ascii="Georgia" w:hAnsi="Georgia"/>
        </w:rPr>
        <w:t xml:space="preserve">, </w:t>
      </w:r>
      <w:r w:rsidR="00803C62" w:rsidRPr="00AA0453">
        <w:rPr>
          <w:rStyle w:val="None"/>
          <w:rFonts w:ascii="Georgia" w:hAnsi="Georgia"/>
        </w:rPr>
        <w:t xml:space="preserve">legal </w:t>
      </w:r>
      <w:r w:rsidR="00EA3E0C" w:rsidRPr="00AA0453">
        <w:rPr>
          <w:rStyle w:val="None"/>
          <w:rFonts w:ascii="Georgia" w:hAnsi="Georgia"/>
        </w:rPr>
        <w:t>analysis</w:t>
      </w:r>
      <w:r w:rsidR="00803C62" w:rsidRPr="00AA0453">
        <w:rPr>
          <w:rStyle w:val="None"/>
          <w:rFonts w:ascii="Georgia" w:hAnsi="Georgia"/>
        </w:rPr>
        <w:t>,</w:t>
      </w:r>
      <w:r w:rsidR="00EA3E0C" w:rsidRPr="00AA0453">
        <w:rPr>
          <w:rStyle w:val="None"/>
          <w:rFonts w:ascii="Georgia" w:hAnsi="Georgia"/>
        </w:rPr>
        <w:t xml:space="preserve"> and </w:t>
      </w:r>
      <w:r w:rsidR="00803C62" w:rsidRPr="00AA0453">
        <w:rPr>
          <w:rStyle w:val="None"/>
          <w:rFonts w:ascii="Georgia" w:hAnsi="Georgia"/>
        </w:rPr>
        <w:t>other forms</w:t>
      </w:r>
      <w:r w:rsidR="002235E0">
        <w:rPr>
          <w:rStyle w:val="None"/>
          <w:rFonts w:ascii="Georgia" w:hAnsi="Georgia"/>
        </w:rPr>
        <w:t xml:space="preserve"> of</w:t>
      </w:r>
      <w:r w:rsidR="00803C62" w:rsidRPr="00AA0453">
        <w:rPr>
          <w:rStyle w:val="None"/>
          <w:rFonts w:ascii="Georgia" w:hAnsi="Georgia"/>
        </w:rPr>
        <w:t xml:space="preserve"> </w:t>
      </w:r>
      <w:r w:rsidR="00EA3E0C" w:rsidRPr="00AA0453">
        <w:rPr>
          <w:rStyle w:val="None"/>
          <w:rFonts w:ascii="Georgia" w:hAnsi="Georgia"/>
        </w:rPr>
        <w:t xml:space="preserve">legal information </w:t>
      </w:r>
      <w:r w:rsidR="00970B0E" w:rsidRPr="00AA0453">
        <w:rPr>
          <w:rStyle w:val="None"/>
          <w:rFonts w:ascii="Georgia" w:hAnsi="Georgia"/>
        </w:rPr>
        <w:t xml:space="preserve">that require or benefit </w:t>
      </w:r>
      <w:r w:rsidR="00803C62" w:rsidRPr="00AA0453">
        <w:rPr>
          <w:rStyle w:val="None"/>
          <w:rFonts w:ascii="Georgia" w:hAnsi="Georgia"/>
        </w:rPr>
        <w:t>from</w:t>
      </w:r>
      <w:r w:rsidR="00D26369" w:rsidRPr="00AA0453">
        <w:rPr>
          <w:rStyle w:val="None"/>
          <w:rFonts w:ascii="Georgia" w:hAnsi="Georgia"/>
        </w:rPr>
        <w:t xml:space="preserve"> a technically precise and</w:t>
      </w:r>
      <w:r w:rsidR="007C700C" w:rsidRPr="00AA0453">
        <w:rPr>
          <w:rStyle w:val="None"/>
          <w:rFonts w:ascii="Georgia" w:hAnsi="Georgia"/>
        </w:rPr>
        <w:t xml:space="preserve"> commonly understood </w:t>
      </w:r>
      <w:r w:rsidR="002E41B9" w:rsidRPr="00AA0453">
        <w:rPr>
          <w:rStyle w:val="None"/>
          <w:rFonts w:ascii="Georgia" w:hAnsi="Georgia"/>
        </w:rPr>
        <w:t>citation format</w:t>
      </w:r>
      <w:r w:rsidR="00803C62" w:rsidRPr="00AA0453">
        <w:rPr>
          <w:rStyle w:val="None"/>
          <w:rFonts w:ascii="Georgia" w:hAnsi="Georgia"/>
        </w:rPr>
        <w:t xml:space="preserve">. The legal citations for standard legal documents using </w:t>
      </w:r>
      <w:r w:rsidR="00803C62" w:rsidRPr="00AA0453">
        <w:rPr>
          <w:rStyle w:val="None"/>
          <w:rFonts w:ascii="Georgia" w:hAnsi="Georgia"/>
          <w:i/>
          <w:iCs/>
        </w:rPr>
        <w:t>The Indigo Book</w:t>
      </w:r>
      <w:r w:rsidR="00803C62" w:rsidRPr="00AA0453">
        <w:rPr>
          <w:rStyle w:val="None"/>
          <w:rFonts w:ascii="Georgia" w:hAnsi="Georgia"/>
        </w:rPr>
        <w:t xml:space="preserve"> adhere to a generally consistent national standard. </w:t>
      </w:r>
    </w:p>
    <w:p w14:paraId="0DEA1E3B" w14:textId="5776E5F4" w:rsidR="00E11722" w:rsidRPr="00AA0453" w:rsidRDefault="00E11722" w:rsidP="00DD1BAE">
      <w:pPr>
        <w:spacing w:before="150" w:after="90"/>
        <w:ind w:left="840"/>
        <w:rPr>
          <w:rFonts w:ascii="Georgia" w:hAnsi="Georgia"/>
        </w:rPr>
      </w:pPr>
      <w:r w:rsidRPr="00AA0453">
        <w:rPr>
          <w:rStyle w:val="None"/>
          <w:rFonts w:ascii="Georgia" w:hAnsi="Georgia"/>
        </w:rPr>
        <w:t xml:space="preserve">Many state courts and </w:t>
      </w:r>
      <w:r w:rsidR="00DD1BAE" w:rsidRPr="00AA0453">
        <w:rPr>
          <w:rStyle w:val="None"/>
          <w:rFonts w:ascii="Georgia" w:hAnsi="Georgia"/>
        </w:rPr>
        <w:t>local</w:t>
      </w:r>
      <w:r w:rsidRPr="00AA0453">
        <w:rPr>
          <w:rStyle w:val="None"/>
          <w:rFonts w:ascii="Georgia" w:hAnsi="Georgia"/>
        </w:rPr>
        <w:t xml:space="preserve"> legal communities use citation </w:t>
      </w:r>
      <w:r w:rsidR="00561629">
        <w:rPr>
          <w:rStyle w:val="None"/>
          <w:rFonts w:ascii="Georgia" w:hAnsi="Georgia"/>
        </w:rPr>
        <w:t>formats</w:t>
      </w:r>
      <w:r w:rsidRPr="00AA0453">
        <w:rPr>
          <w:rStyle w:val="None"/>
          <w:rFonts w:ascii="Georgia" w:hAnsi="Georgia"/>
        </w:rPr>
        <w:t xml:space="preserve"> that vary from this common standard</w:t>
      </w:r>
      <w:r w:rsidR="00DD1BAE" w:rsidRPr="00AA0453">
        <w:rPr>
          <w:rStyle w:val="None"/>
          <w:rFonts w:ascii="Georgia" w:hAnsi="Georgia"/>
        </w:rPr>
        <w:t>, more so for state and local citations than for federal citations</w:t>
      </w:r>
      <w:r w:rsidRPr="00AA0453">
        <w:rPr>
          <w:rStyle w:val="None"/>
          <w:rFonts w:ascii="Georgia" w:hAnsi="Georgia"/>
        </w:rPr>
        <w:t xml:space="preserve">. </w:t>
      </w:r>
      <w:r w:rsidR="00087544" w:rsidRPr="00985A39">
        <w:rPr>
          <w:rStyle w:val="Rulereferencecharacterstyle"/>
        </w:rPr>
        <w:t>Table T3</w:t>
      </w:r>
      <w:r w:rsidR="00087544" w:rsidRPr="00AA0453">
        <w:rPr>
          <w:rStyle w:val="None"/>
          <w:rFonts w:ascii="Georgia" w:hAnsi="Georgia"/>
        </w:rPr>
        <w:t xml:space="preserve"> provides selective information </w:t>
      </w:r>
      <w:r w:rsidR="00D96642" w:rsidRPr="00AA0453">
        <w:rPr>
          <w:rStyle w:val="None"/>
          <w:rFonts w:ascii="Georgia" w:hAnsi="Georgia"/>
        </w:rPr>
        <w:t xml:space="preserve">on </w:t>
      </w:r>
      <w:r w:rsidR="00DD1BAE" w:rsidRPr="00AA0453">
        <w:rPr>
          <w:rStyle w:val="None"/>
          <w:rFonts w:ascii="Georgia" w:hAnsi="Georgia"/>
        </w:rPr>
        <w:t xml:space="preserve">state </w:t>
      </w:r>
      <w:r w:rsidR="00D96642" w:rsidRPr="00AA0453">
        <w:rPr>
          <w:rStyle w:val="None"/>
          <w:rFonts w:ascii="Georgia" w:hAnsi="Georgia"/>
        </w:rPr>
        <w:t xml:space="preserve">variations. In </w:t>
      </w:r>
      <w:r w:rsidR="007103E2">
        <w:rPr>
          <w:rStyle w:val="None"/>
          <w:rFonts w:ascii="Georgia" w:hAnsi="Georgia"/>
        </w:rPr>
        <w:t>customizing</w:t>
      </w:r>
      <w:r w:rsidR="006F4F20">
        <w:rPr>
          <w:rStyle w:val="None"/>
          <w:rFonts w:ascii="Georgia" w:hAnsi="Georgia"/>
        </w:rPr>
        <w:t xml:space="preserve"> legal citations for </w:t>
      </w:r>
      <w:r w:rsidR="00D96642" w:rsidRPr="00AA0453">
        <w:rPr>
          <w:rStyle w:val="None"/>
          <w:rFonts w:ascii="Georgia" w:hAnsi="Georgia"/>
        </w:rPr>
        <w:t xml:space="preserve">a local audience, consult </w:t>
      </w:r>
      <w:r w:rsidR="00D96642" w:rsidRPr="00985A39">
        <w:rPr>
          <w:rStyle w:val="Rulereferencecharacterstyle"/>
        </w:rPr>
        <w:t>Table T3</w:t>
      </w:r>
      <w:r w:rsidR="00A04981">
        <w:rPr>
          <w:rStyle w:val="None"/>
          <w:rFonts w:ascii="Georgia" w:hAnsi="Georgia"/>
        </w:rPr>
        <w:t xml:space="preserve"> as well as</w:t>
      </w:r>
      <w:r w:rsidR="00D96642" w:rsidRPr="00AA0453">
        <w:rPr>
          <w:rStyle w:val="None"/>
          <w:rFonts w:ascii="Georgia" w:hAnsi="Georgia"/>
        </w:rPr>
        <w:t xml:space="preserve"> local </w:t>
      </w:r>
      <w:r w:rsidR="007103E2">
        <w:rPr>
          <w:rStyle w:val="None"/>
          <w:rFonts w:ascii="Georgia" w:hAnsi="Georgia"/>
        </w:rPr>
        <w:t>court rules, customs,</w:t>
      </w:r>
      <w:r w:rsidR="00A04981">
        <w:rPr>
          <w:rStyle w:val="None"/>
          <w:rFonts w:ascii="Georgia" w:hAnsi="Georgia"/>
        </w:rPr>
        <w:t xml:space="preserve"> and expertise</w:t>
      </w:r>
      <w:r w:rsidR="00D96642" w:rsidRPr="00AA0453">
        <w:rPr>
          <w:rStyle w:val="None"/>
          <w:rFonts w:ascii="Georgia" w:hAnsi="Georgia"/>
        </w:rPr>
        <w:t>.</w:t>
      </w:r>
      <w:r w:rsidR="007103E2">
        <w:rPr>
          <w:rStyle w:val="None"/>
          <w:rFonts w:ascii="Georgia" w:hAnsi="Georgia"/>
        </w:rPr>
        <w:t xml:space="preserve"> </w:t>
      </w:r>
    </w:p>
    <w:p w14:paraId="2A397D42" w14:textId="65BD3F59" w:rsidR="00E9398D" w:rsidRPr="00AA0453" w:rsidRDefault="00E9398D" w:rsidP="00BD55C4">
      <w:pPr>
        <w:pStyle w:val="Heading4"/>
        <w:rPr>
          <w:rStyle w:val="None"/>
          <w:rFonts w:ascii="Georgia" w:eastAsia="Georgia" w:hAnsi="Georgia" w:cs="Georgia"/>
        </w:rPr>
      </w:pPr>
      <w:r w:rsidRPr="00AA0453">
        <w:rPr>
          <w:rStyle w:val="None"/>
          <w:rFonts w:ascii="Georgia" w:hAnsi="Georgia"/>
        </w:rPr>
        <w:t xml:space="preserve">R1.2 </w:t>
      </w:r>
      <w:r w:rsidR="001D2092" w:rsidRPr="00AA0453">
        <w:rPr>
          <w:rStyle w:val="None"/>
          <w:rFonts w:ascii="Georgia" w:hAnsi="Georgia"/>
        </w:rPr>
        <w:tab/>
      </w:r>
      <w:r w:rsidRPr="00AA0453">
        <w:rPr>
          <w:rStyle w:val="None"/>
          <w:rFonts w:ascii="Georgia" w:hAnsi="Georgia"/>
        </w:rPr>
        <w:t xml:space="preserve">Academic Legal Documents </w:t>
      </w:r>
    </w:p>
    <w:p w14:paraId="32113E73" w14:textId="2B1AEC8C" w:rsidR="00F37BED" w:rsidRPr="00AA0453" w:rsidRDefault="007103E2" w:rsidP="00F37BED">
      <w:pPr>
        <w:pStyle w:val="Rule"/>
        <w:rPr>
          <w:rStyle w:val="None"/>
        </w:rPr>
      </w:pPr>
      <w:r>
        <w:rPr>
          <w:rStyle w:val="None"/>
        </w:rPr>
        <w:t>Academic legal documents</w:t>
      </w:r>
      <w:r w:rsidR="005C4420">
        <w:rPr>
          <w:rStyle w:val="None"/>
        </w:rPr>
        <w:t xml:space="preserve"> </w:t>
      </w:r>
      <w:r>
        <w:rPr>
          <w:rStyle w:val="None"/>
        </w:rPr>
        <w:t>include</w:t>
      </w:r>
      <w:r w:rsidR="00E9398D" w:rsidRPr="00AA0453">
        <w:rPr>
          <w:rStyle w:val="None"/>
        </w:rPr>
        <w:t xml:space="preserve"> articles for publication in law reviews</w:t>
      </w:r>
      <w:r w:rsidR="00087F6F" w:rsidRPr="00AA0453">
        <w:rPr>
          <w:rStyle w:val="None"/>
        </w:rPr>
        <w:t>, generally authored by law professors and law students enrolled in J.D. programs</w:t>
      </w:r>
      <w:r w:rsidR="00E9398D" w:rsidRPr="00AA0453">
        <w:rPr>
          <w:rStyle w:val="None"/>
        </w:rPr>
        <w:t>. The Uniform System of Citation treats law review articles and standard legal documents differently</w:t>
      </w:r>
      <w:r w:rsidR="00E043B4" w:rsidRPr="00AA0453">
        <w:rPr>
          <w:rStyle w:val="None"/>
        </w:rPr>
        <w:t xml:space="preserve">, </w:t>
      </w:r>
      <w:r w:rsidR="005E79C8" w:rsidRPr="00AA0453">
        <w:rPr>
          <w:rStyle w:val="None"/>
        </w:rPr>
        <w:t>requiring</w:t>
      </w:r>
      <w:r w:rsidR="00E043B4" w:rsidRPr="00AA0453">
        <w:rPr>
          <w:rStyle w:val="None"/>
        </w:rPr>
        <w:t xml:space="preserve"> different fonts an</w:t>
      </w:r>
      <w:r w:rsidR="006D5ACA" w:rsidRPr="00AA0453">
        <w:rPr>
          <w:rStyle w:val="None"/>
        </w:rPr>
        <w:t xml:space="preserve">d </w:t>
      </w:r>
      <w:r w:rsidR="005E79C8" w:rsidRPr="00AA0453">
        <w:rPr>
          <w:rStyle w:val="None"/>
        </w:rPr>
        <w:t xml:space="preserve">imposing additional </w:t>
      </w:r>
      <w:r w:rsidR="006D5ACA" w:rsidRPr="00AA0453">
        <w:rPr>
          <w:rStyle w:val="None"/>
        </w:rPr>
        <w:t>footnote rules</w:t>
      </w:r>
      <w:r w:rsidR="00561629">
        <w:rPr>
          <w:rStyle w:val="None"/>
        </w:rPr>
        <w:t>. Citations in standard legal documents</w:t>
      </w:r>
      <w:r w:rsidR="005E79C8" w:rsidRPr="00AA0453">
        <w:rPr>
          <w:rStyle w:val="None"/>
        </w:rPr>
        <w:t xml:space="preserve"> and </w:t>
      </w:r>
      <w:r w:rsidR="00561629">
        <w:rPr>
          <w:rStyle w:val="None"/>
        </w:rPr>
        <w:t>law review articles</w:t>
      </w:r>
      <w:r w:rsidR="005E79C8" w:rsidRPr="00AA0453">
        <w:rPr>
          <w:rStyle w:val="None"/>
        </w:rPr>
        <w:t xml:space="preserve"> provide the same information about </w:t>
      </w:r>
      <w:r w:rsidR="00110B4C" w:rsidRPr="00AA0453">
        <w:rPr>
          <w:rStyle w:val="None"/>
        </w:rPr>
        <w:t xml:space="preserve">legal </w:t>
      </w:r>
      <w:r w:rsidR="005E79C8" w:rsidRPr="00AA0453">
        <w:rPr>
          <w:rStyle w:val="None"/>
        </w:rPr>
        <w:t>sources</w:t>
      </w:r>
      <w:r w:rsidR="00561629">
        <w:rPr>
          <w:rStyle w:val="None"/>
        </w:rPr>
        <w:t>, and a</w:t>
      </w:r>
      <w:r w:rsidR="009175F0" w:rsidRPr="00AA0453">
        <w:rPr>
          <w:rStyle w:val="None"/>
        </w:rPr>
        <w:t xml:space="preserve"> short cross-reference highlighting key font differences is provided in </w:t>
      </w:r>
      <w:r w:rsidR="009175F0" w:rsidRPr="00985A39">
        <w:rPr>
          <w:rStyle w:val="Rulereferencecharacterstyle"/>
        </w:rPr>
        <w:t>Table T</w:t>
      </w:r>
      <w:r w:rsidR="00F43D27">
        <w:rPr>
          <w:rStyle w:val="Rulereferencecharacterstyle"/>
        </w:rPr>
        <w:t>19</w:t>
      </w:r>
      <w:r w:rsidR="009175F0" w:rsidRPr="00AA0453">
        <w:rPr>
          <w:rStyle w:val="None"/>
        </w:rPr>
        <w:t xml:space="preserve">. </w:t>
      </w:r>
      <w:r w:rsidR="008F4442">
        <w:rPr>
          <w:rStyle w:val="None"/>
        </w:rPr>
        <w:t>A full treatment of formal</w:t>
      </w:r>
      <w:r w:rsidR="0015780A">
        <w:rPr>
          <w:rStyle w:val="None"/>
        </w:rPr>
        <w:t xml:space="preserve"> </w:t>
      </w:r>
      <w:r w:rsidR="00E9398D" w:rsidRPr="00AA0453">
        <w:rPr>
          <w:rStyle w:val="None"/>
        </w:rPr>
        <w:t>citation</w:t>
      </w:r>
      <w:r w:rsidR="0015780A">
        <w:rPr>
          <w:rStyle w:val="None"/>
        </w:rPr>
        <w:t xml:space="preserve"> formats</w:t>
      </w:r>
      <w:r w:rsidR="00E9398D" w:rsidRPr="00AA0453">
        <w:rPr>
          <w:rStyle w:val="None"/>
        </w:rPr>
        <w:t xml:space="preserve"> for law review</w:t>
      </w:r>
      <w:r w:rsidR="001A090A" w:rsidRPr="00AA0453">
        <w:rPr>
          <w:rStyle w:val="None"/>
        </w:rPr>
        <w:t xml:space="preserve"> articles </w:t>
      </w:r>
      <w:r w:rsidR="008F4442">
        <w:rPr>
          <w:rStyle w:val="None"/>
        </w:rPr>
        <w:t>is</w:t>
      </w:r>
      <w:r w:rsidR="00E9398D" w:rsidRPr="00AA0453">
        <w:rPr>
          <w:rStyle w:val="None"/>
        </w:rPr>
        <w:t xml:space="preserve"> outside the scope of </w:t>
      </w:r>
      <w:r w:rsidR="00E9398D" w:rsidRPr="00AA0453">
        <w:rPr>
          <w:rStyle w:val="None"/>
          <w:i/>
          <w:iCs/>
        </w:rPr>
        <w:t>The Indigo Book</w:t>
      </w:r>
      <w:r w:rsidR="00E9398D" w:rsidRPr="00AA0453">
        <w:rPr>
          <w:rStyle w:val="None"/>
        </w:rPr>
        <w:t xml:space="preserve">. </w:t>
      </w:r>
    </w:p>
    <w:p w14:paraId="44FBF490" w14:textId="587DEE3E" w:rsidR="00E9398D" w:rsidRPr="00AA0453" w:rsidRDefault="00E9398D" w:rsidP="00BD55C4">
      <w:pPr>
        <w:pStyle w:val="Heading3"/>
        <w:rPr>
          <w:rStyle w:val="None"/>
          <w:rFonts w:ascii="Georgia" w:eastAsia="Georgia" w:hAnsi="Georgia" w:cs="Georgia"/>
          <w:b/>
          <w:bCs/>
          <w:sz w:val="26"/>
          <w:szCs w:val="26"/>
        </w:rPr>
      </w:pPr>
      <w:r w:rsidRPr="00AA0453">
        <w:rPr>
          <w:rStyle w:val="None"/>
          <w:rFonts w:ascii="Georgia" w:hAnsi="Georgia"/>
          <w:b/>
          <w:bCs/>
          <w:sz w:val="26"/>
          <w:szCs w:val="26"/>
        </w:rPr>
        <w:t>R2. Typeface Standards</w:t>
      </w:r>
    </w:p>
    <w:p w14:paraId="10E21D2B" w14:textId="2834315E" w:rsidR="00E9398D" w:rsidRPr="00AA0453" w:rsidRDefault="00E9398D" w:rsidP="00BD55C4">
      <w:pPr>
        <w:pStyle w:val="Heading4"/>
        <w:rPr>
          <w:rStyle w:val="None"/>
          <w:rFonts w:ascii="Georgia" w:eastAsia="Georgia" w:hAnsi="Georgia" w:cs="Georgia"/>
        </w:rPr>
      </w:pPr>
      <w:r w:rsidRPr="00AA0453">
        <w:rPr>
          <w:rStyle w:val="None"/>
          <w:rFonts w:ascii="Georgia" w:hAnsi="Georgia"/>
        </w:rPr>
        <w:t>R2.1</w:t>
      </w:r>
      <w:r w:rsidRPr="00AA0453">
        <w:rPr>
          <w:rStyle w:val="None"/>
          <w:rFonts w:ascii="Georgia" w:hAnsi="Georgia"/>
        </w:rPr>
        <w:tab/>
        <w:t>Italicized Components of Legal Citations</w:t>
      </w:r>
    </w:p>
    <w:p w14:paraId="4D85C0D4" w14:textId="201E1D54" w:rsidR="00E9398D" w:rsidRPr="00AA0453" w:rsidRDefault="00E9398D" w:rsidP="00BD55C4">
      <w:pPr>
        <w:pStyle w:val="Rule"/>
        <w:rPr>
          <w:rStyle w:val="None"/>
          <w:rFonts w:eastAsia="Georgia" w:cs="Georgia"/>
        </w:rPr>
      </w:pPr>
      <w:r w:rsidRPr="00AA0453">
        <w:rPr>
          <w:rStyle w:val="None"/>
        </w:rPr>
        <w:t>In legal citations, italicize the following components, whether placed in footnotes or textual sentences:</w:t>
      </w:r>
    </w:p>
    <w:p w14:paraId="1F43666D" w14:textId="53527CFE" w:rsidR="00E9398D" w:rsidRPr="00AA0453" w:rsidRDefault="00E9398D" w:rsidP="00171F69">
      <w:pPr>
        <w:pStyle w:val="Rule"/>
        <w:numPr>
          <w:ilvl w:val="0"/>
          <w:numId w:val="100"/>
        </w:numPr>
      </w:pPr>
      <w:r w:rsidRPr="00AA0453">
        <w:rPr>
          <w:rStyle w:val="None"/>
        </w:rPr>
        <w:t>Case names—</w:t>
      </w:r>
      <w:r w:rsidR="006B6408">
        <w:rPr>
          <w:rStyle w:val="None"/>
        </w:rPr>
        <w:t>in both full and short citations</w:t>
      </w:r>
      <w:r w:rsidR="00105421" w:rsidRPr="00AA0453">
        <w:rPr>
          <w:rStyle w:val="None"/>
        </w:rPr>
        <w:t>—</w:t>
      </w:r>
      <w:r w:rsidR="00105421">
        <w:rPr>
          <w:rStyle w:val="None"/>
        </w:rPr>
        <w:t xml:space="preserve">and </w:t>
      </w:r>
      <w:r w:rsidRPr="00AA0453">
        <w:rPr>
          <w:rStyle w:val="None"/>
        </w:rPr>
        <w:t>procedural phrases (</w:t>
      </w:r>
      <w:r w:rsidR="00105421">
        <w:rPr>
          <w:rStyle w:val="None"/>
        </w:rPr>
        <w:t>such as</w:t>
      </w:r>
      <w:r w:rsidRPr="00AA0453">
        <w:rPr>
          <w:rStyle w:val="None"/>
        </w:rPr>
        <w:t> </w:t>
      </w:r>
      <w:r w:rsidRPr="00AA0453">
        <w:rPr>
          <w:rStyle w:val="None"/>
          <w:i/>
          <w:iCs/>
        </w:rPr>
        <w:t>In re</w:t>
      </w:r>
      <w:r w:rsidRPr="00AA0453">
        <w:rPr>
          <w:rStyle w:val="None"/>
        </w:rPr>
        <w:t> and </w:t>
      </w:r>
      <w:r w:rsidR="00AD3120">
        <w:rPr>
          <w:rStyle w:val="None"/>
          <w:i/>
          <w:iCs/>
        </w:rPr>
        <w:t>Ex parte</w:t>
      </w:r>
      <w:r w:rsidRPr="00AA0453">
        <w:rPr>
          <w:rStyle w:val="None"/>
        </w:rPr>
        <w:t xml:space="preserve">) </w:t>
      </w:r>
      <w:r w:rsidR="00AD3120">
        <w:rPr>
          <w:rStyle w:val="None"/>
        </w:rPr>
        <w:t>embedded in</w:t>
      </w:r>
      <w:r w:rsidRPr="00AA0453">
        <w:rPr>
          <w:rStyle w:val="None"/>
        </w:rPr>
        <w:t xml:space="preserve"> the case names</w:t>
      </w:r>
    </w:p>
    <w:p w14:paraId="77BD1C2A" w14:textId="77777777" w:rsidR="00E9398D" w:rsidRPr="00AA0453" w:rsidRDefault="00E9398D" w:rsidP="00171F69">
      <w:pPr>
        <w:pStyle w:val="Rule"/>
        <w:numPr>
          <w:ilvl w:val="0"/>
          <w:numId w:val="100"/>
        </w:numPr>
      </w:pPr>
      <w:r w:rsidRPr="00AA0453">
        <w:rPr>
          <w:rStyle w:val="None"/>
        </w:rPr>
        <w:t>Book titles</w:t>
      </w:r>
    </w:p>
    <w:p w14:paraId="2CEE7CC8" w14:textId="77777777" w:rsidR="00E9398D" w:rsidRPr="00AA0453" w:rsidRDefault="00E9398D" w:rsidP="00171F69">
      <w:pPr>
        <w:pStyle w:val="Rule"/>
        <w:numPr>
          <w:ilvl w:val="0"/>
          <w:numId w:val="100"/>
        </w:numPr>
      </w:pPr>
      <w:r w:rsidRPr="00AA0453">
        <w:rPr>
          <w:rStyle w:val="None"/>
        </w:rPr>
        <w:t>Article titles</w:t>
      </w:r>
    </w:p>
    <w:p w14:paraId="5435D281" w14:textId="77777777" w:rsidR="00E9398D" w:rsidRPr="00AA0453" w:rsidRDefault="00E9398D" w:rsidP="00171F69">
      <w:pPr>
        <w:pStyle w:val="Rule"/>
        <w:numPr>
          <w:ilvl w:val="0"/>
          <w:numId w:val="100"/>
        </w:numPr>
      </w:pPr>
      <w:r w:rsidRPr="00AA0453">
        <w:rPr>
          <w:rStyle w:val="None"/>
        </w:rPr>
        <w:t>Certain titles in legislative materials such as committee hearings</w:t>
      </w:r>
    </w:p>
    <w:p w14:paraId="2FD99481" w14:textId="77777777" w:rsidR="00E9398D" w:rsidRPr="00AA0453" w:rsidRDefault="00E9398D" w:rsidP="00171F69">
      <w:pPr>
        <w:pStyle w:val="Rule"/>
        <w:numPr>
          <w:ilvl w:val="0"/>
          <w:numId w:val="100"/>
        </w:numPr>
      </w:pPr>
      <w:r w:rsidRPr="00AA0453">
        <w:rPr>
          <w:rStyle w:val="None"/>
        </w:rPr>
        <w:t xml:space="preserve">Introductory signals (examples: </w:t>
      </w:r>
      <w:r w:rsidRPr="00AA0453">
        <w:rPr>
          <w:rStyle w:val="None"/>
          <w:i/>
          <w:iCs/>
        </w:rPr>
        <w:t>e.g.</w:t>
      </w:r>
      <w:r w:rsidRPr="00AA0453">
        <w:rPr>
          <w:rStyle w:val="None"/>
        </w:rPr>
        <w:t>, </w:t>
      </w:r>
      <w:r w:rsidRPr="00AA0453">
        <w:rPr>
          <w:rStyle w:val="None"/>
          <w:i/>
          <w:iCs/>
        </w:rPr>
        <w:t>see</w:t>
      </w:r>
      <w:r w:rsidRPr="00AA0453">
        <w:rPr>
          <w:rStyle w:val="None"/>
        </w:rPr>
        <w:t>,</w:t>
      </w:r>
      <w:r w:rsidRPr="00AA0453">
        <w:rPr>
          <w:rStyle w:val="None"/>
          <w:i/>
          <w:iCs/>
        </w:rPr>
        <w:t xml:space="preserve"> cf.</w:t>
      </w:r>
      <w:r w:rsidRPr="00AA0453">
        <w:rPr>
          <w:rStyle w:val="None"/>
        </w:rPr>
        <w:t>,</w:t>
      </w:r>
      <w:r w:rsidRPr="00AA0453">
        <w:rPr>
          <w:rStyle w:val="None"/>
          <w:i/>
          <w:iCs/>
        </w:rPr>
        <w:t> </w:t>
      </w:r>
      <w:r w:rsidRPr="00AA0453">
        <w:rPr>
          <w:rStyle w:val="None"/>
        </w:rPr>
        <w:t>and </w:t>
      </w:r>
      <w:r w:rsidRPr="00AA0453">
        <w:rPr>
          <w:rStyle w:val="None"/>
          <w:i/>
          <w:iCs/>
        </w:rPr>
        <w:t>accord</w:t>
      </w:r>
      <w:r w:rsidRPr="00AA0453">
        <w:rPr>
          <w:rStyle w:val="None"/>
        </w:rPr>
        <w:t>)</w:t>
      </w:r>
    </w:p>
    <w:p w14:paraId="4922D315" w14:textId="77777777" w:rsidR="00E9398D" w:rsidRPr="00AA0453" w:rsidRDefault="00E9398D" w:rsidP="00171F69">
      <w:pPr>
        <w:pStyle w:val="Rule"/>
        <w:numPr>
          <w:ilvl w:val="0"/>
          <w:numId w:val="100"/>
        </w:numPr>
      </w:pPr>
      <w:r w:rsidRPr="00AA0453">
        <w:rPr>
          <w:rStyle w:val="None"/>
        </w:rPr>
        <w:t>Explanatory phrases that introduce subsequent case history (examples: </w:t>
      </w:r>
      <w:r w:rsidRPr="00AA0453">
        <w:rPr>
          <w:rStyle w:val="None"/>
          <w:i/>
          <w:iCs/>
        </w:rPr>
        <w:t>aff’d </w:t>
      </w:r>
      <w:r w:rsidRPr="00AA0453">
        <w:rPr>
          <w:rStyle w:val="None"/>
        </w:rPr>
        <w:t>or </w:t>
      </w:r>
      <w:r w:rsidRPr="00AA0453">
        <w:rPr>
          <w:rStyle w:val="None"/>
          <w:i/>
          <w:iCs/>
        </w:rPr>
        <w:t>cert. denied</w:t>
      </w:r>
      <w:r w:rsidRPr="00AA0453">
        <w:rPr>
          <w:rStyle w:val="None"/>
        </w:rPr>
        <w:t>)</w:t>
      </w:r>
    </w:p>
    <w:p w14:paraId="5808ABA3" w14:textId="77777777" w:rsidR="00E9398D" w:rsidRPr="00AA0453" w:rsidRDefault="00E9398D" w:rsidP="00171F69">
      <w:pPr>
        <w:pStyle w:val="Rule"/>
        <w:numPr>
          <w:ilvl w:val="0"/>
          <w:numId w:val="100"/>
        </w:numPr>
      </w:pPr>
      <w:r w:rsidRPr="00AA0453">
        <w:rPr>
          <w:rStyle w:val="None"/>
        </w:rPr>
        <w:t xml:space="preserve">Cross references, (examples: </w:t>
      </w:r>
      <w:r w:rsidRPr="00AA0453">
        <w:rPr>
          <w:rStyle w:val="None"/>
          <w:i/>
          <w:iCs/>
        </w:rPr>
        <w:t>infra, supra </w:t>
      </w:r>
      <w:r w:rsidRPr="00AA0453">
        <w:rPr>
          <w:rStyle w:val="None"/>
        </w:rPr>
        <w:t>and </w:t>
      </w:r>
      <w:r w:rsidRPr="00AA0453">
        <w:rPr>
          <w:rStyle w:val="None"/>
          <w:i/>
          <w:iCs/>
        </w:rPr>
        <w:t>id.</w:t>
      </w:r>
      <w:r w:rsidRPr="00AA0453">
        <w:rPr>
          <w:rStyle w:val="None"/>
        </w:rPr>
        <w:t>)</w:t>
      </w:r>
    </w:p>
    <w:p w14:paraId="5FAD7257" w14:textId="77777777" w:rsidR="00E9398D" w:rsidRPr="00AA0453" w:rsidRDefault="00E9398D" w:rsidP="00171F69">
      <w:pPr>
        <w:pStyle w:val="Rule"/>
        <w:numPr>
          <w:ilvl w:val="0"/>
          <w:numId w:val="100"/>
        </w:numPr>
        <w:rPr>
          <w:rStyle w:val="None"/>
        </w:rPr>
      </w:pPr>
      <w:r w:rsidRPr="00AA0453">
        <w:rPr>
          <w:rStyle w:val="None"/>
        </w:rPr>
        <w:t>Words and phrases that introduce related authority (e.g., </w:t>
      </w:r>
      <w:r w:rsidRPr="00AA0453">
        <w:rPr>
          <w:rStyle w:val="None"/>
          <w:i/>
          <w:iCs/>
        </w:rPr>
        <w:t>reprinted in</w:t>
      </w:r>
      <w:r w:rsidRPr="00AA0453">
        <w:rPr>
          <w:rStyle w:val="None"/>
        </w:rPr>
        <w:t> and </w:t>
      </w:r>
      <w:r w:rsidRPr="00AA0453">
        <w:rPr>
          <w:rStyle w:val="None"/>
          <w:i/>
          <w:iCs/>
        </w:rPr>
        <w:t>available in</w:t>
      </w:r>
      <w:r w:rsidRPr="00AA0453">
        <w:rPr>
          <w:rStyle w:val="None"/>
        </w:rPr>
        <w:t>)</w:t>
      </w:r>
    </w:p>
    <w:p w14:paraId="1C08638D" w14:textId="77777777" w:rsidR="00E9398D" w:rsidRPr="00AA0453" w:rsidRDefault="00E9398D" w:rsidP="00E04DBD">
      <w:pPr>
        <w:pStyle w:val="Example"/>
        <w:ind w:left="1440"/>
        <w:rPr>
          <w:rStyle w:val="None"/>
          <w:b/>
          <w:bCs/>
        </w:rPr>
      </w:pPr>
      <w:r w:rsidRPr="00AA0453">
        <w:rPr>
          <w:rStyle w:val="None"/>
          <w:b/>
          <w:bCs/>
        </w:rPr>
        <w:t>Example:</w:t>
      </w:r>
    </w:p>
    <w:p w14:paraId="08DFD9F0" w14:textId="77777777" w:rsidR="00E9398D" w:rsidRPr="00AA0453" w:rsidRDefault="00E9398D" w:rsidP="00E04DBD">
      <w:pPr>
        <w:pStyle w:val="Example"/>
        <w:ind w:left="1440"/>
        <w:rPr>
          <w:rStyle w:val="None"/>
          <w:rFonts w:eastAsia="Georgia" w:cs="Georgia"/>
        </w:rPr>
      </w:pPr>
      <w:r w:rsidRPr="00AA0453">
        <w:rPr>
          <w:rStyle w:val="None"/>
        </w:rPr>
        <w:t xml:space="preserve">The Supreme Court’s practice of allowing modifications after opinions’ initial release has at times extended beyond typographical corrections to substantive changes. Richard Lazarus, </w:t>
      </w:r>
      <w:r w:rsidRPr="00AA0453">
        <w:rPr>
          <w:rStyle w:val="None"/>
          <w:i/>
          <w:iCs/>
        </w:rPr>
        <w:t>The (Non)Finality of Supreme Court Opinions</w:t>
      </w:r>
      <w:r w:rsidRPr="00AA0453">
        <w:t xml:space="preserve">, </w:t>
      </w:r>
      <w:r w:rsidRPr="00AA0453">
        <w:rPr>
          <w:rStyle w:val="None"/>
        </w:rPr>
        <w:t>128 Harv. L. Rev. 540, 544 (2014).</w:t>
      </w:r>
    </w:p>
    <w:p w14:paraId="0EB88B21" w14:textId="77777777" w:rsidR="00E9398D" w:rsidRPr="00AA0453" w:rsidRDefault="00E9398D" w:rsidP="00E9398D">
      <w:pPr>
        <w:pStyle w:val="Body"/>
        <w:tabs>
          <w:tab w:val="left" w:pos="1440"/>
        </w:tabs>
        <w:spacing w:before="150" w:after="90"/>
        <w:rPr>
          <w:rFonts w:ascii="Georgia" w:hAnsi="Georgia"/>
          <w:lang w:val="en-US"/>
        </w:rPr>
      </w:pPr>
    </w:p>
    <w:p w14:paraId="58BE3AA4" w14:textId="7556BC89" w:rsidR="00E9398D" w:rsidRPr="00AA0453" w:rsidRDefault="00E9398D" w:rsidP="00BD55C4">
      <w:pPr>
        <w:pStyle w:val="Heading4"/>
        <w:rPr>
          <w:rStyle w:val="None"/>
          <w:rFonts w:ascii="Georgia" w:eastAsia="Georgia" w:hAnsi="Georgia" w:cs="Georgia"/>
        </w:rPr>
      </w:pPr>
      <w:r w:rsidRPr="00AA0453">
        <w:rPr>
          <w:rStyle w:val="None"/>
          <w:rFonts w:ascii="Georgia" w:hAnsi="Georgia"/>
        </w:rPr>
        <w:t>R2.2</w:t>
      </w:r>
      <w:r w:rsidRPr="00AA0453">
        <w:rPr>
          <w:rStyle w:val="None"/>
          <w:rFonts w:ascii="Georgia" w:hAnsi="Georgia"/>
        </w:rPr>
        <w:tab/>
        <w:t>Additional Italicized Words in Textual Sentences</w:t>
      </w:r>
    </w:p>
    <w:p w14:paraId="14DC94A0" w14:textId="77777777" w:rsidR="00E9398D" w:rsidRPr="00AA0453" w:rsidRDefault="00E9398D" w:rsidP="00BD55C4">
      <w:pPr>
        <w:pStyle w:val="Rule"/>
        <w:rPr>
          <w:rStyle w:val="None"/>
          <w:rFonts w:eastAsia="Georgia" w:cs="Georgia"/>
        </w:rPr>
      </w:pPr>
      <w:r w:rsidRPr="00AA0453">
        <w:rPr>
          <w:rStyle w:val="None"/>
        </w:rPr>
        <w:t xml:space="preserve">In the textual sentences of standard legal documents, also </w:t>
      </w:r>
      <w:r w:rsidRPr="00AA0453">
        <w:rPr>
          <w:rStyle w:val="None"/>
          <w:i/>
          <w:iCs/>
        </w:rPr>
        <w:t xml:space="preserve">italicize </w:t>
      </w:r>
      <w:r w:rsidRPr="00AA0453">
        <w:rPr>
          <w:rStyle w:val="None"/>
        </w:rPr>
        <w:t>the following components and words:</w:t>
      </w:r>
    </w:p>
    <w:p w14:paraId="6D3E78F1" w14:textId="77777777" w:rsidR="00E9398D" w:rsidRPr="00AA0453" w:rsidRDefault="00E9398D" w:rsidP="00171F69">
      <w:pPr>
        <w:pStyle w:val="Rule"/>
        <w:numPr>
          <w:ilvl w:val="0"/>
          <w:numId w:val="101"/>
        </w:numPr>
      </w:pPr>
      <w:r w:rsidRPr="00AA0453">
        <w:rPr>
          <w:rStyle w:val="None"/>
        </w:rPr>
        <w:t>Publication titles (e.g., </w:t>
      </w:r>
      <w:r w:rsidRPr="00AA0453">
        <w:rPr>
          <w:rStyle w:val="None"/>
          <w:i/>
          <w:iCs/>
        </w:rPr>
        <w:t>The Onion</w:t>
      </w:r>
      <w:r w:rsidRPr="00AA0453">
        <w:rPr>
          <w:rStyle w:val="None"/>
        </w:rPr>
        <w:t>)</w:t>
      </w:r>
    </w:p>
    <w:p w14:paraId="10B2A5F2" w14:textId="77777777" w:rsidR="00E9398D" w:rsidRPr="00AA0453" w:rsidRDefault="00E9398D" w:rsidP="00171F69">
      <w:pPr>
        <w:pStyle w:val="Rule"/>
        <w:numPr>
          <w:ilvl w:val="0"/>
          <w:numId w:val="101"/>
        </w:numPr>
      </w:pPr>
      <w:r w:rsidRPr="00AA0453">
        <w:rPr>
          <w:rStyle w:val="None"/>
        </w:rPr>
        <w:t>Words that are italicized in the original quotation, with no need to add the parenthetical (emphasis in original); and</w:t>
      </w:r>
    </w:p>
    <w:p w14:paraId="3094FA13" w14:textId="77777777" w:rsidR="00E9398D" w:rsidRPr="00AA0453" w:rsidRDefault="00E9398D" w:rsidP="00171F69">
      <w:pPr>
        <w:pStyle w:val="Rule"/>
        <w:numPr>
          <w:ilvl w:val="0"/>
          <w:numId w:val="101"/>
        </w:numPr>
      </w:pPr>
      <w:r w:rsidRPr="00AA0453">
        <w:rPr>
          <w:rStyle w:val="None"/>
        </w:rPr>
        <w:t>All words that would be italicized in the text (e.g., foreign words that are not commonly used in English language documents).</w:t>
      </w:r>
    </w:p>
    <w:p w14:paraId="5E4A777A" w14:textId="77777777" w:rsidR="00E9398D" w:rsidRPr="00AA0453" w:rsidRDefault="00E9398D" w:rsidP="005A30DC">
      <w:pPr>
        <w:pStyle w:val="Example"/>
        <w:ind w:left="1440"/>
        <w:rPr>
          <w:rStyle w:val="None"/>
          <w:rFonts w:eastAsia="Georgia" w:cs="Georgia"/>
          <w:b/>
          <w:bCs/>
        </w:rPr>
      </w:pPr>
      <w:r w:rsidRPr="00AA0453">
        <w:rPr>
          <w:rStyle w:val="None"/>
          <w:rFonts w:eastAsia="Georgia" w:cs="Georgia"/>
          <w:b/>
          <w:bCs/>
        </w:rPr>
        <w:t>Example:</w:t>
      </w:r>
    </w:p>
    <w:p w14:paraId="69D67595" w14:textId="77777777" w:rsidR="00E9398D" w:rsidRPr="00AA0453" w:rsidRDefault="00E9398D" w:rsidP="005A30DC">
      <w:pPr>
        <w:pStyle w:val="Example"/>
        <w:ind w:left="1440"/>
      </w:pPr>
      <w:r w:rsidRPr="00AA0453">
        <w:rPr>
          <w:rStyle w:val="None"/>
        </w:rPr>
        <w:t xml:space="preserve">As Adam Liptak reported in </w:t>
      </w:r>
      <w:r w:rsidRPr="00AA0453">
        <w:rPr>
          <w:rStyle w:val="None"/>
          <w:i/>
          <w:iCs/>
        </w:rPr>
        <w:t>The New York Times</w:t>
      </w:r>
      <w:r w:rsidRPr="00AA0453">
        <w:t xml:space="preserve">, the Supreme Court sometimes corrects and modifies its opinions after their initial release. Adam Liptak, </w:t>
      </w:r>
      <w:r w:rsidRPr="00AA0453">
        <w:rPr>
          <w:rStyle w:val="None"/>
          <w:i/>
          <w:iCs/>
        </w:rPr>
        <w:t>Final Word on U.S. Law Isn’t: Supreme Court Keeps Editing</w:t>
      </w:r>
      <w:r w:rsidRPr="00AA0453">
        <w:t xml:space="preserve">, N.Y. Times, May 25, 2014, at A1, </w:t>
      </w:r>
      <w:hyperlink r:id="rId11" w:history="1">
        <w:r w:rsidRPr="00AA0453">
          <w:rPr>
            <w:rStyle w:val="Hyperlink3"/>
          </w:rPr>
          <w:t>https://www.nytimes.com/2014/05/25/us/final-word-on-us-law-isnt-supreme-court-keeps-editing.html</w:t>
        </w:r>
      </w:hyperlink>
      <w:r w:rsidRPr="00AA0453">
        <w:t>.</w:t>
      </w:r>
    </w:p>
    <w:p w14:paraId="6369D568" w14:textId="77777777" w:rsidR="00E9398D" w:rsidRPr="00AA0453" w:rsidRDefault="00E9398D" w:rsidP="00E9398D">
      <w:pPr>
        <w:pStyle w:val="Body"/>
        <w:spacing w:before="150" w:after="90"/>
        <w:rPr>
          <w:rStyle w:val="None"/>
          <w:rFonts w:ascii="Georgia" w:eastAsia="Georgia" w:hAnsi="Georgia" w:cs="Georgia"/>
          <w:lang w:val="en-US"/>
        </w:rPr>
      </w:pPr>
    </w:p>
    <w:p w14:paraId="6E2CCF6B" w14:textId="77777777" w:rsidR="00E9398D" w:rsidRPr="00AA0453" w:rsidRDefault="00E9398D" w:rsidP="00C404A6">
      <w:pPr>
        <w:pStyle w:val="InklingTitle"/>
        <w:rPr>
          <w:rStyle w:val="None"/>
        </w:rPr>
      </w:pPr>
      <w:r w:rsidRPr="00AA0453">
        <w:rPr>
          <w:rStyle w:val="None"/>
        </w:rPr>
        <w:t>Indigo Inkling</w:t>
      </w:r>
    </w:p>
    <w:p w14:paraId="2538AB33" w14:textId="77777777" w:rsidR="00C00D1F" w:rsidRDefault="00E9398D" w:rsidP="00C404A6">
      <w:pPr>
        <w:pStyle w:val="Inkling"/>
        <w:rPr>
          <w:rStyle w:val="None"/>
        </w:rPr>
      </w:pPr>
      <w:r w:rsidRPr="00C404A6">
        <w:rPr>
          <w:rStyle w:val="None"/>
        </w:rPr>
        <w:t>The typewriter was invented around the 1860s. The first edition of The Bluebook is from 1926. Typewriters of that era did not support italics or boldface. If you wanted to emphasize text, your sole option was to underline. Throughout The Indigo Book, you'll see us italicizing text rather than underlining, because that’s how we do it in the 21st Century. </w:t>
      </w:r>
      <w:r w:rsidR="007C771A">
        <w:rPr>
          <w:rStyle w:val="None"/>
        </w:rPr>
        <w:t xml:space="preserve">For an archaic look or where local court rules require, underlining </w:t>
      </w:r>
      <w:r w:rsidR="00C00D1F">
        <w:rPr>
          <w:rStyle w:val="None"/>
        </w:rPr>
        <w:t>is a good option. If you have a choice, we</w:t>
      </w:r>
      <w:r w:rsidRPr="00C404A6">
        <w:rPr>
          <w:rStyle w:val="None"/>
        </w:rPr>
        <w:t xml:space="preserve"> believe italics are easier to read and should be the preferred method. </w:t>
      </w:r>
    </w:p>
    <w:p w14:paraId="1E46501F" w14:textId="77777777" w:rsidR="00C00D1F" w:rsidRDefault="00C00D1F" w:rsidP="00C404A6">
      <w:pPr>
        <w:pStyle w:val="Inkling"/>
        <w:rPr>
          <w:rStyle w:val="None"/>
        </w:rPr>
      </w:pPr>
    </w:p>
    <w:p w14:paraId="58B9F762" w14:textId="415DB962" w:rsidR="00E9398D" w:rsidRPr="00C404A6" w:rsidRDefault="00C00D1F" w:rsidP="00C404A6">
      <w:pPr>
        <w:pStyle w:val="Inkling"/>
        <w:rPr>
          <w:rStyle w:val="None"/>
        </w:rPr>
      </w:pPr>
      <w:r>
        <w:rPr>
          <w:rStyle w:val="None"/>
        </w:rPr>
        <w:t>While we’re on the subject of formatting</w:t>
      </w:r>
      <w:r w:rsidR="006F7D53">
        <w:rPr>
          <w:rStyle w:val="None"/>
        </w:rPr>
        <w:t xml:space="preserve"> text, </w:t>
      </w:r>
      <w:r w:rsidR="00E9398D" w:rsidRPr="00C404A6">
        <w:rPr>
          <w:rStyle w:val="None"/>
        </w:rPr>
        <w:t>we also urge writers to format their quotations</w:t>
      </w:r>
      <w:r w:rsidR="006F7D53">
        <w:rPr>
          <w:rStyle w:val="None"/>
        </w:rPr>
        <w:t xml:space="preserve"> using all the benefits of modern word processing. Specifically, use well-formatted</w:t>
      </w:r>
      <w:r w:rsidR="00E9398D" w:rsidRPr="00C404A6">
        <w:rPr>
          <w:rStyle w:val="None"/>
        </w:rPr>
        <w:t xml:space="preserve"> “smart quotes” </w:t>
      </w:r>
      <w:r w:rsidR="00D765DF">
        <w:rPr>
          <w:rStyle w:val="None"/>
        </w:rPr>
        <w:t xml:space="preserve">(shown here) </w:t>
      </w:r>
      <w:r w:rsidR="00E9398D" w:rsidRPr="00C404A6">
        <w:rPr>
          <w:rStyle w:val="None"/>
        </w:rPr>
        <w:t xml:space="preserve">that curl around the quoted material, rather than "dumb quotes" (shown here) that are the same whether opening or closing a quote. </w:t>
      </w:r>
    </w:p>
    <w:p w14:paraId="5258DF69" w14:textId="77777777" w:rsidR="00D20719" w:rsidRPr="00AA0453" w:rsidRDefault="00D20719" w:rsidP="00135932">
      <w:pPr>
        <w:pStyle w:val="Inkling"/>
        <w:rPr>
          <w:rStyle w:val="None"/>
          <w:lang w:val="en-US"/>
        </w:rPr>
      </w:pPr>
    </w:p>
    <w:p w14:paraId="3E8DBE4D" w14:textId="77777777" w:rsidR="00EA1B28" w:rsidRPr="00AA0453" w:rsidRDefault="00EA1B28" w:rsidP="00EA1B28">
      <w:pPr>
        <w:pStyle w:val="Heading3"/>
        <w:rPr>
          <w:rFonts w:ascii="Georgia" w:hAnsi="Georgia"/>
          <w:b/>
          <w:bCs/>
        </w:rPr>
      </w:pPr>
      <w:r w:rsidRPr="00AA0453">
        <w:rPr>
          <w:rFonts w:ascii="Georgia" w:hAnsi="Georgia"/>
          <w:b/>
          <w:bCs/>
        </w:rPr>
        <w:t xml:space="preserve">R3 </w:t>
      </w:r>
      <w:r w:rsidRPr="00AA0453">
        <w:rPr>
          <w:rFonts w:ascii="Georgia" w:hAnsi="Georgia"/>
          <w:b/>
          <w:bCs/>
        </w:rPr>
        <w:tab/>
        <w:t>In-Text Citations</w:t>
      </w:r>
    </w:p>
    <w:p w14:paraId="5ECA54FB" w14:textId="77777777" w:rsidR="00EA1B28" w:rsidRPr="00AA0453" w:rsidRDefault="00EA1B28" w:rsidP="00EA1B28">
      <w:pPr>
        <w:pStyle w:val="Heading4"/>
        <w:rPr>
          <w:rFonts w:ascii="Georgia" w:hAnsi="Georgia"/>
        </w:rPr>
      </w:pPr>
      <w:r w:rsidRPr="00AA0453">
        <w:rPr>
          <w:rFonts w:ascii="Georgia" w:hAnsi="Georgia"/>
        </w:rPr>
        <w:t>R3.1</w:t>
      </w:r>
      <w:r w:rsidRPr="00AA0453">
        <w:rPr>
          <w:rFonts w:ascii="Georgia" w:hAnsi="Georgia"/>
        </w:rPr>
        <w:tab/>
        <w:t>Three Options for In-Text Citations</w:t>
      </w:r>
    </w:p>
    <w:p w14:paraId="132B0631" w14:textId="77777777" w:rsidR="00EA1B28" w:rsidRPr="00AA0453" w:rsidRDefault="00EA1B28" w:rsidP="00EA1B28">
      <w:pPr>
        <w:pStyle w:val="Body"/>
        <w:spacing w:before="150" w:after="90"/>
        <w:rPr>
          <w:rStyle w:val="None"/>
          <w:rFonts w:ascii="Georgia" w:eastAsia="Georgia" w:hAnsi="Georgia" w:cs="Georgia"/>
          <w:lang w:val="en-US"/>
        </w:rPr>
      </w:pPr>
      <w:r w:rsidRPr="00AA0453">
        <w:rPr>
          <w:rStyle w:val="None"/>
          <w:rFonts w:ascii="Georgia" w:hAnsi="Georgia"/>
          <w:lang w:val="en-US"/>
        </w:rPr>
        <w:t>For standard legal documents, in-text citations can be rendered in three ways:</w:t>
      </w:r>
    </w:p>
    <w:p w14:paraId="74993394"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 xml:space="preserve">a complete sentence that supports a claim in the immediately preceding sentence of text; </w:t>
      </w:r>
    </w:p>
    <w:p w14:paraId="345CB44B"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a clause within the sentence when the citation relates to a particular part of a sentence, immediately following the claim it supports; or</w:t>
      </w:r>
    </w:p>
    <w:p w14:paraId="637D8114"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embedded within the sentence’s own grammatical flow.</w:t>
      </w:r>
    </w:p>
    <w:p w14:paraId="60CDC251" w14:textId="77777777" w:rsidR="00EA1B28" w:rsidRPr="00AA0453" w:rsidRDefault="00EA1B28" w:rsidP="00EA1B28">
      <w:pPr>
        <w:pStyle w:val="BodyTextIndent2"/>
        <w:ind w:left="0"/>
      </w:pPr>
    </w:p>
    <w:p w14:paraId="50A48666" w14:textId="1A919127" w:rsidR="00EA1B28" w:rsidRPr="00AA0453" w:rsidRDefault="00EA1B28" w:rsidP="00EA1B28">
      <w:pPr>
        <w:pStyle w:val="Heading4"/>
        <w:rPr>
          <w:rFonts w:ascii="Georgia" w:hAnsi="Georgia"/>
        </w:rPr>
      </w:pPr>
      <w:r w:rsidRPr="00AA0453">
        <w:rPr>
          <w:rFonts w:ascii="Georgia" w:hAnsi="Georgia"/>
        </w:rPr>
        <w:t xml:space="preserve">R3.2 </w:t>
      </w:r>
      <w:r w:rsidR="008D2016">
        <w:rPr>
          <w:rFonts w:ascii="Georgia" w:hAnsi="Georgia"/>
        </w:rPr>
        <w:tab/>
      </w:r>
      <w:r w:rsidRPr="00AA0453">
        <w:rPr>
          <w:rFonts w:ascii="Georgia" w:hAnsi="Georgia"/>
        </w:rPr>
        <w:t>Citation Sentences</w:t>
      </w:r>
    </w:p>
    <w:p w14:paraId="52C4E340" w14:textId="77777777" w:rsidR="00EA1B28" w:rsidRPr="00AA0453" w:rsidRDefault="00EA1B28" w:rsidP="00EA1B28">
      <w:pPr>
        <w:pStyle w:val="Rule"/>
        <w:rPr>
          <w:rStyle w:val="None"/>
        </w:rPr>
      </w:pPr>
      <w:r w:rsidRPr="00AA0453">
        <w:rPr>
          <w:rStyle w:val="None"/>
        </w:rPr>
        <w:t>Citations in standard legal documents often follow complete text sentences.</w:t>
      </w:r>
    </w:p>
    <w:p w14:paraId="664EF32D" w14:textId="77777777" w:rsidR="00EA1B28" w:rsidRPr="00AA0453" w:rsidRDefault="00EA1B28" w:rsidP="00EA1B28">
      <w:pPr>
        <w:pStyle w:val="Example"/>
        <w:ind w:left="1440"/>
        <w:rPr>
          <w:rStyle w:val="None"/>
          <w:rFonts w:cs="Arial Unicode MS"/>
          <w:b/>
          <w:bCs/>
        </w:rPr>
      </w:pPr>
      <w:r w:rsidRPr="00AA0453">
        <w:rPr>
          <w:rStyle w:val="None"/>
          <w:b/>
          <w:bCs/>
        </w:rPr>
        <w:t>Examples:</w:t>
      </w:r>
    </w:p>
    <w:p w14:paraId="7DD3F8E2" w14:textId="637BE627" w:rsidR="00EA1B28" w:rsidRPr="00AA0453" w:rsidRDefault="00EA1B28" w:rsidP="00EA1B28">
      <w:pPr>
        <w:pStyle w:val="Example"/>
        <w:ind w:left="1440"/>
        <w:rPr>
          <w:rStyle w:val="None"/>
          <w:shd w:val="clear" w:color="auto" w:fill="FFFFFF"/>
        </w:rPr>
      </w:pPr>
      <w:r w:rsidRPr="00AA0453">
        <w:rPr>
          <w:rStyle w:val="None"/>
          <w:color w:val="222222"/>
          <w:u w:color="222222"/>
          <w:shd w:val="clear" w:color="auto" w:fill="FFFFFF"/>
        </w:rPr>
        <w:t>Under the due process requirement, there must be “some definite link, some minimum connection, between a state and the person, property or transaction it seeks to tax.” </w:t>
      </w:r>
      <w:r w:rsidRPr="00AA0453">
        <w:rPr>
          <w:rStyle w:val="None"/>
          <w:i/>
          <w:iCs/>
          <w:shd w:val="clear" w:color="auto" w:fill="FFFFFF"/>
        </w:rPr>
        <w:t xml:space="preserve">Miller </w:t>
      </w:r>
      <w:r w:rsidR="00AD52A6">
        <w:rPr>
          <w:rStyle w:val="None"/>
          <w:i/>
          <w:iCs/>
          <w:shd w:val="clear" w:color="auto" w:fill="FFFFFF"/>
        </w:rPr>
        <w:t>Bros.</w:t>
      </w:r>
      <w:r w:rsidRPr="00AA0453">
        <w:rPr>
          <w:rStyle w:val="None"/>
          <w:i/>
          <w:iCs/>
          <w:shd w:val="clear" w:color="auto" w:fill="FFFFFF"/>
        </w:rPr>
        <w:t xml:space="preserve"> Co. v. Maryland,</w:t>
      </w:r>
      <w:r w:rsidRPr="00AA0453">
        <w:rPr>
          <w:rStyle w:val="None"/>
          <w:shd w:val="clear" w:color="auto" w:fill="FFFFFF"/>
        </w:rPr>
        <w:t> 347 U.S. 340, 344-345 (1954).</w:t>
      </w:r>
    </w:p>
    <w:p w14:paraId="47FFF9C0" w14:textId="77777777" w:rsidR="00EA1B28" w:rsidRPr="00AA0453" w:rsidRDefault="00EA1B28" w:rsidP="00EA1B28">
      <w:pPr>
        <w:pStyle w:val="Example"/>
        <w:ind w:left="1440"/>
        <w:rPr>
          <w:rStyle w:val="None"/>
          <w:shd w:val="clear" w:color="auto" w:fill="FFFFFF"/>
        </w:rPr>
      </w:pPr>
      <w:r w:rsidRPr="00AA0453">
        <w:rPr>
          <w:rStyle w:val="None"/>
          <w:shd w:val="clear" w:color="auto" w:fill="FFFFFF"/>
        </w:rPr>
        <w:t>Electronic signatures have the same legal effect as signatures signed with pen and ink. The Electronic Signatures in Global and National Commerce Act, 15 U.S.C. §§ 7001-7006.</w:t>
      </w:r>
    </w:p>
    <w:p w14:paraId="421D1A22" w14:textId="77777777" w:rsidR="00EA1B28" w:rsidRPr="00AA0453" w:rsidRDefault="00EA1B28" w:rsidP="00EA1B28">
      <w:pPr>
        <w:pStyle w:val="Body"/>
        <w:rPr>
          <w:rStyle w:val="None"/>
          <w:rFonts w:ascii="Georgia" w:eastAsia="Georgia" w:hAnsi="Georgia" w:cs="Georgia"/>
          <w:lang w:val="en-US"/>
        </w:rPr>
      </w:pPr>
    </w:p>
    <w:p w14:paraId="71806CF4" w14:textId="435EDE65" w:rsidR="00EA1B28" w:rsidRPr="00AA0453" w:rsidRDefault="00EA1B28" w:rsidP="00EA1B28">
      <w:pPr>
        <w:pStyle w:val="Rule"/>
        <w:rPr>
          <w:rStyle w:val="None"/>
        </w:rPr>
      </w:pPr>
      <w:r w:rsidRPr="00AA0453">
        <w:rPr>
          <w:rStyle w:val="None"/>
        </w:rPr>
        <w:t xml:space="preserve">Citations following sentences can be single citations or, when appropriate, several sequential citations separated by a semicolon (known as a “string citation”). These string citations can utilize citation signals consistent with </w:t>
      </w:r>
      <w:r w:rsidRPr="00104DAB">
        <w:rPr>
          <w:rStyle w:val="Rulereferencecharacterstyle"/>
        </w:rPr>
        <w:t xml:space="preserve">Rule </w:t>
      </w:r>
      <w:r w:rsidR="008D2016" w:rsidRPr="00104DAB">
        <w:rPr>
          <w:rStyle w:val="Rulereferencecharacterstyle"/>
        </w:rPr>
        <w:t>R</w:t>
      </w:r>
      <w:r w:rsidRPr="00104DAB">
        <w:rPr>
          <w:rStyle w:val="Rulereferencecharacterstyle"/>
        </w:rPr>
        <w:t>4</w:t>
      </w:r>
      <w:r w:rsidRPr="00AA0453">
        <w:rPr>
          <w:rStyle w:val="None"/>
        </w:rPr>
        <w:t xml:space="preserve"> to show the relationship of the citation to the textual sentence.</w:t>
      </w:r>
    </w:p>
    <w:p w14:paraId="66E0CE57" w14:textId="77777777" w:rsidR="00EA1B28" w:rsidRPr="00AA0453" w:rsidRDefault="00EA1B28" w:rsidP="00EA1B28">
      <w:pPr>
        <w:pStyle w:val="Example"/>
        <w:ind w:left="1440"/>
        <w:rPr>
          <w:rStyle w:val="None"/>
          <w:rFonts w:eastAsia="Georgia" w:cs="Georgia"/>
          <w:b/>
          <w:bCs/>
        </w:rPr>
      </w:pPr>
      <w:r w:rsidRPr="00AA0453">
        <w:rPr>
          <w:rStyle w:val="None"/>
          <w:b/>
          <w:bCs/>
        </w:rPr>
        <w:t>Example:</w:t>
      </w:r>
    </w:p>
    <w:p w14:paraId="5958C9A1" w14:textId="044163F4" w:rsidR="00EA1B28" w:rsidRPr="00AA0453" w:rsidRDefault="00EA1B28" w:rsidP="00EA1B28">
      <w:pPr>
        <w:pStyle w:val="Example"/>
        <w:ind w:left="1440"/>
        <w:rPr>
          <w:rStyle w:val="None"/>
          <w:rFonts w:eastAsia="Georgia" w:cs="Georgia"/>
        </w:rPr>
      </w:pPr>
      <w:r w:rsidRPr="00AA0453">
        <w:rPr>
          <w:rStyle w:val="None"/>
        </w:rPr>
        <w:t xml:space="preserve">Prior to 2018, Supreme Court precedent had required a seller to have a physical presence within a state as a requirement of state taxation. </w:t>
      </w:r>
      <w:r w:rsidRPr="00AA0453">
        <w:rPr>
          <w:rStyle w:val="None"/>
          <w:i/>
          <w:iCs/>
        </w:rPr>
        <w:t>See</w:t>
      </w:r>
      <w:r w:rsidRPr="00AA0453">
        <w:rPr>
          <w:rStyle w:val="None"/>
        </w:rPr>
        <w:t xml:space="preserve"> </w:t>
      </w:r>
      <w:r w:rsidRPr="00AA0453">
        <w:rPr>
          <w:rStyle w:val="None"/>
          <w:i/>
          <w:iCs/>
        </w:rPr>
        <w:t>Quill Corp. v. North Dakota</w:t>
      </w:r>
      <w:r w:rsidRPr="00AA0453">
        <w:rPr>
          <w:rStyle w:val="None"/>
        </w:rPr>
        <w:t xml:space="preserve">, 504 U.S. 298 (1992); </w:t>
      </w:r>
      <w:r w:rsidR="00E573F1">
        <w:rPr>
          <w:rStyle w:val="None"/>
          <w:i/>
          <w:iCs/>
        </w:rPr>
        <w:t>Nat’l</w:t>
      </w:r>
      <w:r w:rsidRPr="00AA0453">
        <w:rPr>
          <w:rStyle w:val="None"/>
          <w:i/>
          <w:iCs/>
        </w:rPr>
        <w:t xml:space="preserve"> Bellas Hess, Inc. v. Dep’t of Rev. of Ill.</w:t>
      </w:r>
      <w:r w:rsidRPr="00AA0453">
        <w:rPr>
          <w:rStyle w:val="None"/>
        </w:rPr>
        <w:t>, 386 U.S. 753 (1967).</w:t>
      </w:r>
    </w:p>
    <w:p w14:paraId="3E3C0027" w14:textId="77777777" w:rsidR="00EA1B28" w:rsidRPr="00AA0453" w:rsidRDefault="00EA1B28" w:rsidP="00EA1B28">
      <w:pPr>
        <w:pStyle w:val="Body"/>
        <w:spacing w:before="150" w:after="90"/>
        <w:ind w:left="2160"/>
        <w:rPr>
          <w:rStyle w:val="None"/>
          <w:rFonts w:ascii="Georgia" w:eastAsia="Georgia" w:hAnsi="Georgia" w:cs="Georgia"/>
          <w:lang w:val="en-US"/>
        </w:rPr>
      </w:pPr>
    </w:p>
    <w:p w14:paraId="1EDEA9C4" w14:textId="74640744" w:rsidR="00EA1B28" w:rsidRPr="00AA0453" w:rsidRDefault="00EA1B28" w:rsidP="00EA1B28">
      <w:pPr>
        <w:pStyle w:val="Heading4"/>
        <w:rPr>
          <w:rStyle w:val="None"/>
          <w:rFonts w:ascii="Georgia" w:eastAsia="Georgia" w:hAnsi="Georgia" w:cs="Georgia"/>
        </w:rPr>
      </w:pPr>
      <w:r w:rsidRPr="00AA0453">
        <w:rPr>
          <w:rStyle w:val="None"/>
          <w:rFonts w:ascii="Georgia" w:hAnsi="Georgia"/>
        </w:rPr>
        <w:t>R3.3</w:t>
      </w:r>
      <w:r w:rsidRPr="00AA0453">
        <w:rPr>
          <w:rStyle w:val="None"/>
          <w:rFonts w:ascii="Georgia" w:hAnsi="Georgia"/>
        </w:rPr>
        <w:tab/>
        <w:t>Citation Clauses</w:t>
      </w:r>
    </w:p>
    <w:p w14:paraId="5F23969F" w14:textId="77777777" w:rsidR="00EA1B28" w:rsidRPr="00AA0453" w:rsidRDefault="00EA1B28" w:rsidP="00EA1B28">
      <w:pPr>
        <w:pStyle w:val="Rule"/>
        <w:rPr>
          <w:rStyle w:val="None"/>
        </w:rPr>
      </w:pPr>
      <w:r w:rsidRPr="00AA0453">
        <w:rPr>
          <w:rStyle w:val="None"/>
        </w:rPr>
        <w:t xml:space="preserve">Some citations in standard legal documents are placed as citation clauses within sentences. Use citation clauses to cite sources and authorities that relate to only a section of the sentence. A citation clause directly follows the claim it relates to. It may include a signal to indicate the relationship of the cited source to the claim. </w:t>
      </w:r>
    </w:p>
    <w:p w14:paraId="73564A78" w14:textId="77777777" w:rsidR="00EA1B28" w:rsidRPr="00AA0453" w:rsidRDefault="00EA1B28" w:rsidP="00EA1B28">
      <w:pPr>
        <w:pStyle w:val="Rule"/>
        <w:rPr>
          <w:rStyle w:val="None"/>
          <w:rFonts w:eastAsia="Georgia" w:cs="Georgia"/>
        </w:rPr>
      </w:pPr>
      <w:r w:rsidRPr="00AA0453">
        <w:rPr>
          <w:rStyle w:val="None"/>
        </w:rPr>
        <w:t>Separate citation clauses from the text with commas. Do not add additional capital letters beyond the required capitalization of the sources being cited.</w:t>
      </w:r>
    </w:p>
    <w:p w14:paraId="5073CF56" w14:textId="77777777" w:rsidR="00EA1B28" w:rsidRPr="00AA0453" w:rsidRDefault="00EA1B28" w:rsidP="00EA1B28">
      <w:pPr>
        <w:pStyle w:val="Example"/>
        <w:rPr>
          <w:rStyle w:val="None"/>
          <w:rFonts w:eastAsia="Georgia" w:cs="Georgia"/>
        </w:rPr>
      </w:pPr>
      <w:r w:rsidRPr="00AA0453">
        <w:rPr>
          <w:rStyle w:val="None"/>
          <w:b/>
          <w:bCs/>
        </w:rPr>
        <w:t>Examples:</w:t>
      </w:r>
      <w:r w:rsidRPr="00AA0453">
        <w:rPr>
          <w:rStyle w:val="None"/>
        </w:rPr>
        <w:t> </w:t>
      </w:r>
    </w:p>
    <w:p w14:paraId="05E5E5E5" w14:textId="03ED8EF1" w:rsidR="00EA1B28" w:rsidRPr="00AA0453" w:rsidRDefault="00EA1B28" w:rsidP="00EA1B28">
      <w:pPr>
        <w:pStyle w:val="Example"/>
        <w:rPr>
          <w:rStyle w:val="None"/>
        </w:rPr>
      </w:pPr>
      <w:r w:rsidRPr="00AA0453">
        <w:rPr>
          <w:rStyle w:val="None"/>
        </w:rPr>
        <w:t xml:space="preserve">Federal law </w:t>
      </w:r>
      <w:r w:rsidR="00814AA1">
        <w:rPr>
          <w:rStyle w:val="None"/>
        </w:rPr>
        <w:t>attempts to address</w:t>
      </w:r>
      <w:r w:rsidRPr="00AA0453">
        <w:rPr>
          <w:rStyle w:val="None"/>
        </w:rPr>
        <w:t xml:space="preserve"> online privacy generally, 18 U.S.C. §§ 2510-2523, and children’s privacy specifically, 15 U.S.C. §§ 6501-6505.</w:t>
      </w:r>
    </w:p>
    <w:p w14:paraId="5FB138E3" w14:textId="1AE0E680" w:rsidR="00EA1B28" w:rsidRPr="00AA0453" w:rsidRDefault="00EA1B28" w:rsidP="00EA1B28">
      <w:pPr>
        <w:pStyle w:val="Example"/>
        <w:rPr>
          <w:rStyle w:val="None"/>
          <w:rFonts w:eastAsia="Georgia" w:cs="Georgia"/>
        </w:rPr>
      </w:pPr>
      <w:r w:rsidRPr="00AA0453">
        <w:rPr>
          <w:rStyle w:val="None"/>
        </w:rPr>
        <w:t xml:space="preserve">Although detailed regulations apply to children’s privacy online, 16 C.F.R. </w:t>
      </w:r>
      <w:r w:rsidR="00814AA1">
        <w:rPr>
          <w:rStyle w:val="None"/>
        </w:rPr>
        <w:t>pt.</w:t>
      </w:r>
      <w:r w:rsidRPr="00AA0453">
        <w:rPr>
          <w:rStyle w:val="None"/>
        </w:rPr>
        <w:t xml:space="preserve"> 312, significant gaps remain in both federal and state law. </w:t>
      </w:r>
    </w:p>
    <w:p w14:paraId="2CE04D3C" w14:textId="3C77AD4C" w:rsidR="00EA1B28" w:rsidRPr="00AA0453" w:rsidRDefault="00EA1B28" w:rsidP="00EA1B28">
      <w:pPr>
        <w:pStyle w:val="Heading4"/>
        <w:rPr>
          <w:rStyle w:val="None"/>
          <w:rFonts w:ascii="Georgia" w:eastAsia="Georgia" w:hAnsi="Georgia" w:cs="Georgia"/>
        </w:rPr>
      </w:pPr>
      <w:r w:rsidRPr="00AA0453">
        <w:rPr>
          <w:rStyle w:val="None"/>
          <w:rFonts w:ascii="Georgia" w:hAnsi="Georgia"/>
        </w:rPr>
        <w:t xml:space="preserve">R3.4 </w:t>
      </w:r>
      <w:r w:rsidRPr="00AA0453">
        <w:rPr>
          <w:rStyle w:val="None"/>
          <w:rFonts w:ascii="Georgia" w:hAnsi="Georgia"/>
        </w:rPr>
        <w:tab/>
        <w:t>Citations Embedded in Sentences</w:t>
      </w:r>
    </w:p>
    <w:p w14:paraId="33FFB86F" w14:textId="26420E57" w:rsidR="00EA1B28" w:rsidRPr="00AA0453" w:rsidRDefault="00EA1B28" w:rsidP="00EA1B28">
      <w:pPr>
        <w:pStyle w:val="Body"/>
        <w:spacing w:before="150" w:after="90"/>
        <w:rPr>
          <w:rStyle w:val="None"/>
          <w:rFonts w:ascii="Georgia" w:eastAsia="Georgia" w:hAnsi="Georgia" w:cs="Georgia"/>
          <w:lang w:val="en-US"/>
        </w:rPr>
      </w:pPr>
      <w:r w:rsidRPr="00AA0453">
        <w:rPr>
          <w:rStyle w:val="None"/>
          <w:rFonts w:ascii="Georgia" w:hAnsi="Georgia"/>
          <w:lang w:val="en-US"/>
        </w:rPr>
        <w:t>Citations can be embedded into the grammatical structure of a textual sentence in a variety of ways.</w:t>
      </w:r>
      <w:r w:rsidRPr="00AA0453">
        <w:rPr>
          <w:rStyle w:val="None"/>
          <w:lang w:val="en-US"/>
        </w:rPr>
        <w:t xml:space="preserve"> </w:t>
      </w:r>
      <w:r w:rsidRPr="00AA0453">
        <w:rPr>
          <w:rStyle w:val="None"/>
          <w:rFonts w:ascii="Georgia" w:hAnsi="Georgia"/>
          <w:lang w:val="en-US"/>
        </w:rPr>
        <w:t>Because citations embedded in sentences are read as part of the sentence’s grammatical flow, the rules for abbreviating case names are different and more restrictive than for citation sentences and clauses.</w:t>
      </w:r>
    </w:p>
    <w:p w14:paraId="745358A8" w14:textId="77777777" w:rsidR="00EA1B28" w:rsidRPr="00AA0453" w:rsidRDefault="00EA1B28" w:rsidP="00EA1B28">
      <w:pPr>
        <w:pStyle w:val="Example"/>
        <w:rPr>
          <w:rStyle w:val="None"/>
          <w:b/>
          <w:bCs/>
        </w:rPr>
      </w:pPr>
      <w:r w:rsidRPr="00AA0453">
        <w:rPr>
          <w:rStyle w:val="None"/>
          <w:b/>
          <w:bCs/>
        </w:rPr>
        <w:t>Examples:</w:t>
      </w:r>
    </w:p>
    <w:p w14:paraId="3C7D192C" w14:textId="77777777" w:rsidR="00EA1B28" w:rsidRPr="00AA0453" w:rsidRDefault="00EA1B28" w:rsidP="00EA1B28">
      <w:pPr>
        <w:pStyle w:val="Example"/>
        <w:rPr>
          <w:rStyle w:val="None"/>
          <w:shd w:val="clear" w:color="auto" w:fill="FFFFFF"/>
        </w:rPr>
      </w:pPr>
      <w:r w:rsidRPr="00AA0453">
        <w:rPr>
          <w:rStyle w:val="None"/>
        </w:rPr>
        <w:t xml:space="preserve">Since </w:t>
      </w:r>
      <w:bookmarkStart w:id="0" w:name="_Hlk73808032"/>
      <w:r w:rsidRPr="00AA0453">
        <w:rPr>
          <w:rStyle w:val="None"/>
          <w:i/>
          <w:iCs/>
          <w:shd w:val="clear" w:color="auto" w:fill="FFFFFF"/>
        </w:rPr>
        <w:t>Nelson v. Sears, Roebuck &amp; Co.,</w:t>
      </w:r>
      <w:r w:rsidRPr="00AA0453">
        <w:rPr>
          <w:rStyle w:val="None"/>
          <w:shd w:val="clear" w:color="auto" w:fill="FFFFFF"/>
        </w:rPr>
        <w:t> 312 U.S. 359, 366 (1941),</w:t>
      </w:r>
      <w:bookmarkEnd w:id="0"/>
      <w:r w:rsidRPr="00AA0453">
        <w:rPr>
          <w:rStyle w:val="None"/>
          <w:shd w:val="clear" w:color="auto" w:fill="FFFFFF"/>
        </w:rPr>
        <w:t xml:space="preserve"> the Court has eschewed the idea that a constitutional right could be grounded in “the practical opportunities for tax avoidance.</w:t>
      </w:r>
    </w:p>
    <w:p w14:paraId="263B7571" w14:textId="77777777" w:rsidR="00EA1B28" w:rsidRPr="00AA0453" w:rsidRDefault="00EA1B28" w:rsidP="00EA1B28">
      <w:pPr>
        <w:pStyle w:val="Example"/>
        <w:rPr>
          <w:rStyle w:val="None"/>
          <w:shd w:val="clear" w:color="auto" w:fill="FFFFFF"/>
        </w:rPr>
      </w:pPr>
      <w:r w:rsidRPr="00AA0453">
        <w:rPr>
          <w:rStyle w:val="None"/>
          <w:shd w:val="clear" w:color="auto" w:fill="FFFFFF"/>
        </w:rPr>
        <w:t xml:space="preserve">In </w:t>
      </w:r>
      <w:r w:rsidRPr="00AA0453">
        <w:rPr>
          <w:rStyle w:val="None"/>
          <w:i/>
          <w:iCs/>
          <w:shd w:val="clear" w:color="auto" w:fill="FFFFFF"/>
        </w:rPr>
        <w:t>Nelson v. Sears, Roebuck &amp; Co.</w:t>
      </w:r>
      <w:r w:rsidRPr="00AA0453">
        <w:rPr>
          <w:rStyle w:val="None"/>
          <w:shd w:val="clear" w:color="auto" w:fill="FFFFFF"/>
        </w:rPr>
        <w:t>, the Court first eschewed the idea that a constitutional right could be grounded in “the practical opportunities for tax avoidance.” 312 U.S. 359, 366 (1941),</w:t>
      </w:r>
    </w:p>
    <w:p w14:paraId="52153C54" w14:textId="79779E00" w:rsidR="00EA1B28" w:rsidRPr="00AA0453" w:rsidRDefault="00EA1B28" w:rsidP="00EA1B28">
      <w:pPr>
        <w:pStyle w:val="Example"/>
        <w:rPr>
          <w:rStyle w:val="None"/>
          <w:shd w:val="clear" w:color="auto" w:fill="FFFFFF"/>
        </w:rPr>
      </w:pPr>
      <w:r w:rsidRPr="00AA0453">
        <w:rPr>
          <w:rStyle w:val="None"/>
          <w:shd w:val="clear" w:color="auto" w:fill="FFFFFF"/>
        </w:rPr>
        <w:t xml:space="preserve">The Children’s Online Privacy Protection Act of 1998, </w:t>
      </w:r>
      <w:r w:rsidRPr="00AA0453">
        <w:rPr>
          <w:rStyle w:val="None"/>
        </w:rPr>
        <w:t>15 U.S.C. §§ 6501-6505 (</w:t>
      </w:r>
      <w:r w:rsidR="00495238">
        <w:rPr>
          <w:rStyle w:val="None"/>
        </w:rPr>
        <w:t>“</w:t>
      </w:r>
      <w:r w:rsidRPr="00AA0453">
        <w:rPr>
          <w:rStyle w:val="None"/>
        </w:rPr>
        <w:t>COPPA</w:t>
      </w:r>
      <w:r w:rsidR="00495238">
        <w:rPr>
          <w:rStyle w:val="None"/>
        </w:rPr>
        <w:t>”</w:t>
      </w:r>
      <w:r w:rsidRPr="00AA0453">
        <w:rPr>
          <w:rStyle w:val="None"/>
        </w:rPr>
        <w:t>)</w:t>
      </w:r>
      <w:r w:rsidR="00495238">
        <w:rPr>
          <w:rStyle w:val="None"/>
        </w:rPr>
        <w:t>,</w:t>
      </w:r>
      <w:r w:rsidRPr="00AA0453">
        <w:rPr>
          <w:rStyle w:val="None"/>
        </w:rPr>
        <w:t xml:space="preserve"> was the first federal law specifically protecting children under the age of 13.</w:t>
      </w:r>
    </w:p>
    <w:p w14:paraId="13B838E9" w14:textId="77777777" w:rsidR="00EA1B28" w:rsidRPr="00AA0453" w:rsidRDefault="00EA1B28" w:rsidP="00EA1B28">
      <w:pPr>
        <w:pStyle w:val="InklingTitle"/>
        <w:rPr>
          <w:rStyle w:val="None"/>
          <w:color w:val="002060"/>
          <w:lang w:val="en-US"/>
        </w:rPr>
      </w:pPr>
      <w:r w:rsidRPr="00AA0453">
        <w:rPr>
          <w:rStyle w:val="None"/>
          <w:color w:val="002060"/>
          <w:lang w:val="en-US"/>
        </w:rPr>
        <w:t>Indigo Inkling</w:t>
      </w:r>
    </w:p>
    <w:p w14:paraId="1D6C06AF" w14:textId="367F9071" w:rsidR="00EA1B28" w:rsidRPr="00AA0453" w:rsidRDefault="00EA1B28" w:rsidP="00EA1B28">
      <w:pPr>
        <w:pStyle w:val="Inkling"/>
        <w:rPr>
          <w:rStyle w:val="None"/>
          <w:lang w:val="en-US"/>
        </w:rPr>
      </w:pPr>
      <w:r w:rsidRPr="00AA0453">
        <w:rPr>
          <w:rStyle w:val="None"/>
          <w:lang w:val="en-US"/>
        </w:rPr>
        <w:t xml:space="preserve">Traditionally, the citations within standard legal documents have been integrated into the main body text. These citations may be placed directly after textual sentences, in citation sentences; as citation clauses within sentences; or textually embedded within sentences. Traditionally, law review articles present their citation support via extensive footnotes in a distinctive format with three different font styles (roman, italics, and Small Caps). </w:t>
      </w:r>
    </w:p>
    <w:p w14:paraId="56D51BF6" w14:textId="77777777" w:rsidR="00D20719" w:rsidRPr="00AA0453" w:rsidRDefault="00D20719" w:rsidP="00EA1B28">
      <w:pPr>
        <w:pStyle w:val="Inkling"/>
        <w:rPr>
          <w:rStyle w:val="None"/>
          <w:lang w:val="en-US"/>
        </w:rPr>
      </w:pPr>
    </w:p>
    <w:p w14:paraId="5449185A" w14:textId="77777777" w:rsidR="00EA1B28" w:rsidRPr="00AA0453" w:rsidRDefault="00EA1B28" w:rsidP="00EA1B28">
      <w:pPr>
        <w:pStyle w:val="Inkling"/>
        <w:rPr>
          <w:rStyle w:val="None"/>
          <w:lang w:val="en-US"/>
        </w:rPr>
      </w:pPr>
      <w:r w:rsidRPr="00AA0453">
        <w:rPr>
          <w:rStyle w:val="None"/>
          <w:lang w:val="en-US"/>
        </w:rPr>
        <w:t>Some courts and lawyers are now producing standard legal documents using footnotes rather than in-text citations. Legal scholar, speaker, and advocate Bryan A. Garner is the best-known proponent of footnotes in standard legal documents, arguing that in-text citations interfere with textual flow and disguise bad writing. Others such as Professor Alexa Chew argue that in-text citations are superior because they integrate source information into the text, a process that can be accomplished with style and grace. The Indigo Book provides citation rules that can be used for either in-text or footnoted citations in standard legal documents.</w:t>
      </w:r>
    </w:p>
    <w:p w14:paraId="05E86169" w14:textId="77777777" w:rsidR="00D20719" w:rsidRPr="00AA0453" w:rsidRDefault="00D20719" w:rsidP="00EA1B28">
      <w:pPr>
        <w:pStyle w:val="Inkling"/>
        <w:rPr>
          <w:rStyle w:val="None"/>
          <w:lang w:val="en-US"/>
        </w:rPr>
      </w:pPr>
    </w:p>
    <w:p w14:paraId="3B50FFD5" w14:textId="785CEE4C" w:rsidR="00135932" w:rsidRPr="00AA0453" w:rsidRDefault="00104DAB" w:rsidP="00EA1B28">
      <w:pPr>
        <w:pStyle w:val="Inkling"/>
        <w:rPr>
          <w:lang w:val="en-US"/>
        </w:rPr>
      </w:pPr>
      <w:r>
        <w:rPr>
          <w:rStyle w:val="None"/>
          <w:lang w:val="en-US"/>
        </w:rPr>
        <w:t>The original edition of</w:t>
      </w:r>
      <w:r w:rsidR="00EA1B28" w:rsidRPr="00AA0453">
        <w:rPr>
          <w:rStyle w:val="None"/>
          <w:lang w:val="en-US"/>
        </w:rPr>
        <w:t xml:space="preserve"> </w:t>
      </w:r>
      <w:r w:rsidR="00EA1B28" w:rsidRPr="00104DAB">
        <w:rPr>
          <w:rStyle w:val="None"/>
          <w:i/>
          <w:iCs/>
          <w:lang w:val="en-US"/>
        </w:rPr>
        <w:t>The Indigo Book</w:t>
      </w:r>
      <w:r w:rsidR="00EA1B28" w:rsidRPr="00AA0453">
        <w:rPr>
          <w:rStyle w:val="None"/>
          <w:lang w:val="en-US"/>
        </w:rPr>
        <w:t xml:space="preserve"> advised writers</w:t>
      </w:r>
      <w:r>
        <w:rPr>
          <w:rStyle w:val="None"/>
          <w:lang w:val="en-US"/>
        </w:rPr>
        <w:t xml:space="preserve"> to use footnotes only </w:t>
      </w:r>
      <w:r w:rsidR="00EA1B28" w:rsidRPr="00AA0453">
        <w:rPr>
          <w:rStyle w:val="None"/>
          <w:lang w:val="en-US"/>
        </w:rPr>
        <w:t xml:space="preserve">when allowed by a court’s local rules. This remains good advice, although we note that some writers use footnotes when not expressly prohibited by a court’s local rules. </w:t>
      </w:r>
      <w:r w:rsidR="00EA1B28" w:rsidRPr="00104DAB">
        <w:rPr>
          <w:rStyle w:val="Rulereferencecharacterstyle"/>
        </w:rPr>
        <w:t xml:space="preserve">Rule </w:t>
      </w:r>
      <w:r w:rsidR="00D20719" w:rsidRPr="00104DAB">
        <w:rPr>
          <w:rStyle w:val="Rulereferencecharacterstyle"/>
        </w:rPr>
        <w:t>R</w:t>
      </w:r>
      <w:r w:rsidR="00EA1B28" w:rsidRPr="00104DAB">
        <w:rPr>
          <w:rStyle w:val="Rulereferencecharacterstyle"/>
        </w:rPr>
        <w:t>3</w:t>
      </w:r>
      <w:r w:rsidR="00EA1B28" w:rsidRPr="00AA0453">
        <w:rPr>
          <w:rStyle w:val="None"/>
          <w:lang w:val="en-US"/>
        </w:rPr>
        <w:t xml:space="preserve"> has been modified to </w:t>
      </w:r>
      <w:r>
        <w:rPr>
          <w:rStyle w:val="None"/>
          <w:lang w:val="en-US"/>
        </w:rPr>
        <w:t xml:space="preserve">more </w:t>
      </w:r>
      <w:r w:rsidR="00EA1B28" w:rsidRPr="00AA0453">
        <w:rPr>
          <w:rStyle w:val="None"/>
          <w:lang w:val="en-US"/>
        </w:rPr>
        <w:t>fully accommodate the writer’s discretion. As with many discretionary choices, writers should select an approach based on the document’s purpose, audience, and overall context.</w:t>
      </w:r>
    </w:p>
    <w:p w14:paraId="1B14F3D8" w14:textId="563FFE2C" w:rsidR="00E9398D" w:rsidRPr="00AA0453" w:rsidRDefault="00E9398D" w:rsidP="00EA1B28">
      <w:pPr>
        <w:pStyle w:val="Heading3"/>
        <w:rPr>
          <w:rStyle w:val="None"/>
          <w:rFonts w:ascii="Georgia" w:eastAsia="Georgia" w:hAnsi="Georgia" w:cs="Georgia"/>
          <w:b/>
          <w:bCs/>
          <w:sz w:val="27"/>
          <w:szCs w:val="27"/>
        </w:rPr>
      </w:pPr>
      <w:r w:rsidRPr="00AA0453">
        <w:rPr>
          <w:rStyle w:val="None"/>
          <w:rFonts w:ascii="Georgia" w:hAnsi="Georgia"/>
          <w:b/>
          <w:bCs/>
          <w:sz w:val="27"/>
          <w:szCs w:val="27"/>
        </w:rPr>
        <w:t>R4</w:t>
      </w:r>
      <w:r w:rsidR="008F3C80" w:rsidRPr="00AA0453">
        <w:rPr>
          <w:rStyle w:val="None"/>
          <w:rFonts w:ascii="Georgia" w:hAnsi="Georgia"/>
          <w:b/>
          <w:bCs/>
          <w:sz w:val="27"/>
          <w:szCs w:val="27"/>
        </w:rPr>
        <w:tab/>
      </w:r>
      <w:r w:rsidRPr="00AA0453">
        <w:rPr>
          <w:rStyle w:val="None"/>
          <w:rFonts w:ascii="Georgia" w:hAnsi="Georgia"/>
          <w:b/>
          <w:bCs/>
          <w:sz w:val="27"/>
          <w:szCs w:val="27"/>
        </w:rPr>
        <w:t>Signals</w:t>
      </w:r>
    </w:p>
    <w:p w14:paraId="0DDB5953" w14:textId="7006B559" w:rsidR="00E9398D" w:rsidRPr="00AA0453" w:rsidRDefault="00E9398D" w:rsidP="00EA1B28">
      <w:pPr>
        <w:pStyle w:val="Heading4"/>
        <w:rPr>
          <w:rStyle w:val="None"/>
          <w:rFonts w:ascii="Georgia" w:hAnsi="Georgia"/>
        </w:rPr>
      </w:pPr>
      <w:r w:rsidRPr="00AA0453">
        <w:rPr>
          <w:rStyle w:val="None"/>
          <w:rFonts w:ascii="Georgia" w:hAnsi="Georgia"/>
        </w:rPr>
        <w:t xml:space="preserve">R4.1 </w:t>
      </w:r>
      <w:r w:rsidR="005A30DC" w:rsidRPr="00AA0453">
        <w:rPr>
          <w:rStyle w:val="None"/>
          <w:rFonts w:ascii="Georgia" w:hAnsi="Georgia"/>
        </w:rPr>
        <w:tab/>
      </w:r>
      <w:r w:rsidRPr="00AA0453">
        <w:rPr>
          <w:rStyle w:val="None"/>
          <w:rFonts w:ascii="Georgia" w:hAnsi="Georgia"/>
        </w:rPr>
        <w:t>Function of Signals</w:t>
      </w:r>
    </w:p>
    <w:p w14:paraId="32FE6CF1" w14:textId="5AFEB6D6" w:rsidR="00E9398D" w:rsidRPr="00AA0453" w:rsidRDefault="00E9398D" w:rsidP="005B425F">
      <w:pPr>
        <w:pStyle w:val="Rule"/>
        <w:rPr>
          <w:rStyle w:val="None"/>
        </w:rPr>
      </w:pPr>
      <w:r w:rsidRPr="00AA0453">
        <w:rPr>
          <w:rStyle w:val="None"/>
        </w:rPr>
        <w:t>A signal</w:t>
      </w:r>
      <w:r w:rsidR="00AA3BEE">
        <w:rPr>
          <w:rStyle w:val="None"/>
        </w:rPr>
        <w:t xml:space="preserve"> represents </w:t>
      </w:r>
      <w:r w:rsidRPr="00AA0453">
        <w:rPr>
          <w:rStyle w:val="None"/>
        </w:rPr>
        <w:t xml:space="preserve">the relationship between the author’s </w:t>
      </w:r>
      <w:r w:rsidR="00EB6A8F">
        <w:rPr>
          <w:rStyle w:val="None"/>
        </w:rPr>
        <w:t>assertion</w:t>
      </w:r>
      <w:r w:rsidRPr="00AA0453">
        <w:rPr>
          <w:rStyle w:val="None"/>
        </w:rPr>
        <w:t xml:space="preserve"> and the source or sources cited following that </w:t>
      </w:r>
      <w:r w:rsidR="00EB6A8F">
        <w:rPr>
          <w:rStyle w:val="None"/>
        </w:rPr>
        <w:t>assertion</w:t>
      </w:r>
      <w:r w:rsidR="00081E3F">
        <w:rPr>
          <w:rStyle w:val="None"/>
        </w:rPr>
        <w:t xml:space="preserve">, a relationship that can run the gamut from supporting it directly to supporting the exact opposite </w:t>
      </w:r>
      <w:r w:rsidR="005B425F">
        <w:rPr>
          <w:rStyle w:val="None"/>
        </w:rPr>
        <w:t>of that assertion</w:t>
      </w:r>
      <w:r w:rsidRPr="00AA0453">
        <w:rPr>
          <w:rStyle w:val="None"/>
        </w:rPr>
        <w:t xml:space="preserve">. </w:t>
      </w:r>
      <w:r w:rsidR="005B425F">
        <w:rPr>
          <w:rStyle w:val="None"/>
        </w:rPr>
        <w:t>To show this relationship, the</w:t>
      </w:r>
      <w:r w:rsidRPr="00AA0453">
        <w:rPr>
          <w:rStyle w:val="None"/>
        </w:rPr>
        <w:t xml:space="preserve"> signal begins the citation sentence or clause. </w:t>
      </w:r>
    </w:p>
    <w:p w14:paraId="65A61E55" w14:textId="4F2B0239" w:rsidR="00E9398D" w:rsidRPr="00AA0453" w:rsidRDefault="00E9398D" w:rsidP="00EA1B28">
      <w:pPr>
        <w:pStyle w:val="Heading4"/>
        <w:rPr>
          <w:rStyle w:val="None"/>
          <w:rFonts w:ascii="Georgia" w:hAnsi="Georgia"/>
        </w:rPr>
      </w:pPr>
      <w:r w:rsidRPr="00AA0453">
        <w:rPr>
          <w:rStyle w:val="None"/>
          <w:rFonts w:ascii="Georgia" w:hAnsi="Georgia"/>
        </w:rPr>
        <w:t xml:space="preserve">R4.2 </w:t>
      </w:r>
      <w:r w:rsidR="005A30DC" w:rsidRPr="00AA0453">
        <w:rPr>
          <w:rStyle w:val="None"/>
          <w:rFonts w:ascii="Georgia" w:hAnsi="Georgia"/>
        </w:rPr>
        <w:tab/>
      </w:r>
      <w:r w:rsidRPr="00AA0453">
        <w:rPr>
          <w:rStyle w:val="None"/>
          <w:rFonts w:ascii="Georgia" w:hAnsi="Georgia"/>
        </w:rPr>
        <w:t>Categories of Signals</w:t>
      </w:r>
    </w:p>
    <w:p w14:paraId="7D52D32F" w14:textId="53DD8855" w:rsidR="00756AF5" w:rsidRPr="00AA0453" w:rsidRDefault="00E9398D" w:rsidP="005B425F">
      <w:pPr>
        <w:pStyle w:val="Rule"/>
        <w:rPr>
          <w:rStyle w:val="None"/>
        </w:rPr>
      </w:pPr>
      <w:r w:rsidRPr="00AA0453">
        <w:rPr>
          <w:rStyle w:val="None"/>
        </w:rPr>
        <w:t xml:space="preserve">There are four basic categories of </w:t>
      </w:r>
      <w:r w:rsidR="00FA58FE" w:rsidRPr="00AA0453">
        <w:rPr>
          <w:rStyle w:val="None"/>
        </w:rPr>
        <w:t>signals:</w:t>
      </w:r>
    </w:p>
    <w:p w14:paraId="19957F1E" w14:textId="77777777" w:rsidR="00E9398D" w:rsidRPr="00AA0453" w:rsidRDefault="00E9398D" w:rsidP="00EA1B28">
      <w:pPr>
        <w:pStyle w:val="Body"/>
        <w:spacing w:before="150" w:after="90"/>
        <w:ind w:left="840"/>
        <w:rPr>
          <w:rStyle w:val="None"/>
          <w:rFonts w:ascii="Georgia" w:eastAsia="Georgia" w:hAnsi="Georgia" w:cs="Georgia"/>
          <w:lang w:val="en-US"/>
        </w:rPr>
      </w:pPr>
    </w:p>
    <w:tbl>
      <w:tblPr>
        <w:tblW w:w="9360"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2444"/>
        <w:gridCol w:w="6916"/>
      </w:tblGrid>
      <w:tr w:rsidR="00756AF5" w:rsidRPr="00AA0453" w14:paraId="1DE5A8AB" w14:textId="77777777" w:rsidTr="00CF2B0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75507F8" w14:textId="77777777" w:rsidR="00756AF5" w:rsidRPr="00AA0453" w:rsidRDefault="00756AF5" w:rsidP="00EA1B28">
            <w:pPr>
              <w:spacing w:before="180" w:after="180" w:line="220" w:lineRule="atLeast"/>
              <w:rPr>
                <w:rFonts w:ascii="Georgia" w:hAnsi="Georgia"/>
                <w:b/>
                <w:bCs/>
                <w:color w:val="000000"/>
                <w:sz w:val="20"/>
                <w:szCs w:val="20"/>
              </w:rPr>
            </w:pPr>
            <w:r w:rsidRPr="00AA0453">
              <w:rPr>
                <w:rFonts w:ascii="Georgia" w:hAnsi="Georgia"/>
                <w:b/>
                <w:bCs/>
                <w:color w:val="000000"/>
                <w:sz w:val="20"/>
                <w:szCs w:val="20"/>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41FAABC" w14:textId="77777777" w:rsidR="00756AF5" w:rsidRPr="00AA0453" w:rsidRDefault="00756AF5" w:rsidP="00EA1B28">
            <w:pPr>
              <w:spacing w:before="180" w:after="180" w:line="220" w:lineRule="atLeast"/>
              <w:rPr>
                <w:rFonts w:ascii="Georgia" w:hAnsi="Georgia"/>
                <w:b/>
                <w:bCs/>
                <w:color w:val="000000"/>
                <w:sz w:val="20"/>
                <w:szCs w:val="20"/>
              </w:rPr>
            </w:pPr>
            <w:r w:rsidRPr="00AA0453">
              <w:rPr>
                <w:rFonts w:ascii="Georgia" w:hAnsi="Georgia"/>
                <w:b/>
                <w:bCs/>
                <w:color w:val="000000"/>
                <w:sz w:val="20"/>
                <w:szCs w:val="20"/>
              </w:rPr>
              <w:t>Signals</w:t>
            </w:r>
          </w:p>
        </w:tc>
      </w:tr>
      <w:tr w:rsidR="00756AF5" w:rsidRPr="00AA0453" w14:paraId="1FAAE720" w14:textId="77777777" w:rsidTr="00CF2B08">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846EB5"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Supporting Authority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7CD48" w14:textId="7409726E"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[No signal]</w:t>
            </w:r>
          </w:p>
        </w:tc>
      </w:tr>
      <w:tr w:rsidR="00756AF5" w:rsidRPr="00AA0453" w14:paraId="3A03C2F1" w14:textId="77777777" w:rsidTr="00CF2B08">
        <w:tc>
          <w:tcPr>
            <w:tcW w:w="0" w:type="auto"/>
            <w:vMerge/>
            <w:tcBorders>
              <w:top w:val="single" w:sz="6" w:space="0" w:color="CCCCCC"/>
              <w:left w:val="single" w:sz="6" w:space="0" w:color="CCCCCC"/>
              <w:bottom w:val="single" w:sz="6" w:space="0" w:color="CCCCCC"/>
              <w:right w:val="single" w:sz="6" w:space="0" w:color="CCCCCC"/>
            </w:tcBorders>
            <w:hideMark/>
          </w:tcPr>
          <w:p w14:paraId="7A71714A"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142CB3" w14:textId="0A88FE33"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E.g.</w:t>
            </w:r>
            <w:r w:rsidRPr="00AA0453">
              <w:rPr>
                <w:rFonts w:ascii="Georgia" w:hAnsi="Georgia"/>
                <w:color w:val="000000"/>
                <w:sz w:val="20"/>
                <w:szCs w:val="20"/>
              </w:rPr>
              <w:t>,</w:t>
            </w:r>
          </w:p>
        </w:tc>
      </w:tr>
      <w:tr w:rsidR="00756AF5" w:rsidRPr="00AA0453" w14:paraId="552A6863" w14:textId="77777777" w:rsidTr="00CF2B08">
        <w:tc>
          <w:tcPr>
            <w:tcW w:w="0" w:type="auto"/>
            <w:vMerge/>
            <w:tcBorders>
              <w:top w:val="single" w:sz="6" w:space="0" w:color="CCCCCC"/>
              <w:left w:val="single" w:sz="6" w:space="0" w:color="CCCCCC"/>
              <w:bottom w:val="single" w:sz="6" w:space="0" w:color="CCCCCC"/>
              <w:right w:val="single" w:sz="6" w:space="0" w:color="CCCCCC"/>
            </w:tcBorders>
            <w:hideMark/>
          </w:tcPr>
          <w:p w14:paraId="3D5A7164"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CDB00" w14:textId="2B13E00E"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Accord</w:t>
            </w:r>
          </w:p>
        </w:tc>
      </w:tr>
      <w:tr w:rsidR="00756AF5" w:rsidRPr="00AA0453" w14:paraId="0B545E96" w14:textId="77777777" w:rsidTr="00CF2B08">
        <w:tc>
          <w:tcPr>
            <w:tcW w:w="0" w:type="auto"/>
            <w:vMerge/>
            <w:tcBorders>
              <w:top w:val="single" w:sz="6" w:space="0" w:color="CCCCCC"/>
              <w:left w:val="single" w:sz="6" w:space="0" w:color="CCCCCC"/>
              <w:bottom w:val="single" w:sz="6" w:space="0" w:color="CCCCCC"/>
              <w:right w:val="single" w:sz="6" w:space="0" w:color="CCCCCC"/>
            </w:tcBorders>
            <w:hideMark/>
          </w:tcPr>
          <w:p w14:paraId="56F3928D"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A1D56" w14:textId="6C2DF940"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See</w:t>
            </w:r>
          </w:p>
        </w:tc>
      </w:tr>
      <w:tr w:rsidR="00756AF5" w:rsidRPr="00AA0453" w14:paraId="5B5C7450" w14:textId="77777777" w:rsidTr="00CF2B08">
        <w:tc>
          <w:tcPr>
            <w:tcW w:w="0" w:type="auto"/>
            <w:vMerge/>
            <w:tcBorders>
              <w:top w:val="single" w:sz="6" w:space="0" w:color="CCCCCC"/>
              <w:left w:val="single" w:sz="6" w:space="0" w:color="CCCCCC"/>
              <w:bottom w:val="single" w:sz="6" w:space="0" w:color="CCCCCC"/>
              <w:right w:val="single" w:sz="6" w:space="0" w:color="CCCCCC"/>
            </w:tcBorders>
            <w:hideMark/>
          </w:tcPr>
          <w:p w14:paraId="3EBD5B03"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9569D" w14:textId="647F08B2"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See also</w:t>
            </w:r>
          </w:p>
        </w:tc>
      </w:tr>
      <w:tr w:rsidR="00756AF5" w:rsidRPr="00AA0453" w14:paraId="1E212F05" w14:textId="77777777" w:rsidTr="00CF2B08">
        <w:tc>
          <w:tcPr>
            <w:tcW w:w="0" w:type="auto"/>
            <w:vMerge/>
            <w:tcBorders>
              <w:top w:val="single" w:sz="6" w:space="0" w:color="CCCCCC"/>
              <w:left w:val="single" w:sz="6" w:space="0" w:color="CCCCCC"/>
              <w:bottom w:val="single" w:sz="6" w:space="0" w:color="CCCCCC"/>
              <w:right w:val="single" w:sz="6" w:space="0" w:color="CCCCCC"/>
            </w:tcBorders>
            <w:hideMark/>
          </w:tcPr>
          <w:p w14:paraId="04E71282"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BDC451" w14:textId="51A3A2FB"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Cf.</w:t>
            </w:r>
          </w:p>
        </w:tc>
      </w:tr>
      <w:tr w:rsidR="00756AF5" w:rsidRPr="00AA0453" w14:paraId="436AEBEC" w14:textId="77777777" w:rsidTr="00CF2B0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59340" w14:textId="2025B392"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 for Comparison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BF068C" w14:textId="1C24FA50" w:rsidR="00756AF5" w:rsidRPr="00AA0453" w:rsidRDefault="00756AF5" w:rsidP="00EA1B28">
            <w:pPr>
              <w:spacing w:before="180" w:after="180" w:line="220" w:lineRule="atLeast"/>
              <w:rPr>
                <w:rFonts w:ascii="Georgia" w:hAnsi="Georgia"/>
                <w:color w:val="000000"/>
                <w:sz w:val="20"/>
                <w:szCs w:val="20"/>
              </w:rPr>
            </w:pPr>
            <w:r w:rsidRPr="00F05F38">
              <w:rPr>
                <w:rFonts w:ascii="Georgia" w:hAnsi="Georgia"/>
                <w:i/>
                <w:iCs/>
                <w:color w:val="000000"/>
                <w:sz w:val="20"/>
                <w:szCs w:val="20"/>
              </w:rPr>
              <w:t>Compare</w:t>
            </w:r>
            <w:r w:rsidRPr="00AA0453">
              <w:rPr>
                <w:rFonts w:ascii="Georgia" w:hAnsi="Georgia"/>
                <w:color w:val="000000"/>
                <w:sz w:val="20"/>
                <w:szCs w:val="20"/>
              </w:rPr>
              <w:t> </w:t>
            </w:r>
            <w:r w:rsidRPr="00AA0453">
              <w:rPr>
                <w:rFonts w:ascii="Monaco" w:hAnsi="Monaco"/>
                <w:color w:val="4B0082"/>
                <w:sz w:val="20"/>
                <w:szCs w:val="20"/>
              </w:rPr>
              <w:t>&lt;citation to source(s), separated with “and” if multiple&gt;</w:t>
            </w:r>
            <w:r w:rsidRPr="00AA0453">
              <w:rPr>
                <w:rFonts w:ascii="Georgia" w:hAnsi="Georgia"/>
                <w:color w:val="000000"/>
                <w:sz w:val="20"/>
                <w:szCs w:val="20"/>
              </w:rPr>
              <w:t> </w:t>
            </w:r>
            <w:r w:rsidRPr="00F05F38">
              <w:rPr>
                <w:rFonts w:ascii="Georgia" w:hAnsi="Georgia"/>
                <w:i/>
                <w:iCs/>
                <w:color w:val="000000"/>
                <w:sz w:val="20"/>
                <w:szCs w:val="20"/>
              </w:rPr>
              <w:t>with</w:t>
            </w:r>
            <w:r w:rsidRPr="00AA0453">
              <w:rPr>
                <w:rFonts w:ascii="Georgia" w:hAnsi="Georgia"/>
                <w:color w:val="000000"/>
                <w:sz w:val="20"/>
                <w:szCs w:val="20"/>
              </w:rPr>
              <w:t> </w:t>
            </w:r>
            <w:r w:rsidRPr="00AA0453">
              <w:rPr>
                <w:rFonts w:ascii="Monaco" w:hAnsi="Monaco"/>
                <w:color w:val="4B0082"/>
                <w:sz w:val="20"/>
                <w:szCs w:val="20"/>
              </w:rPr>
              <w:t>&lt;citation to source(s), separated with “and” if multiple&gt;</w:t>
            </w:r>
          </w:p>
        </w:tc>
      </w:tr>
      <w:tr w:rsidR="00756AF5" w:rsidRPr="00AA0453" w14:paraId="7449E387" w14:textId="77777777" w:rsidTr="00CF2B08">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E98603"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Contradictory Authority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C713A7" w14:textId="4CA3AE23"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Contra</w:t>
            </w:r>
          </w:p>
        </w:tc>
      </w:tr>
      <w:tr w:rsidR="00756AF5" w:rsidRPr="00AA0453" w14:paraId="191EDCFA" w14:textId="77777777" w:rsidTr="00CF2B08">
        <w:tc>
          <w:tcPr>
            <w:tcW w:w="0" w:type="auto"/>
            <w:vMerge/>
            <w:tcBorders>
              <w:top w:val="single" w:sz="6" w:space="0" w:color="CCCCCC"/>
              <w:left w:val="single" w:sz="6" w:space="0" w:color="CCCCCC"/>
              <w:bottom w:val="single" w:sz="6" w:space="0" w:color="CCCCCC"/>
              <w:right w:val="single" w:sz="6" w:space="0" w:color="CCCCCC"/>
            </w:tcBorders>
            <w:hideMark/>
          </w:tcPr>
          <w:p w14:paraId="51AAA788"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E9DF0E" w14:textId="5625F46E"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But see</w:t>
            </w:r>
          </w:p>
        </w:tc>
      </w:tr>
      <w:tr w:rsidR="00756AF5" w:rsidRPr="00AA0453" w14:paraId="07FBDDB6" w14:textId="77777777" w:rsidTr="00CF2B08">
        <w:tc>
          <w:tcPr>
            <w:tcW w:w="0" w:type="auto"/>
            <w:vMerge/>
            <w:tcBorders>
              <w:top w:val="single" w:sz="6" w:space="0" w:color="CCCCCC"/>
              <w:left w:val="single" w:sz="6" w:space="0" w:color="CCCCCC"/>
              <w:bottom w:val="single" w:sz="6" w:space="0" w:color="CCCCCC"/>
              <w:right w:val="single" w:sz="6" w:space="0" w:color="CCCCCC"/>
            </w:tcBorders>
            <w:hideMark/>
          </w:tcPr>
          <w:p w14:paraId="501021D6"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EEDF5E" w14:textId="0D9599CF"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But cf.</w:t>
            </w:r>
          </w:p>
        </w:tc>
      </w:tr>
      <w:tr w:rsidR="00756AF5" w:rsidRPr="00AA0453" w14:paraId="4DCCA8F5" w14:textId="77777777" w:rsidTr="00CF2B0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754A4F"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Background Material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B0A593" w14:textId="763E4FF2"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See generally</w:t>
            </w:r>
          </w:p>
        </w:tc>
      </w:tr>
    </w:tbl>
    <w:p w14:paraId="4A5C9EB6" w14:textId="77777777" w:rsidR="00E9398D" w:rsidRPr="00AA0453" w:rsidRDefault="00E9398D" w:rsidP="00EA1B28">
      <w:pPr>
        <w:pStyle w:val="Body"/>
        <w:spacing w:before="150" w:after="90"/>
        <w:rPr>
          <w:rStyle w:val="None"/>
          <w:rFonts w:ascii="Georgia" w:eastAsia="Georgia" w:hAnsi="Georgia" w:cs="Georgia"/>
          <w:lang w:val="en-US"/>
        </w:rPr>
      </w:pPr>
    </w:p>
    <w:p w14:paraId="5E418D26" w14:textId="0A36C9ED" w:rsidR="00E9398D" w:rsidRPr="00AA0453" w:rsidRDefault="00E9398D" w:rsidP="00EA1B28">
      <w:pPr>
        <w:pStyle w:val="Heading4"/>
        <w:rPr>
          <w:rStyle w:val="None"/>
          <w:rFonts w:ascii="Georgia" w:eastAsia="Georgia" w:hAnsi="Georgia" w:cs="Georgia"/>
        </w:rPr>
      </w:pPr>
      <w:r w:rsidRPr="00AA0453">
        <w:rPr>
          <w:rStyle w:val="None"/>
          <w:rFonts w:ascii="Georgia" w:hAnsi="Georgia"/>
        </w:rPr>
        <w:t xml:space="preserve">R4.3 </w:t>
      </w:r>
      <w:r w:rsidR="005A30DC" w:rsidRPr="00AA0453">
        <w:rPr>
          <w:rStyle w:val="None"/>
          <w:rFonts w:ascii="Georgia" w:hAnsi="Georgia"/>
        </w:rPr>
        <w:tab/>
      </w:r>
      <w:r w:rsidRPr="00AA0453">
        <w:rPr>
          <w:rStyle w:val="None"/>
          <w:rFonts w:ascii="Georgia" w:hAnsi="Georgia"/>
        </w:rPr>
        <w:t>Combinations of Signals</w:t>
      </w:r>
    </w:p>
    <w:p w14:paraId="13D0CD43" w14:textId="2A757805" w:rsidR="00E9398D" w:rsidRPr="00AA0453" w:rsidRDefault="00E9398D" w:rsidP="00EA1B28">
      <w:pPr>
        <w:pStyle w:val="Rule"/>
        <w:rPr>
          <w:rStyle w:val="None"/>
          <w:rFonts w:eastAsia="Georgia" w:cs="Georgia"/>
        </w:rPr>
      </w:pPr>
      <w:r w:rsidRPr="00AA0453">
        <w:rPr>
          <w:rStyle w:val="None"/>
        </w:rPr>
        <w:t xml:space="preserve">When more than one category of authority is used in the same citation, they should be ordered according to categories of signals. As shown in the table above, </w:t>
      </w:r>
      <w:r w:rsidR="00EA1B28" w:rsidRPr="00AA0453">
        <w:rPr>
          <w:rStyle w:val="None"/>
        </w:rPr>
        <w:t>the</w:t>
      </w:r>
      <w:r w:rsidRPr="00AA0453">
        <w:rPr>
          <w:rStyle w:val="None"/>
        </w:rPr>
        <w:t xml:space="preserve"> categories follow a logical order: supporting authority is provided before comparative and contradictory authority, and general background. </w:t>
      </w:r>
    </w:p>
    <w:p w14:paraId="4C5F50BE" w14:textId="77777777" w:rsidR="00E9398D" w:rsidRPr="00AA0453" w:rsidRDefault="00E9398D" w:rsidP="00EA1B28">
      <w:pPr>
        <w:pStyle w:val="Rule"/>
        <w:rPr>
          <w:rStyle w:val="None"/>
          <w:rFonts w:eastAsia="Georgia" w:cs="Georgia"/>
        </w:rPr>
      </w:pPr>
      <w:r w:rsidRPr="00AA0453">
        <w:rPr>
          <w:rStyle w:val="None"/>
        </w:rPr>
        <w:t>In citation sentences, signals in the same category are listed within a single sentence, and each one is marked off by semicolons. Signals in separate categories, however, are listed in separate citation sentences.</w:t>
      </w:r>
    </w:p>
    <w:p w14:paraId="1E290225" w14:textId="688F18E5" w:rsidR="00E9398D" w:rsidRPr="00AA0453" w:rsidRDefault="008F3C80" w:rsidP="00EA1B28">
      <w:pPr>
        <w:pStyle w:val="Example"/>
        <w:rPr>
          <w:rStyle w:val="None"/>
          <w:b/>
          <w:bCs/>
        </w:rPr>
      </w:pPr>
      <w:r w:rsidRPr="00AA0453">
        <w:rPr>
          <w:rStyle w:val="None"/>
          <w:b/>
          <w:bCs/>
        </w:rPr>
        <w:tab/>
      </w:r>
      <w:r w:rsidR="00E9398D" w:rsidRPr="00AA0453">
        <w:rPr>
          <w:rStyle w:val="None"/>
          <w:b/>
          <w:bCs/>
        </w:rPr>
        <w:t>Example:</w:t>
      </w:r>
    </w:p>
    <w:p w14:paraId="2643FBEB" w14:textId="77777777" w:rsidR="00E9398D" w:rsidRPr="00AA0453" w:rsidRDefault="00E9398D" w:rsidP="00EA1B28">
      <w:pPr>
        <w:pStyle w:val="Example"/>
        <w:ind w:left="1440"/>
        <w:rPr>
          <w:rStyle w:val="None"/>
        </w:rPr>
      </w:pPr>
      <w:r w:rsidRPr="00AA0453">
        <w:rPr>
          <w:rStyle w:val="None"/>
        </w:rPr>
        <w:t>Justice Scalia once noted that “the Constitution sometimes insulates the criminality of a few in order to protect the privacy of us all.” </w:t>
      </w:r>
      <w:r w:rsidRPr="00AA0453">
        <w:rPr>
          <w:rStyle w:val="None"/>
          <w:i/>
          <w:iCs/>
        </w:rPr>
        <w:t>Arizona v. Hicks</w:t>
      </w:r>
      <w:r w:rsidRPr="00AA0453">
        <w:rPr>
          <w:rStyle w:val="None"/>
        </w:rPr>
        <w:t xml:space="preserve">, 480 U.S. 321, 329 (1987). </w:t>
      </w:r>
      <w:r w:rsidRPr="00AA0453">
        <w:rPr>
          <w:rStyle w:val="None"/>
          <w:i/>
          <w:iCs/>
        </w:rPr>
        <w:t>But see</w:t>
      </w:r>
      <w:r w:rsidRPr="00AA0453">
        <w:rPr>
          <w:rStyle w:val="None"/>
        </w:rPr>
        <w:t xml:space="preserve"> </w:t>
      </w:r>
      <w:r w:rsidRPr="00AA0453">
        <w:rPr>
          <w:rStyle w:val="None"/>
          <w:i/>
          <w:iCs/>
        </w:rPr>
        <w:t>Maryland v. King</w:t>
      </w:r>
      <w:r w:rsidRPr="00AA0453">
        <w:rPr>
          <w:rStyle w:val="None"/>
        </w:rPr>
        <w:t>, 569 U.S. 435, 462-463 (2013) (acknowledging the existence of “programmatic searches of either the public at large or a particular class of regulated but otherwise law-abiding citizens” such as motorist checkpoints).</w:t>
      </w:r>
    </w:p>
    <w:p w14:paraId="19241BDF" w14:textId="3200A783" w:rsidR="00E9398D" w:rsidRPr="00AA0453" w:rsidRDefault="00E9398D" w:rsidP="00EA1B28">
      <w:pPr>
        <w:pStyle w:val="Body"/>
        <w:spacing w:before="150" w:after="90"/>
        <w:ind w:left="720"/>
        <w:rPr>
          <w:rStyle w:val="None"/>
          <w:rFonts w:ascii="Georgia" w:hAnsi="Georgia"/>
          <w:lang w:val="en-US"/>
        </w:rPr>
      </w:pPr>
      <w:r w:rsidRPr="00AA0453">
        <w:rPr>
          <w:rStyle w:val="None"/>
          <w:rFonts w:ascii="Georgia" w:hAnsi="Georgia"/>
          <w:lang w:val="en-US"/>
        </w:rPr>
        <w:t xml:space="preserve">In citation clauses, all signals </w:t>
      </w:r>
      <w:r w:rsidR="009C2CE5">
        <w:rPr>
          <w:rStyle w:val="None"/>
          <w:rFonts w:ascii="Georgia" w:hAnsi="Georgia"/>
          <w:lang w:val="en-US"/>
        </w:rPr>
        <w:t xml:space="preserve">(regardless of category) </w:t>
      </w:r>
      <w:r w:rsidRPr="00AA0453">
        <w:rPr>
          <w:rStyle w:val="None"/>
          <w:rFonts w:ascii="Georgia" w:hAnsi="Georgia"/>
          <w:lang w:val="en-US"/>
        </w:rPr>
        <w:t>are listed within a single citation clause and separated by semicolons.</w:t>
      </w:r>
    </w:p>
    <w:p w14:paraId="194E0804" w14:textId="248EFCFE" w:rsidR="00E9398D" w:rsidRPr="00AA0453" w:rsidRDefault="008F3C80" w:rsidP="00EA1B28">
      <w:pPr>
        <w:pStyle w:val="Example"/>
        <w:rPr>
          <w:rStyle w:val="None"/>
          <w:rFonts w:eastAsia="Georgia" w:cs="Georgia"/>
        </w:rPr>
      </w:pPr>
      <w:r w:rsidRPr="00AA0453">
        <w:rPr>
          <w:rStyle w:val="None"/>
          <w:b/>
          <w:bCs/>
        </w:rPr>
        <w:tab/>
      </w:r>
      <w:r w:rsidR="00E9398D" w:rsidRPr="00AA0453">
        <w:rPr>
          <w:rStyle w:val="None"/>
          <w:b/>
          <w:bCs/>
        </w:rPr>
        <w:t>Example:</w:t>
      </w:r>
    </w:p>
    <w:p w14:paraId="6196384D" w14:textId="527781ED" w:rsidR="00E9398D" w:rsidRPr="00AA0453" w:rsidRDefault="00E9398D" w:rsidP="00EA1B28">
      <w:pPr>
        <w:pStyle w:val="Example"/>
        <w:ind w:left="1440"/>
      </w:pPr>
      <w:r w:rsidRPr="00AA0453">
        <w:rPr>
          <w:rStyle w:val="None"/>
        </w:rPr>
        <w:t>Justice Scalia once noted that “the Constitution sometimes insulates the criminality of a few in order to protect the privacy of us all,” </w:t>
      </w:r>
      <w:r w:rsidRPr="00AA0453">
        <w:rPr>
          <w:rStyle w:val="None"/>
          <w:i/>
          <w:iCs/>
        </w:rPr>
        <w:t>Arizona v. Hicks</w:t>
      </w:r>
      <w:r w:rsidRPr="00AA0453">
        <w:rPr>
          <w:rStyle w:val="None"/>
        </w:rPr>
        <w:t>, 480 U.S. 321, 329 (1987); </w:t>
      </w:r>
      <w:r w:rsidRPr="00AA0453">
        <w:rPr>
          <w:rStyle w:val="None"/>
          <w:i/>
          <w:iCs/>
        </w:rPr>
        <w:t>see also Maryland v. King</w:t>
      </w:r>
      <w:r w:rsidRPr="00AA0453">
        <w:rPr>
          <w:rStyle w:val="None"/>
        </w:rPr>
        <w:t>, 569 U.S. 435, 481 (2013) (Scalia, J., dissenting) (“Solving unsolved crimes is a noble objective, but it occupies a lower place in the American pantheon of noble objectives than the protection of our people from suspicionless law-enforcement searches.”)</w:t>
      </w:r>
      <w:r w:rsidR="00EA1B28" w:rsidRPr="00AA0453">
        <w:rPr>
          <w:rStyle w:val="None"/>
        </w:rPr>
        <w:t xml:space="preserve">; </w:t>
      </w:r>
      <w:r w:rsidRPr="00AA0453">
        <w:rPr>
          <w:rStyle w:val="None"/>
        </w:rPr>
        <w:t>and later applied that principle to limit police use of thermal imaging technology, </w:t>
      </w:r>
      <w:r w:rsidRPr="00AA0453">
        <w:rPr>
          <w:rStyle w:val="None"/>
          <w:i/>
          <w:iCs/>
        </w:rPr>
        <w:t>see Kyllo v. United States</w:t>
      </w:r>
      <w:r w:rsidRPr="00AA0453">
        <w:rPr>
          <w:rStyle w:val="None"/>
        </w:rPr>
        <w:t>, 389 U.S. 27 (2001); </w:t>
      </w:r>
      <w:r w:rsidRPr="00AA0453">
        <w:rPr>
          <w:rStyle w:val="None"/>
          <w:i/>
          <w:iCs/>
        </w:rPr>
        <w:t>cf. United States v. Jones</w:t>
      </w:r>
      <w:r w:rsidRPr="00AA0453">
        <w:rPr>
          <w:rStyle w:val="None"/>
        </w:rPr>
        <w:t>, 565 U.S. 400 (2012) (invalidating use of a GPS tracking device for long-term surveillance).</w:t>
      </w:r>
    </w:p>
    <w:p w14:paraId="5AFABA50" w14:textId="77777777" w:rsidR="00E9398D" w:rsidRPr="00AA0453" w:rsidRDefault="00E9398D" w:rsidP="00EA1B28">
      <w:pPr>
        <w:pStyle w:val="Body"/>
        <w:spacing w:before="150" w:after="90"/>
        <w:ind w:left="840"/>
        <w:rPr>
          <w:rStyle w:val="None"/>
          <w:rFonts w:ascii="Georgia" w:eastAsia="Georgia" w:hAnsi="Georgia" w:cs="Georgia"/>
          <w:lang w:val="en-US"/>
        </w:rPr>
      </w:pPr>
    </w:p>
    <w:p w14:paraId="5FCA6ED2" w14:textId="400133E7" w:rsidR="00E9398D" w:rsidRPr="00AA0453" w:rsidRDefault="00E9398D" w:rsidP="00EA1B28">
      <w:pPr>
        <w:pStyle w:val="Heading4"/>
        <w:rPr>
          <w:rFonts w:ascii="Georgia" w:hAnsi="Georgia"/>
        </w:rPr>
      </w:pPr>
      <w:r w:rsidRPr="00AA0453">
        <w:rPr>
          <w:rFonts w:ascii="Georgia" w:hAnsi="Georgia"/>
        </w:rPr>
        <w:t xml:space="preserve">R4.4 </w:t>
      </w:r>
      <w:r w:rsidR="005A30DC" w:rsidRPr="00AA0453">
        <w:rPr>
          <w:rFonts w:ascii="Georgia" w:hAnsi="Georgia"/>
        </w:rPr>
        <w:tab/>
      </w:r>
      <w:r w:rsidRPr="00AA0453">
        <w:rPr>
          <w:rFonts w:ascii="Georgia" w:hAnsi="Georgia"/>
        </w:rPr>
        <w:t>Authorities Cited Within Each Signal</w:t>
      </w:r>
    </w:p>
    <w:p w14:paraId="740A4D5F" w14:textId="77777777" w:rsidR="00E9398D" w:rsidRPr="00AA0453" w:rsidRDefault="00E9398D" w:rsidP="00EA1B28">
      <w:pPr>
        <w:pStyle w:val="Rule"/>
        <w:rPr>
          <w:rStyle w:val="None"/>
          <w:rFonts w:eastAsia="Georgia" w:cs="Georgia"/>
        </w:rPr>
      </w:pPr>
      <w:r w:rsidRPr="00AA0453">
        <w:rPr>
          <w:rStyle w:val="None"/>
        </w:rPr>
        <w:t>For the order of authorities cited after (and thus within each signal), order them in a helpful and logical manner, and use a semicolon in between each one.</w:t>
      </w:r>
    </w:p>
    <w:p w14:paraId="4A47229B" w14:textId="77777777" w:rsidR="00E9398D" w:rsidRPr="00AA0453" w:rsidRDefault="00E9398D" w:rsidP="00EA1B28">
      <w:pPr>
        <w:pStyle w:val="Body"/>
        <w:spacing w:before="150" w:after="90"/>
        <w:ind w:left="840"/>
        <w:rPr>
          <w:rStyle w:val="None"/>
          <w:rFonts w:ascii="Georgia" w:eastAsia="Georgia" w:hAnsi="Georgia" w:cs="Georgia"/>
          <w:lang w:val="en-US"/>
        </w:rPr>
      </w:pPr>
    </w:p>
    <w:p w14:paraId="26078022" w14:textId="77777777" w:rsidR="00E9398D" w:rsidRPr="00AA0453" w:rsidRDefault="00E9398D" w:rsidP="00EA1B28">
      <w:pPr>
        <w:pStyle w:val="InklingTitle"/>
        <w:rPr>
          <w:rStyle w:val="None"/>
          <w:lang w:val="en-US"/>
        </w:rPr>
      </w:pPr>
      <w:r w:rsidRPr="00AA0453">
        <w:rPr>
          <w:rStyle w:val="None"/>
          <w:lang w:val="en-US"/>
        </w:rPr>
        <w:t>Indigo Inkling</w:t>
      </w:r>
    </w:p>
    <w:p w14:paraId="08CB5A71" w14:textId="7A8A46F9" w:rsidR="00E9398D" w:rsidRPr="00AA0453" w:rsidRDefault="00E9398D" w:rsidP="00EA1B28">
      <w:pPr>
        <w:pStyle w:val="Inkling"/>
        <w:rPr>
          <w:rStyle w:val="None"/>
          <w:lang w:val="en-US"/>
        </w:rPr>
      </w:pPr>
      <w:r w:rsidRPr="00AA0453">
        <w:rPr>
          <w:rStyle w:val="None"/>
          <w:lang w:val="en-US"/>
        </w:rPr>
        <w:t xml:space="preserve">String citations are not always desirable or appropriate, especially in standard legal documents. Judge Ruggero J. Aldisert of the Third Circuit describes string citations as “generally irritating and useless.” Alexa Chew, </w:t>
      </w:r>
      <w:r w:rsidRPr="00AA0453">
        <w:rPr>
          <w:rStyle w:val="None"/>
          <w:i/>
          <w:iCs/>
          <w:lang w:val="en-US"/>
        </w:rPr>
        <w:t>Stylish Legal Citation</w:t>
      </w:r>
      <w:r w:rsidRPr="00AA0453">
        <w:rPr>
          <w:rStyle w:val="None"/>
          <w:lang w:val="en-US"/>
        </w:rPr>
        <w:t xml:space="preserve">, 71 Ark. L. Rev. 823, 858 n. 214 (2019) (quoting Judge Aldisert in </w:t>
      </w:r>
      <w:r w:rsidRPr="00AA0453">
        <w:rPr>
          <w:rStyle w:val="None"/>
          <w:i/>
          <w:iCs/>
          <w:lang w:val="en-US"/>
        </w:rPr>
        <w:t>Winning on Appeal: Better Briefs and Oral Arguments</w:t>
      </w:r>
      <w:r w:rsidRPr="00AA0453">
        <w:rPr>
          <w:rStyle w:val="None"/>
          <w:lang w:val="en-US"/>
        </w:rPr>
        <w:t xml:space="preserve"> 57 (2d ed. 2003). On the other hand, after a carefully crafted proposition drawn from several authorities, a string cite may be “the right tool for the job.” </w:t>
      </w:r>
      <w:r w:rsidRPr="00AA0453">
        <w:rPr>
          <w:rStyle w:val="None"/>
          <w:i/>
          <w:iCs/>
          <w:lang w:val="en-US"/>
        </w:rPr>
        <w:t>Id.</w:t>
      </w:r>
      <w:r w:rsidRPr="00AA0453">
        <w:rPr>
          <w:rStyle w:val="None"/>
          <w:lang w:val="en-US"/>
        </w:rPr>
        <w:t xml:space="preserve"> at 859.</w:t>
      </w:r>
    </w:p>
    <w:p w14:paraId="7C595C77" w14:textId="66B5EC0F" w:rsidR="00E9398D" w:rsidRPr="00AA0453" w:rsidRDefault="00E9398D" w:rsidP="00EA1B28">
      <w:pPr>
        <w:pStyle w:val="Inkling"/>
        <w:rPr>
          <w:rStyle w:val="None"/>
          <w:lang w:val="en-US"/>
        </w:rPr>
      </w:pPr>
    </w:p>
    <w:p w14:paraId="48406E48" w14:textId="401C08CB" w:rsidR="00E9398D" w:rsidRDefault="009B54E2" w:rsidP="009B54E2">
      <w:pPr>
        <w:pStyle w:val="Inkling"/>
        <w:rPr>
          <w:rStyle w:val="None"/>
          <w:lang w:val="en-US"/>
        </w:rPr>
      </w:pPr>
      <w:r w:rsidRPr="00AA0453">
        <w:rPr>
          <w:rStyle w:val="None"/>
          <w:lang w:val="en-US"/>
        </w:rPr>
        <w:t>When a string citation is appropriate, the writer must decide how to order the authorities in the string. In relatively recent years, academic legal documents have followed</w:t>
      </w:r>
      <w:r w:rsidR="00D20719" w:rsidRPr="00AA0453">
        <w:rPr>
          <w:rStyle w:val="None"/>
          <w:lang w:val="en-US"/>
        </w:rPr>
        <w:t xml:space="preserve"> an elaborate hierarchy</w:t>
      </w:r>
      <w:r w:rsidRPr="00AA0453">
        <w:rPr>
          <w:rStyle w:val="None"/>
          <w:lang w:val="en-US"/>
        </w:rPr>
        <w:t xml:space="preserve">, which essentially consists of the following: </w:t>
      </w:r>
      <w:r w:rsidR="00D20719" w:rsidRPr="00AA0453">
        <w:rPr>
          <w:rStyle w:val="None"/>
          <w:lang w:val="en-US"/>
        </w:rPr>
        <w:t>constitutions before statutes, state statutes in alphabetical order by state, federal cases before state cases, legislative materials before regulatory materials,</w:t>
      </w:r>
      <w:r w:rsidR="0032065F">
        <w:rPr>
          <w:rStyle w:val="None"/>
          <w:lang w:val="en-US"/>
        </w:rPr>
        <w:t xml:space="preserve"> and</w:t>
      </w:r>
      <w:r w:rsidR="00D20719" w:rsidRPr="00AA0453">
        <w:rPr>
          <w:rStyle w:val="None"/>
          <w:lang w:val="en-US"/>
        </w:rPr>
        <w:t xml:space="preserve"> all other primary material</w:t>
      </w:r>
      <w:r w:rsidR="0032065F">
        <w:rPr>
          <w:rStyle w:val="None"/>
          <w:lang w:val="en-US"/>
        </w:rPr>
        <w:t>s, then followed by secondary materials</w:t>
      </w:r>
      <w:r w:rsidR="00D20719" w:rsidRPr="00AA0453">
        <w:rPr>
          <w:rStyle w:val="None"/>
          <w:lang w:val="en-US"/>
        </w:rPr>
        <w:t xml:space="preserve">. See </w:t>
      </w:r>
      <w:r w:rsidR="00D20719" w:rsidRPr="00AA0453">
        <w:rPr>
          <w:rStyle w:val="None"/>
          <w:i/>
          <w:iCs/>
          <w:lang w:val="en-US"/>
        </w:rPr>
        <w:t>The Indigo Book</w:t>
      </w:r>
      <w:r w:rsidR="0069620E">
        <w:rPr>
          <w:rStyle w:val="None"/>
          <w:i/>
          <w:iCs/>
          <w:lang w:val="en-US"/>
        </w:rPr>
        <w:t>: A Manual of Legal Citation</w:t>
      </w:r>
      <w:r w:rsidR="00D20719" w:rsidRPr="00AA0453">
        <w:rPr>
          <w:rStyle w:val="None"/>
          <w:i/>
          <w:iCs/>
          <w:lang w:val="en-US"/>
        </w:rPr>
        <w:t xml:space="preserve"> </w:t>
      </w:r>
      <w:r w:rsidR="00D20719" w:rsidRPr="00AA0453">
        <w:rPr>
          <w:rStyle w:val="None"/>
          <w:lang w:val="en-US"/>
        </w:rPr>
        <w:t xml:space="preserve">Rule </w:t>
      </w:r>
      <w:r w:rsidRPr="00AA0453">
        <w:rPr>
          <w:rStyle w:val="None"/>
          <w:lang w:val="en-US"/>
        </w:rPr>
        <w:t>R</w:t>
      </w:r>
      <w:r w:rsidR="00D20719" w:rsidRPr="00AA0453">
        <w:rPr>
          <w:rStyle w:val="None"/>
          <w:lang w:val="en-US"/>
        </w:rPr>
        <w:t xml:space="preserve">10 (1st ed. 2016); </w:t>
      </w:r>
      <w:r w:rsidR="00D20719" w:rsidRPr="00AA0453">
        <w:rPr>
          <w:rStyle w:val="None"/>
          <w:i/>
          <w:iCs/>
          <w:lang w:val="en-US"/>
        </w:rPr>
        <w:t>The Bluebook: A Uniform System of Citation</w:t>
      </w:r>
      <w:r w:rsidR="00D20719" w:rsidRPr="00AA0453">
        <w:rPr>
          <w:rStyle w:val="None"/>
          <w:lang w:val="en-US"/>
        </w:rPr>
        <w:t xml:space="preserve"> Rule 1.4 (20th ed. 2015). This hierarchy often does, in fact, provide the most logical order; </w:t>
      </w:r>
      <w:r w:rsidR="00DD7A0D">
        <w:rPr>
          <w:rStyle w:val="None"/>
          <w:lang w:val="en-US"/>
        </w:rPr>
        <w:t>it seems unwise to cite</w:t>
      </w:r>
      <w:r w:rsidR="00D20719" w:rsidRPr="00AA0453">
        <w:rPr>
          <w:rStyle w:val="None"/>
          <w:lang w:val="en-US"/>
        </w:rPr>
        <w:t xml:space="preserve"> Wikipedia before the United States Constitution, for example. </w:t>
      </w:r>
      <w:r w:rsidRPr="00AA0453">
        <w:rPr>
          <w:rStyle w:val="None"/>
          <w:lang w:val="en-US"/>
        </w:rPr>
        <w:t xml:space="preserve">But this hierarchy may not always fit the situation. </w:t>
      </w:r>
      <w:r w:rsidR="00D20719" w:rsidRPr="00AA0453">
        <w:rPr>
          <w:rStyle w:val="None"/>
          <w:lang w:val="en-US"/>
        </w:rPr>
        <w:t>The</w:t>
      </w:r>
      <w:r w:rsidR="00E9398D" w:rsidRPr="00AA0453">
        <w:rPr>
          <w:rStyle w:val="None"/>
          <w:lang w:val="en-US"/>
        </w:rPr>
        <w:t xml:space="preserve"> Uniform System of Citation</w:t>
      </w:r>
      <w:r w:rsidR="00D20719" w:rsidRPr="00AA0453">
        <w:rPr>
          <w:rStyle w:val="None"/>
          <w:lang w:val="en-US"/>
        </w:rPr>
        <w:t xml:space="preserve"> is evolving to encompass more flexibility </w:t>
      </w:r>
      <w:r w:rsidRPr="00AA0453">
        <w:rPr>
          <w:rStyle w:val="None"/>
          <w:lang w:val="en-US"/>
        </w:rPr>
        <w:t xml:space="preserve">and discretion </w:t>
      </w:r>
      <w:r w:rsidR="00D20719" w:rsidRPr="00AA0453">
        <w:rPr>
          <w:rStyle w:val="None"/>
          <w:lang w:val="en-US"/>
        </w:rPr>
        <w:t xml:space="preserve">in a few pockets here and there, such as the basic principle that </w:t>
      </w:r>
      <w:r w:rsidR="00E9398D" w:rsidRPr="00AA0453">
        <w:rPr>
          <w:rStyle w:val="None"/>
          <w:lang w:val="en-US"/>
        </w:rPr>
        <w:t>authorities cited in a string within a single signal should be placed in a helpful and logical order.</w:t>
      </w:r>
    </w:p>
    <w:p w14:paraId="6AD38FBA" w14:textId="77777777" w:rsidR="00E9398D" w:rsidRPr="00AA0453" w:rsidRDefault="00E9398D" w:rsidP="00EA1B28">
      <w:pPr>
        <w:pStyle w:val="Inkling"/>
        <w:rPr>
          <w:rStyle w:val="None"/>
          <w:rFonts w:ascii="Georgia" w:eastAsia="Georgia" w:hAnsi="Georgia" w:cs="Georgia"/>
          <w:lang w:val="en-US"/>
        </w:rPr>
      </w:pPr>
    </w:p>
    <w:p w14:paraId="513DCF07" w14:textId="35390A6C" w:rsidR="00E9398D" w:rsidRPr="00AA0453" w:rsidRDefault="00E9398D" w:rsidP="00EA1B28">
      <w:pPr>
        <w:pStyle w:val="Heading4"/>
        <w:rPr>
          <w:rStyle w:val="None"/>
          <w:rFonts w:ascii="Georgia" w:eastAsia="Georgia" w:hAnsi="Georgia" w:cs="Georgia"/>
        </w:rPr>
      </w:pPr>
      <w:r w:rsidRPr="00AA0453">
        <w:rPr>
          <w:rStyle w:val="None"/>
          <w:rFonts w:ascii="Georgia" w:hAnsi="Georgia"/>
        </w:rPr>
        <w:t>R4.5</w:t>
      </w:r>
      <w:r w:rsidRPr="00AA0453">
        <w:rPr>
          <w:rStyle w:val="None"/>
          <w:rFonts w:ascii="Georgia" w:hAnsi="Georgia"/>
        </w:rPr>
        <w:tab/>
        <w:t>Capitalization of Signals</w:t>
      </w:r>
    </w:p>
    <w:p w14:paraId="4B3C0E24" w14:textId="0930EDAD" w:rsidR="00E9398D" w:rsidRPr="00AA0453" w:rsidRDefault="005A30DC" w:rsidP="00EA1B28">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4.5.1 </w:t>
      </w:r>
      <w:r w:rsidR="00E9398D" w:rsidRPr="00AA0453">
        <w:rPr>
          <w:rStyle w:val="None"/>
          <w:rFonts w:ascii="Georgia" w:hAnsi="Georgia"/>
        </w:rPr>
        <w:tab/>
        <w:t>Signals that start citation sentences</w:t>
      </w:r>
    </w:p>
    <w:p w14:paraId="59F769AC" w14:textId="77777777" w:rsidR="00E9398D" w:rsidRPr="00AA0453" w:rsidRDefault="00E9398D" w:rsidP="00EA1B28">
      <w:pPr>
        <w:pStyle w:val="Rule"/>
        <w:rPr>
          <w:rStyle w:val="None"/>
          <w:rFonts w:eastAsia="Georgia" w:cs="Georgia"/>
        </w:rPr>
      </w:pPr>
      <w:r w:rsidRPr="00AA0453">
        <w:rPr>
          <w:rStyle w:val="None"/>
        </w:rPr>
        <w:t>The signal is capitalized at the beginning of a citation sentence.</w:t>
      </w:r>
    </w:p>
    <w:p w14:paraId="6D185728" w14:textId="77777777" w:rsidR="005A30DC" w:rsidRPr="00AA0453" w:rsidRDefault="00E9398D" w:rsidP="00EA1B28">
      <w:pPr>
        <w:pStyle w:val="Example"/>
        <w:ind w:left="1440"/>
        <w:rPr>
          <w:rStyle w:val="None"/>
        </w:rPr>
      </w:pPr>
      <w:r w:rsidRPr="00AA0453">
        <w:rPr>
          <w:rStyle w:val="None"/>
          <w:b/>
          <w:bCs/>
        </w:rPr>
        <w:t>Example:</w:t>
      </w:r>
      <w:r w:rsidRPr="00AA0453">
        <w:rPr>
          <w:rStyle w:val="None"/>
        </w:rPr>
        <w:t> </w:t>
      </w:r>
    </w:p>
    <w:p w14:paraId="039DC939" w14:textId="5F697E1F" w:rsidR="00E9398D" w:rsidRPr="00AA0453" w:rsidRDefault="00E9398D" w:rsidP="00EA1B28">
      <w:pPr>
        <w:pStyle w:val="Example"/>
        <w:ind w:left="1440"/>
        <w:rPr>
          <w:rStyle w:val="None"/>
          <w:rFonts w:eastAsia="Georgia" w:cs="Georgia"/>
        </w:rPr>
      </w:pPr>
      <w:r w:rsidRPr="00AA0453">
        <w:rPr>
          <w:rStyle w:val="None"/>
        </w:rPr>
        <w:t>Unbelievable as it may be, the Supreme Court has weighed in on the issue of whether a tomato is a fruit or vegetable. </w:t>
      </w:r>
      <w:r w:rsidRPr="00AA0453">
        <w:rPr>
          <w:rStyle w:val="None"/>
          <w:i/>
          <w:iCs/>
        </w:rPr>
        <w:t>See Nix v. Heden</w:t>
      </w:r>
      <w:r w:rsidRPr="00AA0453">
        <w:rPr>
          <w:rStyle w:val="None"/>
        </w:rPr>
        <w:t>, 149 U.S. 304 (1893).</w:t>
      </w:r>
    </w:p>
    <w:p w14:paraId="573D4C19" w14:textId="34EB45D9" w:rsidR="00E9398D" w:rsidRPr="00AA0453" w:rsidRDefault="005A30DC" w:rsidP="00EA1B28">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4.5.2</w:t>
      </w:r>
      <w:r w:rsidR="00E9398D"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Signals in citation clauses within textual sentences</w:t>
      </w:r>
    </w:p>
    <w:p w14:paraId="659D445B" w14:textId="77777777" w:rsidR="00E9398D" w:rsidRPr="00AA0453" w:rsidRDefault="00E9398D" w:rsidP="00EA1B28">
      <w:pPr>
        <w:pStyle w:val="Rule"/>
        <w:rPr>
          <w:rStyle w:val="None"/>
          <w:rFonts w:eastAsia="Georgia" w:cs="Georgia"/>
        </w:rPr>
      </w:pPr>
      <w:r w:rsidRPr="00AA0453">
        <w:rPr>
          <w:rStyle w:val="None"/>
        </w:rPr>
        <w:t>The signal is left in lowercase at the beginning of a citation clause.</w:t>
      </w:r>
    </w:p>
    <w:p w14:paraId="4996B003" w14:textId="77777777" w:rsidR="005A30DC" w:rsidRPr="00AA0453" w:rsidRDefault="00E9398D" w:rsidP="005A30DC">
      <w:pPr>
        <w:pStyle w:val="Example"/>
        <w:ind w:left="1440"/>
        <w:rPr>
          <w:rStyle w:val="None"/>
        </w:rPr>
      </w:pPr>
      <w:r w:rsidRPr="00AA0453">
        <w:rPr>
          <w:rStyle w:val="None"/>
          <w:b/>
          <w:bCs/>
        </w:rPr>
        <w:t>Example:</w:t>
      </w:r>
      <w:r w:rsidRPr="00AA0453">
        <w:rPr>
          <w:rStyle w:val="None"/>
        </w:rPr>
        <w:t> </w:t>
      </w:r>
    </w:p>
    <w:p w14:paraId="5D5438C3" w14:textId="59D488F3" w:rsidR="00E9398D" w:rsidRPr="00AA0453" w:rsidRDefault="00E9398D" w:rsidP="005A30DC">
      <w:pPr>
        <w:pStyle w:val="Example"/>
        <w:ind w:left="1440"/>
        <w:rPr>
          <w:rStyle w:val="None"/>
          <w:rFonts w:eastAsia="Georgia" w:cs="Georgia"/>
        </w:rPr>
      </w:pPr>
      <w:r w:rsidRPr="00AA0453">
        <w:rPr>
          <w:rStyle w:val="None"/>
        </w:rPr>
        <w:t>Even seemingly trivial issues, </w:t>
      </w:r>
      <w:r w:rsidRPr="00AA0453">
        <w:rPr>
          <w:rStyle w:val="None"/>
          <w:i/>
          <w:iCs/>
        </w:rPr>
        <w:t>see</w:t>
      </w:r>
      <w:r w:rsidRPr="00AA0453">
        <w:rPr>
          <w:rStyle w:val="None"/>
        </w:rPr>
        <w:t>, </w:t>
      </w:r>
      <w:r w:rsidRPr="00AA0453">
        <w:rPr>
          <w:rStyle w:val="None"/>
          <w:i/>
          <w:iCs/>
        </w:rPr>
        <w:t>e.g.</w:t>
      </w:r>
      <w:r w:rsidRPr="00AA0453">
        <w:rPr>
          <w:rStyle w:val="None"/>
        </w:rPr>
        <w:t>, </w:t>
      </w:r>
      <w:r w:rsidRPr="00AA0453">
        <w:rPr>
          <w:rStyle w:val="None"/>
          <w:i/>
          <w:iCs/>
        </w:rPr>
        <w:t>Nix v. Heden</w:t>
      </w:r>
      <w:r w:rsidRPr="00AA0453">
        <w:rPr>
          <w:rStyle w:val="None"/>
        </w:rPr>
        <w:t>, 149 U.S. 304 (1893) (addressing the question of whether tomatoes are fruits or vegetables), can sometimes merit input from the Supreme Court.</w:t>
      </w:r>
    </w:p>
    <w:p w14:paraId="03128BA7" w14:textId="77777777" w:rsidR="00E9398D" w:rsidRPr="00AA0453" w:rsidRDefault="00E9398D" w:rsidP="00EA1B28">
      <w:pPr>
        <w:pStyle w:val="Body"/>
        <w:ind w:firstLine="720"/>
        <w:rPr>
          <w:lang w:val="en-US"/>
        </w:rPr>
      </w:pPr>
    </w:p>
    <w:p w14:paraId="79842DFA" w14:textId="40E358BE" w:rsidR="00E9398D" w:rsidRPr="00AA0453" w:rsidRDefault="00E9398D" w:rsidP="00EA1B28">
      <w:pPr>
        <w:pStyle w:val="Heading4"/>
        <w:rPr>
          <w:rStyle w:val="None"/>
          <w:rFonts w:ascii="Georgia" w:hAnsi="Georgia"/>
          <w:sz w:val="26"/>
          <w:szCs w:val="26"/>
        </w:rPr>
      </w:pPr>
      <w:r w:rsidRPr="00AA0453">
        <w:rPr>
          <w:rStyle w:val="None"/>
          <w:rFonts w:ascii="Georgia" w:hAnsi="Georgia"/>
          <w:sz w:val="26"/>
          <w:szCs w:val="26"/>
        </w:rPr>
        <w:t xml:space="preserve">R4.6 </w:t>
      </w:r>
      <w:r w:rsidR="005A30DC" w:rsidRPr="00AA0453">
        <w:rPr>
          <w:rStyle w:val="None"/>
          <w:rFonts w:ascii="Georgia" w:hAnsi="Georgia"/>
          <w:sz w:val="26"/>
          <w:szCs w:val="26"/>
        </w:rPr>
        <w:tab/>
      </w:r>
      <w:r w:rsidRPr="00AA0453">
        <w:rPr>
          <w:rStyle w:val="None"/>
          <w:rFonts w:ascii="Georgia" w:hAnsi="Georgia"/>
          <w:sz w:val="26"/>
          <w:szCs w:val="26"/>
        </w:rPr>
        <w:t>Signals for Supporting Authority</w:t>
      </w:r>
    </w:p>
    <w:p w14:paraId="60D9FEA7" w14:textId="77777777" w:rsidR="00640AEC" w:rsidRPr="00AA0453" w:rsidRDefault="00640AEC" w:rsidP="00EA1B28"/>
    <w:p w14:paraId="5EE4C562" w14:textId="3BB25BAB"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R4.6.1</w:t>
      </w:r>
      <w:r w:rsidR="00936642" w:rsidRPr="00AA0453">
        <w:rPr>
          <w:rStyle w:val="None"/>
          <w:rFonts w:ascii="Georgia" w:hAnsi="Georgia"/>
        </w:rPr>
        <w:tab/>
      </w:r>
      <w:r w:rsidR="00B32D40" w:rsidRPr="00AA0453">
        <w:rPr>
          <w:rStyle w:val="None"/>
          <w:rFonts w:ascii="Georgia" w:hAnsi="Georgia"/>
        </w:rPr>
        <w:tab/>
      </w:r>
      <w:r w:rsidRPr="00AA0453">
        <w:rPr>
          <w:rStyle w:val="None"/>
          <w:rFonts w:ascii="Georgia" w:hAnsi="Georgia"/>
        </w:rPr>
        <w:t xml:space="preserve">No </w:t>
      </w:r>
      <w:r w:rsidR="0046637A" w:rsidRPr="00AA0453">
        <w:rPr>
          <w:rStyle w:val="None"/>
          <w:rFonts w:ascii="Georgia" w:hAnsi="Georgia"/>
        </w:rPr>
        <w:t>s</w:t>
      </w:r>
      <w:r w:rsidRPr="00AA0453">
        <w:rPr>
          <w:rStyle w:val="None"/>
          <w:rFonts w:ascii="Georgia" w:hAnsi="Georgia"/>
        </w:rPr>
        <w:t>ignal</w:t>
      </w:r>
    </w:p>
    <w:p w14:paraId="09753139" w14:textId="77777777" w:rsidR="00E9398D" w:rsidRPr="00AA0453" w:rsidRDefault="00E9398D" w:rsidP="00EA1B28">
      <w:pPr>
        <w:pStyle w:val="Rule"/>
        <w:rPr>
          <w:rStyle w:val="None"/>
        </w:rPr>
      </w:pPr>
      <w:r w:rsidRPr="00AA0453">
        <w:rPr>
          <w:rStyle w:val="None"/>
        </w:rPr>
        <w:t>A citation does not need an added signal if—</w:t>
      </w:r>
    </w:p>
    <w:p w14:paraId="6FEE0B68" w14:textId="2DCB36C2" w:rsidR="00E9398D" w:rsidRPr="00AA0453" w:rsidRDefault="00E9398D" w:rsidP="00171F69">
      <w:pPr>
        <w:pStyle w:val="Rule"/>
        <w:numPr>
          <w:ilvl w:val="0"/>
          <w:numId w:val="104"/>
        </w:numPr>
        <w:rPr>
          <w:rStyle w:val="None"/>
        </w:rPr>
      </w:pPr>
      <w:r w:rsidRPr="00AA0453">
        <w:rPr>
          <w:rStyle w:val="None"/>
        </w:rPr>
        <w:t>The source makes the same assertion as the sentence it is supporting.</w:t>
      </w:r>
    </w:p>
    <w:p w14:paraId="7769129A"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1A387B5C" w14:textId="056B109D" w:rsidR="00E9398D" w:rsidRPr="00AA0453" w:rsidRDefault="00E9398D" w:rsidP="00EA1B28">
      <w:pPr>
        <w:pStyle w:val="Example"/>
        <w:ind w:left="1440"/>
        <w:rPr>
          <w:rStyle w:val="None"/>
          <w:rFonts w:eastAsia="Georgia" w:cs="Georgia"/>
        </w:rPr>
      </w:pPr>
      <w:r w:rsidRPr="00AA0453">
        <w:rPr>
          <w:rStyle w:val="None"/>
        </w:rPr>
        <w:t>To impose the death penalty on an individual who is criminally insane is unconstitutional. </w:t>
      </w:r>
      <w:r w:rsidRPr="00AA0453">
        <w:rPr>
          <w:rStyle w:val="None"/>
          <w:i/>
          <w:iCs/>
        </w:rPr>
        <w:t>Ford v. Wainwright</w:t>
      </w:r>
      <w:r w:rsidRPr="00AA0453">
        <w:rPr>
          <w:rStyle w:val="None"/>
        </w:rPr>
        <w:t>, 477 U.S. 399, 410 (1986).</w:t>
      </w:r>
    </w:p>
    <w:p w14:paraId="03E14587" w14:textId="742F9CFB" w:rsidR="00E9398D" w:rsidRPr="00AA0453" w:rsidRDefault="00E9398D" w:rsidP="00171F69">
      <w:pPr>
        <w:pStyle w:val="Rule"/>
        <w:numPr>
          <w:ilvl w:val="0"/>
          <w:numId w:val="104"/>
        </w:numPr>
        <w:rPr>
          <w:rStyle w:val="None"/>
          <w:rFonts w:eastAsia="Georgia" w:cs="Georgia"/>
        </w:rPr>
      </w:pPr>
      <w:r w:rsidRPr="00AA0453">
        <w:rPr>
          <w:rStyle w:val="None"/>
        </w:rPr>
        <w:t>The assertion is a direct quotation from the source.</w:t>
      </w:r>
    </w:p>
    <w:p w14:paraId="10823113"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7434FBFF" w14:textId="14FB874C" w:rsidR="00E9398D" w:rsidRPr="00AA0453" w:rsidRDefault="00E9398D" w:rsidP="00EA1B28">
      <w:pPr>
        <w:pStyle w:val="Example"/>
        <w:ind w:left="1440"/>
        <w:rPr>
          <w:rStyle w:val="None"/>
          <w:rFonts w:eastAsia="Georgia" w:cs="Georgia"/>
        </w:rPr>
      </w:pPr>
      <w:r w:rsidRPr="00AA0453">
        <w:rPr>
          <w:rStyle w:val="None"/>
        </w:rPr>
        <w:t>States are prohibited from “inflicting the penalty of death upon a prisoner who is insane.” </w:t>
      </w:r>
      <w:r w:rsidRPr="00AA0453">
        <w:rPr>
          <w:rStyle w:val="None"/>
          <w:i/>
          <w:iCs/>
        </w:rPr>
        <w:t>Ford v. Wainwright</w:t>
      </w:r>
      <w:r w:rsidRPr="00AA0453">
        <w:rPr>
          <w:rStyle w:val="None"/>
        </w:rPr>
        <w:t>, 477 U.S. 399, 410 (1986).</w:t>
      </w:r>
    </w:p>
    <w:p w14:paraId="2FB44911" w14:textId="1DDEDF5B" w:rsidR="00E9398D" w:rsidRPr="00AA0453" w:rsidRDefault="00E9398D" w:rsidP="00171F69">
      <w:pPr>
        <w:pStyle w:val="Rule"/>
        <w:numPr>
          <w:ilvl w:val="0"/>
          <w:numId w:val="104"/>
        </w:numPr>
        <w:rPr>
          <w:rStyle w:val="None"/>
        </w:rPr>
      </w:pPr>
      <w:r w:rsidRPr="00AA0453">
        <w:rPr>
          <w:rStyle w:val="None"/>
        </w:rPr>
        <w:t>The source is referred to in the assertion.</w:t>
      </w:r>
    </w:p>
    <w:p w14:paraId="62984847"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3263EC84" w14:textId="6DA15DCC" w:rsidR="00E9398D" w:rsidRPr="00AA0453" w:rsidRDefault="00E9398D" w:rsidP="00EA1B28">
      <w:pPr>
        <w:pStyle w:val="Example"/>
        <w:ind w:left="1440"/>
        <w:rPr>
          <w:rStyle w:val="None"/>
          <w:rFonts w:eastAsia="Georgia" w:cs="Georgia"/>
        </w:rPr>
      </w:pPr>
      <w:r w:rsidRPr="00AA0453">
        <w:rPr>
          <w:rStyle w:val="None"/>
        </w:rPr>
        <w:t>In cases like </w:t>
      </w:r>
      <w:r w:rsidRPr="00AA0453">
        <w:rPr>
          <w:rStyle w:val="None"/>
          <w:i/>
          <w:iCs/>
        </w:rPr>
        <w:t>Roper</w:t>
      </w:r>
      <w:r w:rsidRPr="00AA0453">
        <w:rPr>
          <w:rStyle w:val="None"/>
        </w:rPr>
        <w:t>, </w:t>
      </w:r>
      <w:r w:rsidRPr="00AA0453">
        <w:rPr>
          <w:rStyle w:val="None"/>
          <w:i/>
          <w:iCs/>
        </w:rPr>
        <w:t>Atkins</w:t>
      </w:r>
      <w:r w:rsidRPr="00AA0453">
        <w:rPr>
          <w:rStyle w:val="None"/>
        </w:rPr>
        <w:t>, and </w:t>
      </w:r>
      <w:r w:rsidRPr="00AA0453">
        <w:rPr>
          <w:rStyle w:val="None"/>
          <w:i/>
          <w:iCs/>
        </w:rPr>
        <w:t>Ford</w:t>
      </w:r>
      <w:r w:rsidRPr="00AA0453">
        <w:rPr>
          <w:rStyle w:val="None"/>
        </w:rPr>
        <w:t>, the Supreme Court has established certain classes of individuals upon which the death penalty may not be imposed. </w:t>
      </w:r>
      <w:r w:rsidRPr="00AA0453">
        <w:rPr>
          <w:rStyle w:val="None"/>
          <w:i/>
          <w:iCs/>
        </w:rPr>
        <w:t>Roper v. Simmons</w:t>
      </w:r>
      <w:r w:rsidRPr="00AA0453">
        <w:rPr>
          <w:rStyle w:val="None"/>
        </w:rPr>
        <w:t>, 543 U.S. 551, 575 (2005); </w:t>
      </w:r>
      <w:r w:rsidRPr="00AA0453">
        <w:rPr>
          <w:rStyle w:val="None"/>
          <w:i/>
          <w:iCs/>
        </w:rPr>
        <w:t>Atkins v. Virginia</w:t>
      </w:r>
      <w:r w:rsidRPr="00AA0453">
        <w:rPr>
          <w:rStyle w:val="None"/>
        </w:rPr>
        <w:t>, 536 U.S. 304, 321 (2002); </w:t>
      </w:r>
      <w:r w:rsidRPr="00AA0453">
        <w:rPr>
          <w:rStyle w:val="None"/>
          <w:i/>
          <w:iCs/>
        </w:rPr>
        <w:t>Ford v. Wainwright</w:t>
      </w:r>
      <w:r w:rsidRPr="00AA0453">
        <w:rPr>
          <w:rStyle w:val="None"/>
        </w:rPr>
        <w:t>, 477 U.S. 399, 410 (1986).</w:t>
      </w:r>
    </w:p>
    <w:p w14:paraId="3E75478A" w14:textId="6CDF17E8" w:rsidR="00E9398D" w:rsidRPr="00AA0453" w:rsidRDefault="00E9398D" w:rsidP="00EA1B28">
      <w:pPr>
        <w:pStyle w:val="Heading5"/>
        <w:rPr>
          <w:rStyle w:val="None"/>
          <w:rFonts w:ascii="Georgia" w:eastAsia="Georgia" w:hAnsi="Georgia" w:cs="Georgia"/>
        </w:rPr>
      </w:pPr>
      <w:r w:rsidRPr="00AA0453">
        <w:rPr>
          <w:rStyle w:val="None"/>
          <w:rFonts w:ascii="Georgia" w:hAnsi="Georgia"/>
        </w:rPr>
        <w:t xml:space="preserve">R4.6.2 </w:t>
      </w:r>
      <w:r w:rsidR="00B32D40" w:rsidRPr="00AA0453">
        <w:rPr>
          <w:rStyle w:val="None"/>
          <w:rFonts w:ascii="Georgia" w:hAnsi="Georgia"/>
        </w:rPr>
        <w:tab/>
      </w:r>
      <w:r w:rsidRPr="00AA0453">
        <w:rPr>
          <w:rStyle w:val="None"/>
          <w:rFonts w:ascii="Georgia" w:hAnsi="Georgia"/>
          <w:i/>
          <w:iCs/>
        </w:rPr>
        <w:t>E.g.</w:t>
      </w:r>
      <w:r w:rsidRPr="00AA0453">
        <w:rPr>
          <w:rStyle w:val="None"/>
          <w:rFonts w:ascii="Georgia" w:hAnsi="Georgia"/>
        </w:rPr>
        <w:t>,</w:t>
      </w:r>
    </w:p>
    <w:p w14:paraId="34464CD4" w14:textId="77777777" w:rsidR="00E9398D" w:rsidRPr="00AA0453" w:rsidRDefault="00E9398D" w:rsidP="00EA1B28">
      <w:pPr>
        <w:pStyle w:val="Rule"/>
        <w:rPr>
          <w:rStyle w:val="None"/>
          <w:rFonts w:eastAsia="Georgia" w:cs="Georgia"/>
        </w:rPr>
      </w:pPr>
      <w:r w:rsidRPr="00AA0453">
        <w:rPr>
          <w:rStyle w:val="None"/>
        </w:rPr>
        <w:t xml:space="preserve">Use </w:t>
      </w:r>
      <w:r w:rsidRPr="00AA0453">
        <w:rPr>
          <w:rStyle w:val="None"/>
          <w:i/>
          <w:iCs/>
        </w:rPr>
        <w:t>e.g.</w:t>
      </w:r>
      <w:r w:rsidRPr="00AA0453">
        <w:rPr>
          <w:rStyle w:val="None"/>
        </w:rPr>
        <w:t xml:space="preserve">, if the cited source is one of multiple sources to make the same assertion. The citation may include however many sources the author finds to be helpful. Note that the comma in the signal </w:t>
      </w:r>
      <w:r w:rsidRPr="00AA0453">
        <w:rPr>
          <w:rStyle w:val="None"/>
          <w:i/>
          <w:iCs/>
        </w:rPr>
        <w:t>e.g.</w:t>
      </w:r>
      <w:r w:rsidRPr="00AA0453">
        <w:rPr>
          <w:rStyle w:val="None"/>
        </w:rPr>
        <w:t>, should not be italicized.</w:t>
      </w:r>
    </w:p>
    <w:p w14:paraId="6C46479A" w14:textId="77777777" w:rsidR="00124906" w:rsidRPr="00AA0453" w:rsidRDefault="00E9398D" w:rsidP="00EA1B28">
      <w:pPr>
        <w:pStyle w:val="Example"/>
        <w:ind w:left="1440"/>
        <w:rPr>
          <w:rStyle w:val="None"/>
        </w:rPr>
      </w:pPr>
      <w:r w:rsidRPr="00AA0453">
        <w:rPr>
          <w:rStyle w:val="None"/>
          <w:b/>
          <w:bCs/>
        </w:rPr>
        <w:t>Example</w:t>
      </w:r>
      <w:r w:rsidR="00124906" w:rsidRPr="00AA0453">
        <w:rPr>
          <w:rStyle w:val="None"/>
          <w:b/>
          <w:bCs/>
        </w:rPr>
        <w:t>s</w:t>
      </w:r>
      <w:r w:rsidRPr="00AA0453">
        <w:rPr>
          <w:rStyle w:val="None"/>
          <w:b/>
          <w:bCs/>
        </w:rPr>
        <w:t>:</w:t>
      </w:r>
      <w:r w:rsidRPr="00AA0453">
        <w:rPr>
          <w:rStyle w:val="None"/>
        </w:rPr>
        <w:t> </w:t>
      </w:r>
    </w:p>
    <w:p w14:paraId="07FE36BD" w14:textId="70DFEC5C" w:rsidR="00E9398D" w:rsidRPr="00AA0453" w:rsidRDefault="00E9398D" w:rsidP="00EA1B28">
      <w:pPr>
        <w:pStyle w:val="Example"/>
        <w:ind w:left="1440"/>
        <w:rPr>
          <w:rStyle w:val="None"/>
          <w:rFonts w:eastAsia="Georgia" w:cs="Georgia"/>
        </w:rPr>
      </w:pPr>
      <w:r w:rsidRPr="00AA0453">
        <w:rPr>
          <w:rStyle w:val="None"/>
        </w:rPr>
        <w:t>In a criminal case, the state bears the burden of proving the defendant’s guilt beyond a reasonable doubt. </w:t>
      </w:r>
      <w:r w:rsidRPr="00AA0453">
        <w:rPr>
          <w:rStyle w:val="None"/>
          <w:i/>
          <w:iCs/>
        </w:rPr>
        <w:t>E.g.</w:t>
      </w:r>
      <w:r w:rsidRPr="00814AA1">
        <w:rPr>
          <w:rStyle w:val="None"/>
        </w:rPr>
        <w:t>,</w:t>
      </w:r>
      <w:r w:rsidRPr="00AA0453">
        <w:rPr>
          <w:rStyle w:val="None"/>
        </w:rPr>
        <w:t> </w:t>
      </w:r>
      <w:r w:rsidRPr="00AA0453">
        <w:rPr>
          <w:rStyle w:val="None"/>
          <w:i/>
          <w:iCs/>
        </w:rPr>
        <w:t>State v. Purrier</w:t>
      </w:r>
      <w:r w:rsidRPr="00AA0453">
        <w:rPr>
          <w:rStyle w:val="None"/>
        </w:rPr>
        <w:t>, 336 P.3d 574, 576 (Or. Ct. App. 2014).</w:t>
      </w:r>
    </w:p>
    <w:p w14:paraId="3E869C58" w14:textId="7224B61B" w:rsidR="00E9398D" w:rsidRPr="00AA0453" w:rsidRDefault="00E9398D" w:rsidP="00EA1B28">
      <w:pPr>
        <w:pStyle w:val="Example"/>
        <w:ind w:left="1440"/>
        <w:rPr>
          <w:rStyle w:val="None"/>
          <w:rFonts w:eastAsia="Georgia" w:cs="Georgia"/>
        </w:rPr>
      </w:pPr>
      <w:r w:rsidRPr="00AA0453">
        <w:rPr>
          <w:rStyle w:val="None"/>
        </w:rPr>
        <w:t>Prior to the Supreme Court’s decision in </w:t>
      </w:r>
      <w:r w:rsidRPr="00AA0453">
        <w:rPr>
          <w:rStyle w:val="None"/>
          <w:i/>
          <w:iCs/>
        </w:rPr>
        <w:t>Riley v. California</w:t>
      </w:r>
      <w:r w:rsidRPr="00AA0453">
        <w:rPr>
          <w:rStyle w:val="None"/>
        </w:rPr>
        <w:t>, 573 U.S. 373 (2014), several circuits had generally allowed the police to conduct warrantless searches of cell phones of individuals under arrest. </w:t>
      </w:r>
      <w:r w:rsidRPr="00AA0453">
        <w:rPr>
          <w:rStyle w:val="None"/>
          <w:i/>
          <w:iCs/>
        </w:rPr>
        <w:t>E.g.</w:t>
      </w:r>
      <w:r w:rsidRPr="00AA0453">
        <w:rPr>
          <w:rStyle w:val="None"/>
        </w:rPr>
        <w:t>, </w:t>
      </w:r>
      <w:r w:rsidRPr="00AA0453">
        <w:rPr>
          <w:rStyle w:val="None"/>
          <w:i/>
          <w:iCs/>
        </w:rPr>
        <w:t>U.S. v. Murphy</w:t>
      </w:r>
      <w:r w:rsidRPr="00AA0453">
        <w:rPr>
          <w:rStyle w:val="None"/>
        </w:rPr>
        <w:t>, 552 F.3d 405, 411 (4th Cir. 2009); </w:t>
      </w:r>
      <w:r w:rsidRPr="00AA0453">
        <w:rPr>
          <w:rStyle w:val="None"/>
          <w:i/>
          <w:iCs/>
        </w:rPr>
        <w:t>U.S. v. Finley</w:t>
      </w:r>
      <w:r w:rsidRPr="00AA0453">
        <w:rPr>
          <w:rStyle w:val="None"/>
        </w:rPr>
        <w:t>, 477 F.3d 250, 260 (5th Cir. 2007).</w:t>
      </w:r>
    </w:p>
    <w:p w14:paraId="4D28B1D6" w14:textId="567EC389" w:rsidR="00E9398D" w:rsidRPr="00AA0453" w:rsidRDefault="00E9398D" w:rsidP="00EA1B28">
      <w:pPr>
        <w:pStyle w:val="Rule"/>
        <w:rPr>
          <w:rStyle w:val="None"/>
          <w:rFonts w:eastAsia="Georgia" w:cs="Georgia"/>
        </w:rPr>
      </w:pPr>
      <w:r w:rsidRPr="00AA0453">
        <w:rPr>
          <w:rStyle w:val="None"/>
          <w:i/>
          <w:iCs/>
        </w:rPr>
        <w:t>E.g.</w:t>
      </w:r>
      <w:r w:rsidRPr="00AA0453">
        <w:rPr>
          <w:rStyle w:val="None"/>
        </w:rPr>
        <w:t xml:space="preserve">, may also be used following any other signal, such as </w:t>
      </w:r>
      <w:r w:rsidRPr="00AA0453">
        <w:rPr>
          <w:rStyle w:val="None"/>
          <w:i/>
          <w:iCs/>
        </w:rPr>
        <w:t>See</w:t>
      </w:r>
      <w:r w:rsidRPr="00AA0453">
        <w:rPr>
          <w:rStyle w:val="None"/>
        </w:rPr>
        <w:t xml:space="preserve"> or </w:t>
      </w:r>
      <w:r w:rsidRPr="00AA0453">
        <w:rPr>
          <w:rStyle w:val="None"/>
          <w:i/>
          <w:iCs/>
        </w:rPr>
        <w:t>Contra</w:t>
      </w:r>
      <w:r w:rsidRPr="00AA0453">
        <w:rPr>
          <w:rStyle w:val="None"/>
        </w:rPr>
        <w:t xml:space="preserve"> in which case an italicized comma should separate the two signals. </w:t>
      </w:r>
    </w:p>
    <w:p w14:paraId="2D3B3EBA" w14:textId="76DF1597"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R4.6.3</w:t>
      </w:r>
      <w:r w:rsidR="00B32D40" w:rsidRPr="00AA0453">
        <w:rPr>
          <w:rStyle w:val="None"/>
          <w:rFonts w:ascii="Georgia" w:hAnsi="Georgia"/>
        </w:rPr>
        <w:tab/>
      </w:r>
      <w:r w:rsidR="00B32D40" w:rsidRPr="00AA0453">
        <w:rPr>
          <w:rStyle w:val="None"/>
          <w:rFonts w:ascii="Georgia" w:hAnsi="Georgia"/>
        </w:rPr>
        <w:tab/>
      </w:r>
      <w:r w:rsidRPr="00AA0453">
        <w:rPr>
          <w:rStyle w:val="None"/>
          <w:rFonts w:ascii="Georgia" w:hAnsi="Georgia"/>
          <w:i/>
          <w:iCs/>
        </w:rPr>
        <w:t>Accord</w:t>
      </w:r>
    </w:p>
    <w:p w14:paraId="54E23332" w14:textId="77777777" w:rsidR="00E9398D" w:rsidRPr="00AA0453" w:rsidRDefault="00E9398D" w:rsidP="00EA1B28">
      <w:pPr>
        <w:pStyle w:val="Rule"/>
        <w:rPr>
          <w:rStyle w:val="None"/>
          <w:rFonts w:eastAsia="Georgia" w:cs="Georgia"/>
        </w:rPr>
      </w:pPr>
      <w:r w:rsidRPr="00AA0453">
        <w:rPr>
          <w:rStyle w:val="None"/>
          <w:i/>
          <w:iCs/>
        </w:rPr>
        <w:t>Accord </w:t>
      </w:r>
      <w:r w:rsidRPr="00AA0453">
        <w:rPr>
          <w:rStyle w:val="None"/>
        </w:rPr>
        <w:t>is used when more than one source substantiates a proposition, but the text quotes just one of them. Use </w:t>
      </w:r>
      <w:r w:rsidRPr="00AA0453">
        <w:rPr>
          <w:rStyle w:val="None"/>
          <w:i/>
          <w:iCs/>
        </w:rPr>
        <w:t>accord</w:t>
      </w:r>
      <w:r w:rsidRPr="00AA0453">
        <w:rPr>
          <w:rStyle w:val="None"/>
        </w:rPr>
        <w:t> as the introductory signal for the non-quoted sources. Also, </w:t>
      </w:r>
      <w:r w:rsidRPr="00AA0453">
        <w:rPr>
          <w:rStyle w:val="None"/>
          <w:i/>
          <w:iCs/>
        </w:rPr>
        <w:t>accord</w:t>
      </w:r>
      <w:r w:rsidRPr="00AA0453">
        <w:rPr>
          <w:rStyle w:val="None"/>
        </w:rPr>
        <w:t> may be used as the introductory signal for indicating that the law of one jurisdiction is consistent with the law of another.</w:t>
      </w:r>
    </w:p>
    <w:p w14:paraId="04D2E5E7" w14:textId="77777777" w:rsidR="00E9398D" w:rsidRPr="00AA0453" w:rsidRDefault="00E9398D" w:rsidP="00EA1B28">
      <w:pPr>
        <w:pStyle w:val="Body"/>
        <w:tabs>
          <w:tab w:val="left" w:pos="8640"/>
        </w:tabs>
        <w:ind w:left="1440" w:right="720"/>
        <w:rPr>
          <w:rStyle w:val="None"/>
          <w:rFonts w:ascii="Georgia" w:eastAsia="Georgia" w:hAnsi="Georgia" w:cs="Georgia"/>
          <w:color w:val="373739"/>
          <w:u w:color="373739"/>
          <w:shd w:val="clear" w:color="auto" w:fill="FFFFFF"/>
          <w:lang w:val="en-US"/>
        </w:rPr>
      </w:pPr>
    </w:p>
    <w:p w14:paraId="1828C398" w14:textId="77777777" w:rsidR="00124906" w:rsidRPr="00AA0453" w:rsidRDefault="00E9398D" w:rsidP="00EA1B28">
      <w:pPr>
        <w:pStyle w:val="Example"/>
        <w:ind w:left="1440"/>
        <w:rPr>
          <w:rStyle w:val="None"/>
          <w:b/>
          <w:bCs/>
        </w:rPr>
      </w:pPr>
      <w:r w:rsidRPr="00AA0453">
        <w:rPr>
          <w:rStyle w:val="None"/>
          <w:b/>
          <w:bCs/>
        </w:rPr>
        <w:t>Example</w:t>
      </w:r>
      <w:r w:rsidR="00124906" w:rsidRPr="00AA0453">
        <w:rPr>
          <w:rStyle w:val="None"/>
          <w:b/>
          <w:bCs/>
        </w:rPr>
        <w:t>s:</w:t>
      </w:r>
    </w:p>
    <w:p w14:paraId="56166F99" w14:textId="40B2E5B6" w:rsidR="00E9398D" w:rsidRPr="00AA0453" w:rsidRDefault="00E9398D" w:rsidP="00EA1B28">
      <w:pPr>
        <w:pStyle w:val="Example"/>
        <w:ind w:left="1440"/>
        <w:rPr>
          <w:rStyle w:val="None"/>
          <w:rFonts w:eastAsia="Georgia" w:cs="Georgia"/>
        </w:rPr>
      </w:pPr>
      <w:r w:rsidRPr="00AA0453">
        <w:rPr>
          <w:rStyle w:val="None"/>
          <w:shd w:val="clear" w:color="auto" w:fill="FFFFFF"/>
        </w:rPr>
        <w:t xml:space="preserve">Colorado law makes it the “duty of every corporation or person who has reasonable grounds to believe that a crime has been committed to report promptly the suspected crime to law enforcement authorities.” Colo. Rev. Stat. § 18-8-115 (2020); </w:t>
      </w:r>
      <w:r w:rsidRPr="00AA0453">
        <w:rPr>
          <w:rStyle w:val="None"/>
          <w:i/>
          <w:iCs/>
          <w:shd w:val="clear" w:color="auto" w:fill="FFFFFF"/>
        </w:rPr>
        <w:t>accord</w:t>
      </w:r>
      <w:r w:rsidRPr="00AA0453">
        <w:rPr>
          <w:rStyle w:val="None"/>
          <w:shd w:val="clear" w:color="auto" w:fill="FFFFFF"/>
        </w:rPr>
        <w:t xml:space="preserve"> </w:t>
      </w:r>
      <w:r w:rsidRPr="00AA0453">
        <w:rPr>
          <w:rStyle w:val="None"/>
          <w:i/>
          <w:iCs/>
          <w:shd w:val="clear" w:color="auto" w:fill="FFFFFF"/>
        </w:rPr>
        <w:t xml:space="preserve">Lunsford v. </w:t>
      </w:r>
      <w:r w:rsidR="009D5976">
        <w:rPr>
          <w:rStyle w:val="None"/>
          <w:i/>
          <w:iCs/>
          <w:shd w:val="clear" w:color="auto" w:fill="FFFFFF"/>
        </w:rPr>
        <w:t>W. States Life</w:t>
      </w:r>
      <w:r w:rsidRPr="00AA0453">
        <w:rPr>
          <w:rStyle w:val="None"/>
          <w:i/>
          <w:iCs/>
          <w:shd w:val="clear" w:color="auto" w:fill="FFFFFF"/>
        </w:rPr>
        <w:t xml:space="preserve"> Ins.</w:t>
      </w:r>
      <w:r w:rsidRPr="00AA0453">
        <w:rPr>
          <w:rStyle w:val="None"/>
          <w:shd w:val="clear" w:color="auto" w:fill="FFFFFF"/>
        </w:rPr>
        <w:t>, 919 P.2d 899, 901 (Colo. App. 1996) (interpreting the reasonable-grounds standard as lower than the probable-cause standard enabling police to make a warrantless arrest).</w:t>
      </w:r>
    </w:p>
    <w:p w14:paraId="35C43146" w14:textId="61AFB628" w:rsidR="00E9398D" w:rsidRPr="00AA0453" w:rsidRDefault="00124906" w:rsidP="00EA1B28">
      <w:pPr>
        <w:pStyle w:val="Example"/>
        <w:ind w:left="1440"/>
        <w:rPr>
          <w:rStyle w:val="None"/>
          <w:rFonts w:eastAsia="Georgia" w:cs="Georgia"/>
        </w:rPr>
      </w:pPr>
      <w:r w:rsidRPr="00AA0453">
        <w:rPr>
          <w:rStyle w:val="None"/>
        </w:rPr>
        <w:t>Under C</w:t>
      </w:r>
      <w:r w:rsidR="00640AEC" w:rsidRPr="00AA0453">
        <w:rPr>
          <w:rStyle w:val="None"/>
        </w:rPr>
        <w:t>olorado law</w:t>
      </w:r>
      <w:r w:rsidR="00E9398D" w:rsidRPr="00AA0453">
        <w:rPr>
          <w:rStyle w:val="None"/>
        </w:rPr>
        <w:t xml:space="preserve">, witnesses have a limited duty to report crimes. Colo. Rev. Stat. § 18-8-115 (2020); </w:t>
      </w:r>
      <w:r w:rsidR="00E9398D" w:rsidRPr="00AA0453">
        <w:rPr>
          <w:rStyle w:val="None"/>
          <w:i/>
          <w:iCs/>
        </w:rPr>
        <w:t>accord</w:t>
      </w:r>
      <w:r w:rsidR="00E9398D" w:rsidRPr="00AA0453">
        <w:rPr>
          <w:rStyle w:val="None"/>
        </w:rPr>
        <w:t xml:space="preserve"> Mass. Gen. Laws ch. 268, § 40 (2020).</w:t>
      </w:r>
    </w:p>
    <w:p w14:paraId="42A32B76" w14:textId="1E2535EC"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R4.6.4</w:t>
      </w:r>
      <w:r w:rsidR="00B32D40" w:rsidRPr="00AA0453">
        <w:rPr>
          <w:rStyle w:val="None"/>
          <w:rFonts w:ascii="Georgia" w:hAnsi="Georgia"/>
        </w:rPr>
        <w:tab/>
      </w:r>
      <w:r w:rsidR="00B32D40" w:rsidRPr="00AA0453">
        <w:rPr>
          <w:rStyle w:val="None"/>
          <w:rFonts w:ascii="Georgia" w:hAnsi="Georgia"/>
        </w:rPr>
        <w:tab/>
      </w:r>
      <w:r w:rsidRPr="00AA0453">
        <w:rPr>
          <w:rStyle w:val="None"/>
          <w:rFonts w:ascii="Georgia" w:hAnsi="Georgia"/>
          <w:i/>
          <w:iCs/>
        </w:rPr>
        <w:t>See</w:t>
      </w:r>
    </w:p>
    <w:p w14:paraId="08C73054" w14:textId="77777777" w:rsidR="00E9398D" w:rsidRPr="00AA0453" w:rsidRDefault="00E9398D" w:rsidP="00EA1B28">
      <w:pPr>
        <w:pStyle w:val="Rule"/>
        <w:rPr>
          <w:rStyle w:val="None"/>
          <w:rFonts w:eastAsia="Georgia" w:cs="Georgia"/>
        </w:rPr>
      </w:pPr>
      <w:r w:rsidRPr="00AA0453">
        <w:rPr>
          <w:rStyle w:val="None"/>
          <w:i/>
          <w:iCs/>
        </w:rPr>
        <w:t>See</w:t>
      </w:r>
      <w:r w:rsidRPr="00AA0453">
        <w:rPr>
          <w:rStyle w:val="None"/>
        </w:rPr>
        <w:t> is used when an authority does not directly state but clearly supports the proposition. </w:t>
      </w:r>
      <w:r w:rsidRPr="00AA0453">
        <w:rPr>
          <w:rStyle w:val="None"/>
          <w:i/>
          <w:iCs/>
        </w:rPr>
        <w:t>See </w:t>
      </w:r>
      <w:r w:rsidRPr="00AA0453">
        <w:rPr>
          <w:rStyle w:val="None"/>
        </w:rPr>
        <w:t>is used instead of no signal when an inferential step is required to connect the proposition to the authority cited.</w:t>
      </w:r>
    </w:p>
    <w:p w14:paraId="01B41E55"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5C95AD8D" w14:textId="262FCFC8" w:rsidR="00E9398D" w:rsidRPr="00AA0453" w:rsidRDefault="00E9398D" w:rsidP="00EA1B28">
      <w:pPr>
        <w:pStyle w:val="Example"/>
        <w:ind w:left="1440"/>
        <w:rPr>
          <w:rStyle w:val="None"/>
          <w:rFonts w:eastAsia="Georgia" w:cs="Georgia"/>
        </w:rPr>
      </w:pPr>
      <w:r w:rsidRPr="00AA0453">
        <w:rPr>
          <w:rStyle w:val="None"/>
        </w:rPr>
        <w:t xml:space="preserve">Citizens have less training than police on detecting crime and no authority to detain other individuals; thus, citizens’ duty to report crime is based on reasonable grounds to believe a crime has been committed, rather than the more exacting probable cause standard. </w:t>
      </w:r>
      <w:r w:rsidRPr="00AA0453">
        <w:rPr>
          <w:rStyle w:val="None"/>
          <w:i/>
          <w:iCs/>
        </w:rPr>
        <w:t>See</w:t>
      </w:r>
      <w:r w:rsidRPr="00AA0453">
        <w:rPr>
          <w:rStyle w:val="None"/>
        </w:rPr>
        <w:t xml:space="preserve"> </w:t>
      </w:r>
      <w:r w:rsidR="009D5976">
        <w:rPr>
          <w:rStyle w:val="None"/>
          <w:i/>
          <w:iCs/>
          <w:shd w:val="clear" w:color="auto" w:fill="FFFFFF"/>
        </w:rPr>
        <w:t>Lunsford v. W. States Life</w:t>
      </w:r>
      <w:r w:rsidRPr="00AA0453">
        <w:rPr>
          <w:rStyle w:val="None"/>
          <w:i/>
          <w:iCs/>
          <w:shd w:val="clear" w:color="auto" w:fill="FFFFFF"/>
        </w:rPr>
        <w:t xml:space="preserve"> Ins.</w:t>
      </w:r>
      <w:r w:rsidRPr="00AA0453">
        <w:rPr>
          <w:rStyle w:val="None"/>
          <w:shd w:val="clear" w:color="auto" w:fill="FFFFFF"/>
        </w:rPr>
        <w:t>, 919 P.2d 899, 901 (Colo. App. 1996) (interpreting the reasonable-grounds standard to be less than the probable-cause standard enabling police to make a warrantless arrest).</w:t>
      </w:r>
    </w:p>
    <w:p w14:paraId="752FEC69" w14:textId="76141062" w:rsidR="00E9398D" w:rsidRPr="00AA0453" w:rsidRDefault="00E9398D" w:rsidP="00EA1B28">
      <w:pPr>
        <w:pStyle w:val="Heading5"/>
        <w:rPr>
          <w:rStyle w:val="None"/>
          <w:rFonts w:ascii="Georgia" w:eastAsia="Georgia" w:hAnsi="Georgia" w:cs="Georgia"/>
        </w:rPr>
      </w:pPr>
      <w:r w:rsidRPr="00AA0453">
        <w:rPr>
          <w:rStyle w:val="None"/>
          <w:rFonts w:ascii="Georgia" w:hAnsi="Georgia"/>
        </w:rPr>
        <w:t>R4</w:t>
      </w:r>
      <w:r w:rsidR="00B32D40" w:rsidRPr="00AA0453">
        <w:rPr>
          <w:rStyle w:val="None"/>
          <w:rFonts w:ascii="Georgia" w:hAnsi="Georgia"/>
        </w:rPr>
        <w:t>.</w:t>
      </w:r>
      <w:r w:rsidRPr="00AA0453">
        <w:rPr>
          <w:rStyle w:val="None"/>
          <w:rFonts w:ascii="Georgia" w:hAnsi="Georgia"/>
        </w:rPr>
        <w:t xml:space="preserve">6.5 </w:t>
      </w:r>
      <w:r w:rsidR="00B32D40" w:rsidRPr="00AA0453">
        <w:rPr>
          <w:rStyle w:val="None"/>
          <w:rFonts w:ascii="Georgia" w:hAnsi="Georgia"/>
        </w:rPr>
        <w:tab/>
      </w:r>
      <w:r w:rsidRPr="00AA0453">
        <w:rPr>
          <w:rStyle w:val="None"/>
          <w:rFonts w:ascii="Georgia" w:hAnsi="Georgia"/>
          <w:i/>
          <w:iCs/>
        </w:rPr>
        <w:t>See also</w:t>
      </w:r>
    </w:p>
    <w:p w14:paraId="4A8D7174" w14:textId="0ADD8DF0" w:rsidR="00E9398D" w:rsidRPr="00AA0453" w:rsidRDefault="00E9398D" w:rsidP="00EA1B28">
      <w:pPr>
        <w:pStyle w:val="Rule"/>
        <w:rPr>
          <w:rStyle w:val="None"/>
          <w:rFonts w:eastAsia="Georgia" w:cs="Georgia"/>
        </w:rPr>
      </w:pPr>
      <w:r w:rsidRPr="00AA0453">
        <w:rPr>
          <w:rStyle w:val="None"/>
          <w:i/>
          <w:iCs/>
        </w:rPr>
        <w:t>See also</w:t>
      </w:r>
      <w:r w:rsidRPr="00AA0453">
        <w:rPr>
          <w:rStyle w:val="None"/>
        </w:rPr>
        <w:t xml:space="preserve"> is used for additional sources that support </w:t>
      </w:r>
      <w:r w:rsidR="00E030BE">
        <w:rPr>
          <w:rStyle w:val="None"/>
        </w:rPr>
        <w:t>an assertion</w:t>
      </w:r>
      <w:r w:rsidRPr="00AA0453">
        <w:rPr>
          <w:rStyle w:val="None"/>
        </w:rPr>
        <w:t>. Use </w:t>
      </w:r>
      <w:r w:rsidRPr="00AA0453">
        <w:rPr>
          <w:rStyle w:val="None"/>
          <w:i/>
          <w:iCs/>
        </w:rPr>
        <w:t>see also</w:t>
      </w:r>
      <w:r w:rsidRPr="00AA0453">
        <w:rPr>
          <w:rStyle w:val="None"/>
        </w:rPr>
        <w:t xml:space="preserve"> when authority that states or clearly supports the </w:t>
      </w:r>
      <w:r w:rsidR="00E030BE">
        <w:rPr>
          <w:rStyle w:val="None"/>
        </w:rPr>
        <w:t>assertion</w:t>
      </w:r>
      <w:r w:rsidRPr="00AA0453">
        <w:rPr>
          <w:rStyle w:val="None"/>
        </w:rPr>
        <w:t xml:space="preserve"> has already been cited or discussed. The use of a parenthetical is recommended </w:t>
      </w:r>
      <w:r w:rsidR="00E030BE">
        <w:rPr>
          <w:rStyle w:val="None"/>
        </w:rPr>
        <w:t>with</w:t>
      </w:r>
      <w:r w:rsidRPr="00AA0453">
        <w:rPr>
          <w:rStyle w:val="None"/>
        </w:rPr>
        <w:t> </w:t>
      </w:r>
      <w:r w:rsidRPr="00AA0453">
        <w:rPr>
          <w:rStyle w:val="None"/>
          <w:i/>
          <w:iCs/>
        </w:rPr>
        <w:t>see also</w:t>
      </w:r>
      <w:r w:rsidRPr="00AA0453">
        <w:rPr>
          <w:rStyle w:val="None"/>
        </w:rPr>
        <w:t>.</w:t>
      </w:r>
    </w:p>
    <w:p w14:paraId="6D2AAB7D"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2F464BFA" w14:textId="1D7A974B" w:rsidR="00E9398D" w:rsidRPr="00AA0453" w:rsidRDefault="00E9398D" w:rsidP="00EA1B28">
      <w:pPr>
        <w:pStyle w:val="Example"/>
        <w:ind w:left="1440"/>
        <w:rPr>
          <w:rStyle w:val="None"/>
          <w:rFonts w:eastAsia="Georgia" w:cs="Georgia"/>
        </w:rPr>
      </w:pPr>
      <w:r w:rsidRPr="00AA0453">
        <w:rPr>
          <w:rStyle w:val="None"/>
        </w:rPr>
        <w:t xml:space="preserve">Slayer statutes prevent killers from reaping rewards from committing homicide. </w:t>
      </w:r>
      <w:r w:rsidRPr="00AA0453">
        <w:rPr>
          <w:rStyle w:val="None"/>
          <w:i/>
          <w:iCs/>
        </w:rPr>
        <w:t xml:space="preserve">Lunsford v. </w:t>
      </w:r>
      <w:r w:rsidR="009D5976">
        <w:rPr>
          <w:rStyle w:val="None"/>
          <w:i/>
          <w:iCs/>
        </w:rPr>
        <w:t>W.</w:t>
      </w:r>
      <w:r w:rsidRPr="00AA0453">
        <w:rPr>
          <w:rStyle w:val="None"/>
          <w:i/>
          <w:iCs/>
        </w:rPr>
        <w:t xml:space="preserve"> States Life Ins.</w:t>
      </w:r>
      <w:r w:rsidRPr="00AA0453">
        <w:rPr>
          <w:rStyle w:val="None"/>
        </w:rPr>
        <w:t>, 908 P.2d 79, 83 (Colo. 1995)</w:t>
      </w:r>
      <w:r w:rsidR="009D5976">
        <w:rPr>
          <w:rStyle w:val="None"/>
        </w:rPr>
        <w:t xml:space="preserve"> (en banc)</w:t>
      </w:r>
      <w:r w:rsidRPr="00AA0453">
        <w:rPr>
          <w:rStyle w:val="None"/>
        </w:rPr>
        <w:t xml:space="preserve">; </w:t>
      </w:r>
      <w:r w:rsidRPr="00AA0453">
        <w:rPr>
          <w:rStyle w:val="None"/>
          <w:i/>
          <w:iCs/>
        </w:rPr>
        <w:t>see also</w:t>
      </w:r>
      <w:r w:rsidRPr="00AA0453">
        <w:rPr>
          <w:rStyle w:val="None"/>
        </w:rPr>
        <w:t xml:space="preserve"> </w:t>
      </w:r>
      <w:r w:rsidRPr="00AA0453">
        <w:rPr>
          <w:rStyle w:val="None"/>
          <w:i/>
          <w:iCs/>
        </w:rPr>
        <w:t>Bennett v. Allstate Ins. Co.</w:t>
      </w:r>
      <w:r w:rsidRPr="00AA0453">
        <w:rPr>
          <w:rStyle w:val="None"/>
        </w:rPr>
        <w:t>, 722 A.2d 115, 117 (N.J. Super. Ct. App. Div. 1998</w:t>
      </w:r>
      <w:r w:rsidR="00640AEC" w:rsidRPr="00AA0453">
        <w:rPr>
          <w:rStyle w:val="None"/>
        </w:rPr>
        <w:t>)</w:t>
      </w:r>
      <w:r w:rsidRPr="00AA0453">
        <w:rPr>
          <w:rStyle w:val="None"/>
        </w:rPr>
        <w:t xml:space="preserve"> (interpreting New Jersey’s slayer statute to mandate that “an intentional killer will not be permitted to benefit, directly or indirectly, from his wrongful act”).</w:t>
      </w:r>
    </w:p>
    <w:p w14:paraId="36DD91AF" w14:textId="7872E334" w:rsidR="00E9398D" w:rsidRPr="00AA0453" w:rsidRDefault="00E9398D" w:rsidP="00EA1B28">
      <w:pPr>
        <w:pStyle w:val="Heading5"/>
        <w:rPr>
          <w:rStyle w:val="None"/>
          <w:rFonts w:ascii="Georgia" w:eastAsia="Georgia" w:hAnsi="Georgia" w:cs="Georgia"/>
          <w:i/>
          <w:iCs/>
        </w:rPr>
      </w:pPr>
      <w:r w:rsidRPr="00AA0453">
        <w:rPr>
          <w:rStyle w:val="None"/>
          <w:rFonts w:ascii="Georgia" w:hAnsi="Georgia"/>
        </w:rPr>
        <w:t>R4.6.6</w:t>
      </w:r>
      <w:r w:rsidR="00DD7388" w:rsidRPr="00AA0453">
        <w:rPr>
          <w:rStyle w:val="None"/>
          <w:rFonts w:ascii="Georgia" w:hAnsi="Georgia"/>
        </w:rPr>
        <w:tab/>
      </w:r>
      <w:r w:rsidR="00DD7388" w:rsidRPr="00AA0453">
        <w:rPr>
          <w:rStyle w:val="None"/>
          <w:rFonts w:ascii="Georgia" w:hAnsi="Georgia"/>
        </w:rPr>
        <w:tab/>
      </w:r>
      <w:r w:rsidRPr="00AA0453">
        <w:rPr>
          <w:rStyle w:val="None"/>
          <w:rFonts w:ascii="Georgia" w:hAnsi="Georgia"/>
          <w:i/>
          <w:iCs/>
        </w:rPr>
        <w:t>Cf.</w:t>
      </w:r>
      <w:r w:rsidRPr="00AA0453">
        <w:rPr>
          <w:rStyle w:val="None"/>
        </w:rPr>
        <w:t xml:space="preserve"> </w:t>
      </w:r>
    </w:p>
    <w:p w14:paraId="6D2AB492" w14:textId="676FDEC2" w:rsidR="00E9398D" w:rsidRPr="00AA0453" w:rsidRDefault="00E9398D" w:rsidP="00EA1B28">
      <w:pPr>
        <w:pStyle w:val="Rule"/>
        <w:rPr>
          <w:rStyle w:val="None"/>
          <w:rFonts w:eastAsia="Georgia" w:cs="Georgia"/>
        </w:rPr>
      </w:pPr>
      <w:r w:rsidRPr="00AA0453">
        <w:rPr>
          <w:rStyle w:val="None"/>
          <w:i/>
          <w:iCs/>
        </w:rPr>
        <w:t>Cf.</w:t>
      </w:r>
      <w:r w:rsidRPr="00AA0453">
        <w:rPr>
          <w:rStyle w:val="None"/>
        </w:rPr>
        <w:t> </w:t>
      </w:r>
      <w:r w:rsidR="00E030BE">
        <w:rPr>
          <w:rStyle w:val="None"/>
        </w:rPr>
        <w:t xml:space="preserve">indicates </w:t>
      </w:r>
      <w:r w:rsidR="00B5047B">
        <w:rPr>
          <w:rStyle w:val="None"/>
        </w:rPr>
        <w:t xml:space="preserve">support by analogy to </w:t>
      </w:r>
      <w:r w:rsidR="00E030BE">
        <w:rPr>
          <w:rStyle w:val="None"/>
        </w:rPr>
        <w:t xml:space="preserve">the assertion. It may also be used </w:t>
      </w:r>
      <w:r w:rsidR="00B5047B">
        <w:rPr>
          <w:rStyle w:val="None"/>
        </w:rPr>
        <w:t>where the source is</w:t>
      </w:r>
      <w:r w:rsidR="00E030BE">
        <w:rPr>
          <w:rStyle w:val="None"/>
        </w:rPr>
        <w:t xml:space="preserve"> </w:t>
      </w:r>
      <w:r w:rsidRPr="00AA0453">
        <w:rPr>
          <w:rStyle w:val="None"/>
        </w:rPr>
        <w:t xml:space="preserve">related but requires some interpretive work to connect to </w:t>
      </w:r>
      <w:r w:rsidR="00B5047B">
        <w:rPr>
          <w:rStyle w:val="None"/>
        </w:rPr>
        <w:t>the assertion</w:t>
      </w:r>
      <w:r w:rsidRPr="00AA0453">
        <w:rPr>
          <w:rStyle w:val="None"/>
        </w:rPr>
        <w:t>.</w:t>
      </w:r>
      <w:r w:rsidR="00B5047B">
        <w:rPr>
          <w:rStyle w:val="None"/>
        </w:rPr>
        <w:t xml:space="preserve"> </w:t>
      </w:r>
      <w:r w:rsidR="00B5047B">
        <w:rPr>
          <w:rStyle w:val="None"/>
          <w:i/>
          <w:iCs/>
        </w:rPr>
        <w:t>Cf.</w:t>
      </w:r>
      <w:r w:rsidR="00B5047B">
        <w:rPr>
          <w:rStyle w:val="None"/>
        </w:rPr>
        <w:t xml:space="preserve"> may also be used within a string cit</w:t>
      </w:r>
      <w:r w:rsidR="00B817EC">
        <w:rPr>
          <w:rStyle w:val="None"/>
        </w:rPr>
        <w:t>ation</w:t>
      </w:r>
      <w:r w:rsidR="00B5047B">
        <w:rPr>
          <w:rStyle w:val="None"/>
        </w:rPr>
        <w:t xml:space="preserve"> to </w:t>
      </w:r>
      <w:r w:rsidR="00B817EC">
        <w:rPr>
          <w:rStyle w:val="None"/>
        </w:rPr>
        <w:t>provide another source that is analogous to the previously cited source in that string.</w:t>
      </w:r>
      <w:r w:rsidRPr="00AA0453">
        <w:rPr>
          <w:rStyle w:val="None"/>
        </w:rPr>
        <w:t xml:space="preserve"> Always use a parenthetical with </w:t>
      </w:r>
      <w:r w:rsidRPr="00AA0453">
        <w:rPr>
          <w:rStyle w:val="None"/>
          <w:i/>
          <w:iCs/>
        </w:rPr>
        <w:t>cf.</w:t>
      </w:r>
      <w:r w:rsidRPr="00AA0453">
        <w:rPr>
          <w:rStyle w:val="None"/>
        </w:rPr>
        <w:t> to explain the logical connection required for the argument.</w:t>
      </w:r>
    </w:p>
    <w:p w14:paraId="74B9E6F9" w14:textId="49C197DC"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00B817EC">
        <w:rPr>
          <w:rStyle w:val="None"/>
          <w:b/>
          <w:bCs/>
        </w:rPr>
        <w:t>s</w:t>
      </w:r>
      <w:r w:rsidRPr="00AA0453">
        <w:rPr>
          <w:rStyle w:val="None"/>
          <w:b/>
          <w:bCs/>
        </w:rPr>
        <w:t>:</w:t>
      </w:r>
      <w:r w:rsidRPr="00AA0453">
        <w:rPr>
          <w:rStyle w:val="None"/>
        </w:rPr>
        <w:t> </w:t>
      </w:r>
      <w:r w:rsidR="009D0752" w:rsidRPr="00AA0453">
        <w:rPr>
          <w:rStyle w:val="None"/>
          <w:rFonts w:eastAsia="Georgia" w:cs="Georgia"/>
          <w:color w:val="373739"/>
          <w:u w:color="373739"/>
          <w:shd w:val="clear" w:color="auto" w:fill="FFFFFF"/>
        </w:rPr>
        <w:t xml:space="preserve"> </w:t>
      </w:r>
    </w:p>
    <w:p w14:paraId="3EA13D12" w14:textId="137DD3C4" w:rsidR="00B817EC" w:rsidRPr="00B44756" w:rsidRDefault="009D0752" w:rsidP="00B44756">
      <w:pPr>
        <w:pStyle w:val="Example"/>
        <w:ind w:left="1440"/>
        <w:rPr>
          <w:rStyle w:val="None"/>
          <w:rFonts w:eastAsia="Georgia" w:cs="Georgia"/>
        </w:rPr>
      </w:pPr>
      <w:r w:rsidRPr="00AA0453">
        <w:rPr>
          <w:rStyle w:val="None"/>
          <w:rFonts w:eastAsia="Georgia" w:cs="Georgia"/>
          <w:color w:val="373739"/>
          <w:u w:color="373739"/>
          <w:shd w:val="clear" w:color="auto" w:fill="FFFFFF"/>
        </w:rPr>
        <w:t xml:space="preserve">Attorneys have an ethical duty of competence, but under Model Rule of Professional Conduct 1.1 comment 3, </w:t>
      </w:r>
      <w:r w:rsidR="007A0482">
        <w:rPr>
          <w:rStyle w:val="None"/>
          <w:rFonts w:eastAsia="Georgia" w:cs="Georgia"/>
          <w:color w:val="373739"/>
          <w:u w:color="373739"/>
          <w:shd w:val="clear" w:color="auto" w:fill="FFFFFF"/>
        </w:rPr>
        <w:t>that duty</w:t>
      </w:r>
      <w:r w:rsidRPr="00AA0453">
        <w:rPr>
          <w:rStyle w:val="None"/>
          <w:rFonts w:eastAsia="Georgia" w:cs="Georgia"/>
          <w:color w:val="373739"/>
          <w:u w:color="373739"/>
          <w:shd w:val="clear" w:color="auto" w:fill="FFFFFF"/>
        </w:rPr>
        <w:t xml:space="preserve"> </w:t>
      </w:r>
      <w:r w:rsidR="007A0482">
        <w:rPr>
          <w:rStyle w:val="None"/>
          <w:rFonts w:eastAsia="Georgia" w:cs="Georgia"/>
          <w:color w:val="373739"/>
          <w:u w:color="373739"/>
          <w:shd w:val="clear" w:color="auto" w:fill="FFFFFF"/>
        </w:rPr>
        <w:t>may be</w:t>
      </w:r>
      <w:r w:rsidRPr="00AA0453">
        <w:rPr>
          <w:rStyle w:val="None"/>
          <w:rFonts w:eastAsia="Georgia" w:cs="Georgia"/>
          <w:color w:val="373739"/>
          <w:u w:color="373739"/>
          <w:shd w:val="clear" w:color="auto" w:fill="FFFFFF"/>
        </w:rPr>
        <w:t xml:space="preserve"> relaxed in emergency situations. </w:t>
      </w:r>
      <w:r w:rsidRPr="00AA0453">
        <w:rPr>
          <w:rStyle w:val="None"/>
          <w:rFonts w:eastAsia="Georgia" w:cs="Georgia"/>
          <w:i/>
          <w:iCs/>
          <w:color w:val="373739"/>
          <w:u w:color="373739"/>
          <w:shd w:val="clear" w:color="auto" w:fill="FFFFFF"/>
        </w:rPr>
        <w:t>Cf. Carter v. Reese</w:t>
      </w:r>
      <w:r w:rsidRPr="00AA0453">
        <w:rPr>
          <w:rStyle w:val="None"/>
          <w:rFonts w:eastAsia="Georgia" w:cs="Georgia"/>
          <w:color w:val="373739"/>
          <w:u w:color="373739"/>
          <w:shd w:val="clear" w:color="auto" w:fill="FFFFFF"/>
        </w:rPr>
        <w:t>, 2016-Ohio-4559, 70 N.E.3d 478 (holding that Good Samaritan law protects from liability anyone giving medical or nonmedical emergency aid, not only healthcare workers providing medical aid).</w:t>
      </w:r>
    </w:p>
    <w:p w14:paraId="4AB0AD96" w14:textId="047416A7" w:rsidR="00B817EC" w:rsidRPr="00AA0453" w:rsidRDefault="00B817EC" w:rsidP="00B817EC">
      <w:pPr>
        <w:pStyle w:val="Example"/>
        <w:ind w:left="1440"/>
        <w:rPr>
          <w:rStyle w:val="None"/>
        </w:rPr>
      </w:pPr>
      <w:r w:rsidRPr="00AA0453">
        <w:rPr>
          <w:rStyle w:val="None"/>
        </w:rPr>
        <w:t xml:space="preserve">Slayer statutes seek to eliminate any financial incentive to commit murder by prohibiting insurance proceeds to the killer. </w:t>
      </w:r>
      <w:r w:rsidR="00B44756">
        <w:rPr>
          <w:rStyle w:val="None"/>
          <w:i/>
          <w:iCs/>
        </w:rPr>
        <w:t>E.g.</w:t>
      </w:r>
      <w:r w:rsidR="00B44756">
        <w:rPr>
          <w:rStyle w:val="None"/>
        </w:rPr>
        <w:t xml:space="preserve">, </w:t>
      </w:r>
      <w:r w:rsidRPr="00AA0453">
        <w:rPr>
          <w:rStyle w:val="None"/>
        </w:rPr>
        <w:t xml:space="preserve">Unif. Prob. Code § 2-803; </w:t>
      </w:r>
      <w:r w:rsidRPr="007A0482">
        <w:rPr>
          <w:rStyle w:val="None"/>
          <w:i/>
          <w:iCs/>
        </w:rPr>
        <w:t>cf.</w:t>
      </w:r>
      <w:r w:rsidRPr="00AA0453">
        <w:rPr>
          <w:rStyle w:val="None"/>
        </w:rPr>
        <w:t xml:space="preserve"> N.Y. Exec. Law § 632-a (2020) (seizing profits from publications by certain incarcerated felons).</w:t>
      </w:r>
    </w:p>
    <w:p w14:paraId="479FD761" w14:textId="77777777" w:rsidR="00B817EC" w:rsidRPr="00AA0453" w:rsidRDefault="00B817EC" w:rsidP="00EA1B28">
      <w:pPr>
        <w:pStyle w:val="Body"/>
        <w:spacing w:before="150" w:after="90"/>
        <w:rPr>
          <w:rStyle w:val="None"/>
          <w:rFonts w:ascii="Georgia" w:eastAsia="Georgia" w:hAnsi="Georgia" w:cs="Georgia"/>
          <w:lang w:val="en-US"/>
        </w:rPr>
      </w:pPr>
    </w:p>
    <w:p w14:paraId="649A4DA2" w14:textId="2CEC1578" w:rsidR="00E9398D" w:rsidRPr="00AA0453" w:rsidRDefault="00E9398D" w:rsidP="00EA1B28">
      <w:pPr>
        <w:pStyle w:val="Heading5"/>
        <w:rPr>
          <w:rFonts w:ascii="Georgia" w:hAnsi="Georgia"/>
        </w:rPr>
      </w:pPr>
      <w:r w:rsidRPr="00AA0453">
        <w:rPr>
          <w:rFonts w:ascii="Georgia" w:hAnsi="Georgia"/>
        </w:rPr>
        <w:t xml:space="preserve">R4.6.7 </w:t>
      </w:r>
      <w:r w:rsidR="00DD7388" w:rsidRPr="00AA0453">
        <w:rPr>
          <w:rFonts w:ascii="Georgia" w:hAnsi="Georgia"/>
        </w:rPr>
        <w:tab/>
      </w:r>
      <w:r w:rsidRPr="00AA0453">
        <w:rPr>
          <w:rFonts w:ascii="Georgia" w:hAnsi="Georgia"/>
          <w:i/>
          <w:iCs/>
        </w:rPr>
        <w:t>See generally</w:t>
      </w:r>
    </w:p>
    <w:p w14:paraId="0EA11EF0" w14:textId="77777777" w:rsidR="00E9398D" w:rsidRPr="00AA0453" w:rsidRDefault="00E9398D" w:rsidP="00EA1B28">
      <w:pPr>
        <w:pStyle w:val="Body"/>
        <w:spacing w:before="150" w:after="90"/>
        <w:ind w:left="1080"/>
        <w:rPr>
          <w:rStyle w:val="None"/>
          <w:rFonts w:ascii="Georgia" w:eastAsia="Georgia" w:hAnsi="Georgia" w:cs="Georgia"/>
          <w:lang w:val="en-US"/>
        </w:rPr>
      </w:pPr>
      <w:r w:rsidRPr="00AA0453">
        <w:rPr>
          <w:rStyle w:val="None"/>
          <w:rFonts w:ascii="Georgia" w:hAnsi="Georgia"/>
          <w:i/>
          <w:iCs/>
          <w:lang w:val="en-US"/>
        </w:rPr>
        <w:t>See generally</w:t>
      </w:r>
      <w:r w:rsidRPr="00AA0453">
        <w:rPr>
          <w:rStyle w:val="None"/>
          <w:rFonts w:ascii="Georgia" w:hAnsi="Georgia"/>
          <w:lang w:val="en-US"/>
        </w:rPr>
        <w:t> is used for useful background material. It is recommended that you use a parenthetical with </w:t>
      </w:r>
      <w:r w:rsidRPr="00AA0453">
        <w:rPr>
          <w:rStyle w:val="None"/>
          <w:rFonts w:ascii="Georgia" w:hAnsi="Georgia"/>
          <w:i/>
          <w:iCs/>
          <w:lang w:val="en-US"/>
        </w:rPr>
        <w:t>see generally</w:t>
      </w:r>
      <w:r w:rsidRPr="00AA0453">
        <w:rPr>
          <w:rStyle w:val="None"/>
          <w:rFonts w:ascii="Georgia" w:hAnsi="Georgia"/>
          <w:lang w:val="en-US"/>
        </w:rPr>
        <w:t> in order to explain the authority’s relevance to the proposition.</w:t>
      </w:r>
    </w:p>
    <w:p w14:paraId="70B2465A"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5B25F240" w14:textId="5E273824" w:rsidR="00E9398D" w:rsidRDefault="00E9398D" w:rsidP="00124906">
      <w:pPr>
        <w:pStyle w:val="Example"/>
        <w:ind w:left="1440"/>
        <w:rPr>
          <w:rStyle w:val="None"/>
          <w:color w:val="212121"/>
          <w:u w:color="212121"/>
          <w:shd w:val="clear" w:color="auto" w:fill="FFFFFF"/>
        </w:rPr>
      </w:pPr>
      <w:r w:rsidRPr="00AA0453">
        <w:rPr>
          <w:rStyle w:val="None"/>
          <w:rFonts w:eastAsia="Georgia" w:cs="Georgia"/>
          <w:color w:val="373739"/>
          <w:u w:color="373739"/>
          <w:shd w:val="clear" w:color="auto" w:fill="FFFFFF"/>
        </w:rPr>
        <w:t xml:space="preserve">The slayer rule is a product of common law principles prohibiting killers from profiting their crimes. </w:t>
      </w:r>
      <w:r w:rsidRPr="00AA0453">
        <w:rPr>
          <w:rStyle w:val="None"/>
          <w:i/>
          <w:iCs/>
          <w:color w:val="373739"/>
          <w:u w:color="373739"/>
          <w:shd w:val="clear" w:color="auto" w:fill="FFFFFF"/>
        </w:rPr>
        <w:t xml:space="preserve">See generally </w:t>
      </w:r>
      <w:r w:rsidRPr="00AA0453">
        <w:rPr>
          <w:rStyle w:val="None"/>
          <w:color w:val="373739"/>
          <w:u w:color="373739"/>
          <w:shd w:val="clear" w:color="auto" w:fill="FFFFFF"/>
        </w:rPr>
        <w:t>Restatement (Third) of Restitution and Unjust Enrichment § 45(2) (Am. L. Inst. 2011) (“</w:t>
      </w:r>
      <w:r w:rsidRPr="00AA0453">
        <w:rPr>
          <w:rStyle w:val="None"/>
        </w:rPr>
        <w:t>A</w:t>
      </w:r>
      <w:r w:rsidRPr="00AA0453">
        <w:rPr>
          <w:rStyle w:val="None"/>
          <w:color w:val="212121"/>
          <w:u w:color="212121"/>
          <w:shd w:val="clear" w:color="auto" w:fill="FFFFFF"/>
        </w:rPr>
        <w:t xml:space="preserve"> slayer's acquisition, enlargement, or accelerated possession of an interest in property as a result of the victim's death constitutes unjust enrichment that the slayer will not be allowed to retain.”)</w:t>
      </w:r>
      <w:r w:rsidR="00124906" w:rsidRPr="00AA0453">
        <w:rPr>
          <w:rStyle w:val="None"/>
          <w:color w:val="212121"/>
          <w:u w:color="212121"/>
          <w:shd w:val="clear" w:color="auto" w:fill="FFFFFF"/>
        </w:rPr>
        <w:t>.</w:t>
      </w:r>
    </w:p>
    <w:p w14:paraId="21A1B737" w14:textId="77777777" w:rsidR="00133152" w:rsidRPr="00AA0453" w:rsidRDefault="00133152" w:rsidP="00124906">
      <w:pPr>
        <w:pStyle w:val="Example"/>
        <w:ind w:left="1440"/>
        <w:rPr>
          <w:rStyle w:val="None"/>
          <w:rFonts w:eastAsia="Georgia" w:cs="Georgia"/>
        </w:rPr>
      </w:pPr>
    </w:p>
    <w:p w14:paraId="1B1A118F" w14:textId="0924112E" w:rsidR="00DD7388" w:rsidRPr="00ED04F0" w:rsidRDefault="00E9398D" w:rsidP="00ED04F0">
      <w:pPr>
        <w:pStyle w:val="Heading4"/>
        <w:rPr>
          <w:rStyle w:val="None"/>
          <w:rFonts w:ascii="Georgia" w:hAnsi="Georgia"/>
        </w:rPr>
      </w:pPr>
      <w:r w:rsidRPr="00AA0453">
        <w:rPr>
          <w:rStyle w:val="None"/>
          <w:rFonts w:ascii="Georgia" w:hAnsi="Georgia"/>
        </w:rPr>
        <w:t>R4.</w:t>
      </w:r>
      <w:r w:rsidR="00DD7388" w:rsidRPr="00AA0453">
        <w:rPr>
          <w:rStyle w:val="None"/>
          <w:rFonts w:ascii="Georgia" w:hAnsi="Georgia"/>
        </w:rPr>
        <w:t>7</w:t>
      </w:r>
      <w:r w:rsidRPr="00AA0453">
        <w:rPr>
          <w:rStyle w:val="None"/>
          <w:rFonts w:ascii="Georgia" w:hAnsi="Georgia"/>
        </w:rPr>
        <w:t xml:space="preserve"> </w:t>
      </w:r>
      <w:r w:rsidR="00124906" w:rsidRPr="00AA0453">
        <w:rPr>
          <w:rStyle w:val="None"/>
          <w:rFonts w:ascii="Georgia" w:hAnsi="Georgia"/>
        </w:rPr>
        <w:tab/>
      </w:r>
      <w:r w:rsidR="00C621C6">
        <w:rPr>
          <w:rStyle w:val="None"/>
          <w:rFonts w:ascii="Georgia" w:hAnsi="Georgia"/>
        </w:rPr>
        <w:tab/>
      </w:r>
      <w:r w:rsidR="00DD7388" w:rsidRPr="00AA0453">
        <w:rPr>
          <w:rStyle w:val="None"/>
          <w:rFonts w:ascii="Georgia" w:hAnsi="Georgia"/>
        </w:rPr>
        <w:t xml:space="preserve">Signal </w:t>
      </w:r>
      <w:r w:rsidRPr="00AA0453">
        <w:rPr>
          <w:rStyle w:val="None"/>
          <w:rFonts w:ascii="Georgia" w:hAnsi="Georgia"/>
        </w:rPr>
        <w:t>for Comparison</w:t>
      </w:r>
      <w:r w:rsidR="00ED04F0">
        <w:rPr>
          <w:rStyle w:val="None"/>
          <w:rFonts w:ascii="Georgia" w:hAnsi="Georgia"/>
        </w:rPr>
        <w:t xml:space="preserve">: </w:t>
      </w:r>
      <w:r w:rsidR="00DD7388" w:rsidRPr="00AA0453">
        <w:rPr>
          <w:rStyle w:val="None"/>
          <w:rFonts w:ascii="Georgia" w:hAnsi="Georgia"/>
          <w:i/>
        </w:rPr>
        <w:t>Compare …  with …</w:t>
      </w:r>
      <w:r w:rsidR="00DD7388" w:rsidRPr="00AA0453">
        <w:rPr>
          <w:rStyle w:val="None"/>
          <w:rFonts w:ascii="Georgia" w:hAnsi="Georgia"/>
        </w:rPr>
        <w:t xml:space="preserve"> </w:t>
      </w:r>
    </w:p>
    <w:p w14:paraId="0B0FE559" w14:textId="076F5A45" w:rsidR="00E9398D" w:rsidRPr="00AA0453" w:rsidRDefault="00E9398D" w:rsidP="00EA1B28">
      <w:pPr>
        <w:pStyle w:val="Rule"/>
        <w:rPr>
          <w:rStyle w:val="None"/>
        </w:rPr>
      </w:pPr>
      <w:r w:rsidRPr="00AA0453">
        <w:rPr>
          <w:rStyle w:val="None"/>
          <w:i/>
          <w:iCs/>
        </w:rPr>
        <w:t>Compare … with …</w:t>
      </w:r>
      <w:r w:rsidRPr="00AA0453">
        <w:rPr>
          <w:rStyle w:val="None"/>
        </w:rPr>
        <w:t xml:space="preserve"> is used when the relationship of multiple authorities will demonstrate or offer support for the proposition. It is highly recommended that each authority in the comparison be explained with a parenthetical in order to make the relationship and argument clear to the reader. </w:t>
      </w:r>
    </w:p>
    <w:p w14:paraId="7BDE308A" w14:textId="7DFA9713" w:rsidR="00E9398D" w:rsidRPr="00AA0453" w:rsidRDefault="00E9398D" w:rsidP="00EA1B28">
      <w:pPr>
        <w:pStyle w:val="Rule"/>
        <w:rPr>
          <w:rStyle w:val="None"/>
          <w:rFonts w:eastAsia="Georgia" w:cs="Georgia"/>
        </w:rPr>
      </w:pPr>
      <w:r w:rsidRPr="00AA0453">
        <w:rPr>
          <w:rStyle w:val="None"/>
        </w:rPr>
        <w:t>Each portion of the </w:t>
      </w:r>
      <w:r w:rsidRPr="00AA0453">
        <w:rPr>
          <w:rStyle w:val="None"/>
          <w:i/>
          <w:iCs/>
        </w:rPr>
        <w:t xml:space="preserve">compare </w:t>
      </w:r>
      <w:r w:rsidRPr="00AA0453">
        <w:rPr>
          <w:rStyle w:val="None"/>
        </w:rPr>
        <w:t xml:space="preserve">…  </w:t>
      </w:r>
      <w:r w:rsidRPr="00AA0453">
        <w:rPr>
          <w:rStyle w:val="None"/>
          <w:i/>
          <w:iCs/>
        </w:rPr>
        <w:t>with</w:t>
      </w:r>
      <w:r w:rsidRPr="00AA0453">
        <w:rPr>
          <w:rStyle w:val="None"/>
        </w:rPr>
        <w:t xml:space="preserve"> … </w:t>
      </w:r>
      <w:r w:rsidRPr="00AA0453">
        <w:rPr>
          <w:rStyle w:val="None"/>
          <w:i/>
          <w:iCs/>
        </w:rPr>
        <w:t> </w:t>
      </w:r>
      <w:r w:rsidRPr="00AA0453">
        <w:rPr>
          <w:rStyle w:val="None"/>
        </w:rPr>
        <w:t xml:space="preserve">signal may contain multiple sources. Separate these sources using commas and italicized </w:t>
      </w:r>
      <w:r w:rsidRPr="00AA0453">
        <w:rPr>
          <w:rStyle w:val="None"/>
          <w:i/>
          <w:iCs/>
        </w:rPr>
        <w:t>and</w:t>
      </w:r>
      <w:r w:rsidRPr="00AA0453">
        <w:rPr>
          <w:rStyle w:val="None"/>
        </w:rPr>
        <w:t xml:space="preserve"> between the penultimate and ultimate citation in the list. </w:t>
      </w:r>
    </w:p>
    <w:p w14:paraId="7D459AEB"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15F91A97" w14:textId="7EDC6812" w:rsidR="00E9398D" w:rsidRPr="00AA0453" w:rsidRDefault="00E9398D" w:rsidP="00124906">
      <w:pPr>
        <w:pStyle w:val="Example"/>
        <w:ind w:left="1440"/>
        <w:rPr>
          <w:rStyle w:val="None"/>
        </w:rPr>
      </w:pPr>
      <w:r w:rsidRPr="00AA0453">
        <w:rPr>
          <w:rStyle w:val="None"/>
        </w:rPr>
        <w:t>The 20th Century saw sweeping changes in the definition and scope of the Due Process Clause. </w:t>
      </w:r>
      <w:r w:rsidRPr="00AA0453">
        <w:rPr>
          <w:rStyle w:val="None"/>
          <w:i/>
          <w:iCs/>
        </w:rPr>
        <w:t>Compare</w:t>
      </w:r>
      <w:r w:rsidRPr="00AA0453">
        <w:rPr>
          <w:rStyle w:val="None"/>
        </w:rPr>
        <w:t> </w:t>
      </w:r>
      <w:r w:rsidRPr="00AA0453">
        <w:rPr>
          <w:rStyle w:val="None"/>
          <w:i/>
          <w:iCs/>
        </w:rPr>
        <w:t>Lochner v. New York</w:t>
      </w:r>
      <w:r w:rsidRPr="00AA0453">
        <w:rPr>
          <w:rStyle w:val="None"/>
        </w:rPr>
        <w:t>, 198 U.S. 45 (1905) (showing the Supreme Court’s historical interpretation of the Due Process Clause as solely protecting an individual’s right to</w:t>
      </w:r>
      <w:r w:rsidR="00124906" w:rsidRPr="00AA0453">
        <w:rPr>
          <w:rStyle w:val="None"/>
        </w:rPr>
        <w:t xml:space="preserve"> </w:t>
      </w:r>
      <w:r w:rsidRPr="00AA0453">
        <w:rPr>
          <w:rStyle w:val="None"/>
        </w:rPr>
        <w:t>contr</w:t>
      </w:r>
      <w:r w:rsidR="00124906" w:rsidRPr="00AA0453">
        <w:rPr>
          <w:rStyle w:val="None"/>
        </w:rPr>
        <w:t xml:space="preserve">act), </w:t>
      </w:r>
      <w:r w:rsidRPr="00AA0453">
        <w:rPr>
          <w:rStyle w:val="None"/>
          <w:i/>
          <w:iCs/>
        </w:rPr>
        <w:t>with</w:t>
      </w:r>
      <w:r w:rsidR="00124906" w:rsidRPr="00AA0453">
        <w:rPr>
          <w:rStyle w:val="None"/>
        </w:rPr>
        <w:t xml:space="preserve"> </w:t>
      </w:r>
      <w:r w:rsidRPr="00AA0453">
        <w:rPr>
          <w:rStyle w:val="None"/>
          <w:i/>
          <w:iCs/>
        </w:rPr>
        <w:t>McDonald v. Chicago</w:t>
      </w:r>
      <w:r w:rsidRPr="00AA0453">
        <w:rPr>
          <w:rStyle w:val="None"/>
        </w:rPr>
        <w:t>, 561 U.S. 742 (2010) (incorporating the Second Amendment using the Due Process Clause), </w:t>
      </w:r>
      <w:r w:rsidRPr="00AA0453">
        <w:rPr>
          <w:rStyle w:val="None"/>
          <w:i/>
          <w:iCs/>
        </w:rPr>
        <w:t>BMW of North America, Inc. v. Gore</w:t>
      </w:r>
      <w:r w:rsidRPr="00AA0453">
        <w:rPr>
          <w:rStyle w:val="None"/>
        </w:rPr>
        <w:t>, 517 U.S. 559 (1996) (utilizing the Due Process Clause to reduce punitive damages), </w:t>
      </w:r>
      <w:r w:rsidRPr="00AA0453">
        <w:rPr>
          <w:rStyle w:val="None"/>
          <w:i/>
          <w:iCs/>
        </w:rPr>
        <w:t>and</w:t>
      </w:r>
      <w:r w:rsidRPr="00AA0453">
        <w:rPr>
          <w:rStyle w:val="None"/>
        </w:rPr>
        <w:t> </w:t>
      </w:r>
      <w:r w:rsidRPr="00AA0453">
        <w:rPr>
          <w:rStyle w:val="None"/>
          <w:i/>
          <w:iCs/>
        </w:rPr>
        <w:t>Dolan v. City of Tigard</w:t>
      </w:r>
      <w:r w:rsidRPr="00AA0453">
        <w:rPr>
          <w:rStyle w:val="None"/>
        </w:rPr>
        <w:t>, 512 U.S. 374 (1994) (limiting the zoning and ordinance powers of local governments under the Due Process Clause).</w:t>
      </w:r>
    </w:p>
    <w:p w14:paraId="5D6CAB2E" w14:textId="0B9D33B4" w:rsidR="005A2A94" w:rsidRPr="00AA0453" w:rsidRDefault="005A2A94" w:rsidP="00EA1B28">
      <w:pPr>
        <w:pStyle w:val="Rule"/>
        <w:rPr>
          <w:rStyle w:val="None"/>
        </w:rPr>
      </w:pPr>
      <w:r w:rsidRPr="00AA0453">
        <w:rPr>
          <w:rStyle w:val="None"/>
        </w:rPr>
        <w:t xml:space="preserve">Insert a comma before </w:t>
      </w:r>
      <w:r w:rsidRPr="00AA0453">
        <w:rPr>
          <w:rStyle w:val="None"/>
          <w:i/>
          <w:iCs/>
        </w:rPr>
        <w:t>with</w:t>
      </w:r>
      <w:r w:rsidRPr="00AA0453">
        <w:rPr>
          <w:rStyle w:val="None"/>
        </w:rPr>
        <w:t>. As with all citation sentences, insert a period to conclude the citation sentence. It is theoretically possible to conclude with a semicolon and continue with more signals and citations in the order li</w:t>
      </w:r>
      <w:r w:rsidR="001D2B34">
        <w:rPr>
          <w:rStyle w:val="None"/>
        </w:rPr>
        <w:t>sted within this rule, but</w:t>
      </w:r>
      <w:r w:rsidRPr="00AA0453">
        <w:rPr>
          <w:rStyle w:val="None"/>
        </w:rPr>
        <w:t xml:space="preserve"> probably not advisable. See our Indigo Inkling on string citations.</w:t>
      </w:r>
    </w:p>
    <w:p w14:paraId="5D71A23A" w14:textId="6E11783C" w:rsidR="00DD7388" w:rsidRPr="00AA0453" w:rsidRDefault="00DD7388" w:rsidP="00EA1B28">
      <w:pPr>
        <w:pStyle w:val="Example"/>
        <w:rPr>
          <w:rStyle w:val="None"/>
        </w:rPr>
      </w:pPr>
    </w:p>
    <w:p w14:paraId="107DE175" w14:textId="2DEB361F" w:rsidR="00E9398D" w:rsidRPr="00AA0453" w:rsidRDefault="00E9398D" w:rsidP="00EA1B28">
      <w:pPr>
        <w:pStyle w:val="Heading4"/>
        <w:rPr>
          <w:rStyle w:val="None"/>
          <w:rFonts w:ascii="Georgia" w:hAnsi="Georgia"/>
          <w:sz w:val="26"/>
          <w:szCs w:val="26"/>
        </w:rPr>
      </w:pPr>
      <w:r w:rsidRPr="00AA0453">
        <w:rPr>
          <w:rStyle w:val="None"/>
          <w:rFonts w:ascii="Georgia" w:hAnsi="Georgia"/>
          <w:sz w:val="26"/>
          <w:szCs w:val="26"/>
        </w:rPr>
        <w:t>R4.</w:t>
      </w:r>
      <w:r w:rsidR="00640AEC" w:rsidRPr="00AA0453">
        <w:rPr>
          <w:rStyle w:val="None"/>
          <w:rFonts w:ascii="Georgia" w:hAnsi="Georgia"/>
          <w:sz w:val="26"/>
          <w:szCs w:val="26"/>
        </w:rPr>
        <w:t>8</w:t>
      </w:r>
      <w:r w:rsidRPr="00AA0453">
        <w:rPr>
          <w:rStyle w:val="Heading4Char"/>
          <w:rFonts w:ascii="Georgia" w:hAnsi="Georgia"/>
          <w:sz w:val="26"/>
          <w:szCs w:val="26"/>
        </w:rPr>
        <w:tab/>
      </w:r>
      <w:r w:rsidRPr="00AA0453">
        <w:rPr>
          <w:rStyle w:val="None"/>
          <w:rFonts w:ascii="Georgia" w:hAnsi="Georgia"/>
          <w:sz w:val="26"/>
          <w:szCs w:val="26"/>
        </w:rPr>
        <w:t>Signals for Contradictory Authority</w:t>
      </w:r>
    </w:p>
    <w:p w14:paraId="3D856D56" w14:textId="77777777" w:rsidR="008615E2" w:rsidRPr="00AA0453" w:rsidRDefault="008615E2" w:rsidP="00EA1B28"/>
    <w:p w14:paraId="483F0DBC" w14:textId="035C1377" w:rsidR="00E9398D" w:rsidRPr="00AA0453" w:rsidRDefault="008615E2" w:rsidP="00EA1B28">
      <w:pPr>
        <w:pStyle w:val="Heading5"/>
        <w:rPr>
          <w:rStyle w:val="None"/>
          <w:rFonts w:ascii="Georgia" w:eastAsia="Georgia" w:hAnsi="Georgia" w:cs="Georgia"/>
        </w:rPr>
      </w:pPr>
      <w:r w:rsidRPr="00AA0453">
        <w:rPr>
          <w:rStyle w:val="None"/>
          <w:rFonts w:ascii="Georgia" w:hAnsi="Georgia"/>
        </w:rPr>
        <w:t>R</w:t>
      </w:r>
      <w:r w:rsidR="00B35379" w:rsidRPr="00AA0453">
        <w:rPr>
          <w:rStyle w:val="None"/>
          <w:rFonts w:ascii="Georgia" w:hAnsi="Georgia"/>
        </w:rPr>
        <w:t>4.</w:t>
      </w:r>
      <w:r w:rsidRPr="00AA0453">
        <w:rPr>
          <w:rStyle w:val="None"/>
          <w:rFonts w:ascii="Georgia" w:hAnsi="Georgia"/>
        </w:rPr>
        <w:t>8.1</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i/>
          <w:iCs/>
        </w:rPr>
        <w:t>Contra</w:t>
      </w:r>
    </w:p>
    <w:p w14:paraId="35FEC308" w14:textId="77777777" w:rsidR="00E9398D" w:rsidRPr="00AA0453" w:rsidRDefault="00E9398D" w:rsidP="00EA1B28">
      <w:pPr>
        <w:pStyle w:val="Body"/>
        <w:spacing w:before="150" w:after="90"/>
        <w:ind w:left="1080"/>
        <w:rPr>
          <w:rStyle w:val="None"/>
          <w:rFonts w:ascii="Georgia" w:eastAsia="Georgia" w:hAnsi="Georgia" w:cs="Georgia"/>
          <w:lang w:val="en-US"/>
        </w:rPr>
      </w:pPr>
      <w:r w:rsidRPr="00AA0453">
        <w:rPr>
          <w:rStyle w:val="None"/>
          <w:rFonts w:ascii="Georgia" w:hAnsi="Georgia"/>
          <w:i/>
          <w:iCs/>
          <w:lang w:val="en-US"/>
        </w:rPr>
        <w:t>Contra</w:t>
      </w:r>
      <w:r w:rsidRPr="00AA0453">
        <w:rPr>
          <w:rStyle w:val="None"/>
          <w:rFonts w:ascii="Georgia" w:hAnsi="Georgia"/>
          <w:lang w:val="en-US"/>
        </w:rPr>
        <w:t> is used when a cited authority directly conflicts with the proposition it follows. </w:t>
      </w:r>
      <w:r w:rsidRPr="00AA0453">
        <w:rPr>
          <w:rStyle w:val="None"/>
          <w:rFonts w:ascii="Georgia" w:hAnsi="Georgia"/>
          <w:i/>
          <w:iCs/>
          <w:lang w:val="en-US"/>
        </w:rPr>
        <w:t>Contra</w:t>
      </w:r>
      <w:r w:rsidRPr="00AA0453">
        <w:rPr>
          <w:rStyle w:val="None"/>
          <w:rFonts w:ascii="Georgia" w:hAnsi="Georgia"/>
          <w:lang w:val="en-US"/>
        </w:rPr>
        <w:t> is the opposite signal to no signal.</w:t>
      </w:r>
    </w:p>
    <w:p w14:paraId="600B6CF0" w14:textId="315F1B57" w:rsidR="00D569D1" w:rsidRPr="00AA0453" w:rsidRDefault="00E9398D" w:rsidP="00EA1B28">
      <w:pPr>
        <w:pStyle w:val="Example"/>
        <w:ind w:left="1440"/>
        <w:rPr>
          <w:rStyle w:val="None"/>
        </w:rPr>
      </w:pPr>
      <w:r w:rsidRPr="00AA0453">
        <w:rPr>
          <w:rStyle w:val="None"/>
          <w:b/>
          <w:bCs/>
        </w:rPr>
        <w:t>Example</w:t>
      </w:r>
      <w:r w:rsidR="00D569D1" w:rsidRPr="00AA0453">
        <w:rPr>
          <w:rStyle w:val="None"/>
          <w:b/>
          <w:bCs/>
        </w:rPr>
        <w:t>s</w:t>
      </w:r>
      <w:r w:rsidRPr="00AA0453">
        <w:rPr>
          <w:rStyle w:val="None"/>
          <w:b/>
          <w:bCs/>
        </w:rPr>
        <w:t>:</w:t>
      </w:r>
      <w:r w:rsidRPr="00AA0453">
        <w:rPr>
          <w:rStyle w:val="None"/>
        </w:rPr>
        <w:t> </w:t>
      </w:r>
    </w:p>
    <w:p w14:paraId="7E5FF8AA" w14:textId="332D93AB" w:rsidR="00E9398D" w:rsidRPr="00AA0453" w:rsidRDefault="00E9398D" w:rsidP="00EA1B28">
      <w:pPr>
        <w:pStyle w:val="Example"/>
        <w:ind w:left="1440"/>
        <w:rPr>
          <w:rStyle w:val="None"/>
        </w:rPr>
      </w:pPr>
      <w:r w:rsidRPr="00AA0453">
        <w:rPr>
          <w:rStyle w:val="None"/>
          <w:i/>
          <w:iCs/>
        </w:rPr>
        <w:t>The Bluebook</w:t>
      </w:r>
      <w:r w:rsidRPr="00AA0453">
        <w:rPr>
          <w:rStyle w:val="None"/>
        </w:rPr>
        <w:t xml:space="preserve"> efficiently formulates and expresses the rules of legal citation for a variety of audiences. </w:t>
      </w:r>
      <w:r w:rsidR="00C97E11" w:rsidRPr="00AA0453">
        <w:rPr>
          <w:rStyle w:val="None"/>
        </w:rPr>
        <w:t xml:space="preserve">David Ziff, </w:t>
      </w:r>
      <w:r w:rsidR="00C97E11" w:rsidRPr="00AA0453">
        <w:rPr>
          <w:rStyle w:val="None"/>
          <w:i/>
          <w:iCs/>
        </w:rPr>
        <w:t>The Worst System of Citation Except for All the Others</w:t>
      </w:r>
      <w:r w:rsidR="00C97E11">
        <w:rPr>
          <w:rStyle w:val="None"/>
        </w:rPr>
        <w:t>, 66 J. Legal</w:t>
      </w:r>
      <w:r w:rsidR="00C97E11" w:rsidRPr="00AA0453">
        <w:rPr>
          <w:rStyle w:val="None"/>
        </w:rPr>
        <w:t xml:space="preserve"> Educ. 668</w:t>
      </w:r>
      <w:r w:rsidR="00C97E11">
        <w:rPr>
          <w:rStyle w:val="None"/>
        </w:rPr>
        <w:t>, 669</w:t>
      </w:r>
      <w:r w:rsidR="00C97E11" w:rsidRPr="00AA0453">
        <w:rPr>
          <w:rStyle w:val="None"/>
        </w:rPr>
        <w:t xml:space="preserve"> (2017)</w:t>
      </w:r>
      <w:r w:rsidR="00C97E11">
        <w:rPr>
          <w:rStyle w:val="None"/>
        </w:rPr>
        <w:t xml:space="preserve"> </w:t>
      </w:r>
      <w:r w:rsidR="00C97E11" w:rsidRPr="00AA0453">
        <w:rPr>
          <w:rStyle w:val="None"/>
        </w:rPr>
        <w:t xml:space="preserve">(reviewing </w:t>
      </w:r>
      <w:r w:rsidR="00C97E11" w:rsidRPr="00AA0453">
        <w:rPr>
          <w:rStyle w:val="None"/>
          <w:i/>
          <w:iCs/>
        </w:rPr>
        <w:t>The Bluebook: A Uniform System of Citation</w:t>
      </w:r>
      <w:r w:rsidR="00C97E11" w:rsidRPr="00AA0453">
        <w:rPr>
          <w:rStyle w:val="None"/>
        </w:rPr>
        <w:t xml:space="preserve"> (Columbia L. Rev. Ass’n et al. eds</w:t>
      </w:r>
      <w:r w:rsidR="009520F9">
        <w:rPr>
          <w:rStyle w:val="None"/>
        </w:rPr>
        <w:t>.</w:t>
      </w:r>
      <w:bookmarkStart w:id="1" w:name="_GoBack"/>
      <w:bookmarkEnd w:id="1"/>
      <w:r w:rsidR="00C97E11" w:rsidRPr="00AA0453">
        <w:rPr>
          <w:rStyle w:val="None"/>
        </w:rPr>
        <w:t>, 20th ed. 2015)</w:t>
      </w:r>
      <w:r w:rsidR="00C97E11">
        <w:rPr>
          <w:rStyle w:val="None"/>
        </w:rPr>
        <w:t xml:space="preserve"> (“</w:t>
      </w:r>
      <w:r w:rsidR="00C97E11">
        <w:t xml:space="preserve">Perhaps </w:t>
      </w:r>
      <w:r w:rsidR="00C97E11" w:rsidRPr="00BD2A8C">
        <w:rPr>
          <w:i/>
          <w:iCs/>
        </w:rPr>
        <w:t>The Bluebook</w:t>
      </w:r>
      <w:r w:rsidR="00C97E11">
        <w:t xml:space="preserve"> survives because it’s not so terrible after all. Perhaps </w:t>
      </w:r>
      <w:r w:rsidR="00C97E11" w:rsidRPr="00BD2A8C">
        <w:rPr>
          <w:i/>
          <w:iCs/>
        </w:rPr>
        <w:t>The Bluebook</w:t>
      </w:r>
      <w:r w:rsidR="00C97E11">
        <w:t xml:space="preserve"> works quite well for the task it was designed to perform.”)</w:t>
      </w:r>
      <w:r w:rsidR="00C97E11" w:rsidRPr="00AA0453">
        <w:rPr>
          <w:rStyle w:val="None"/>
        </w:rPr>
        <w:t>.</w:t>
      </w:r>
      <w:r w:rsidR="00C97E11">
        <w:rPr>
          <w:rStyle w:val="None"/>
        </w:rPr>
        <w:t xml:space="preserve"> </w:t>
      </w:r>
      <w:r w:rsidRPr="00AA0453">
        <w:rPr>
          <w:rStyle w:val="None"/>
          <w:i/>
          <w:iCs/>
        </w:rPr>
        <w:t xml:space="preserve">Contra </w:t>
      </w:r>
      <w:r w:rsidRPr="00AA0453">
        <w:rPr>
          <w:rStyle w:val="None"/>
        </w:rPr>
        <w:t>Richard A. Posner, </w:t>
      </w:r>
      <w:r w:rsidRPr="00AA0453">
        <w:rPr>
          <w:rStyle w:val="None"/>
          <w:i/>
          <w:iCs/>
        </w:rPr>
        <w:t>The Bluebook Blues</w:t>
      </w:r>
      <w:r w:rsidRPr="00AA0453">
        <w:rPr>
          <w:rStyle w:val="None"/>
        </w:rPr>
        <w:t>, 120 Yale L.J. 950, 951 (2011) (“It is a monstrous growth, remote from the functional need for legal citation forms, that serves obscure needs of the legal culture and its student subculture.”)</w:t>
      </w:r>
      <w:r w:rsidR="006C4436">
        <w:rPr>
          <w:rStyle w:val="None"/>
        </w:rPr>
        <w:t>.</w:t>
      </w:r>
    </w:p>
    <w:p w14:paraId="79CA5997" w14:textId="67FF14D9" w:rsidR="00D569D1" w:rsidRPr="00AA0453" w:rsidRDefault="00D569D1" w:rsidP="00D569D1">
      <w:pPr>
        <w:pStyle w:val="Example"/>
        <w:ind w:left="1440"/>
        <w:rPr>
          <w:rStyle w:val="None"/>
        </w:rPr>
      </w:pPr>
      <w:r w:rsidRPr="00AA0453">
        <w:rPr>
          <w:rStyle w:val="None"/>
          <w:rFonts w:eastAsia="Georgia" w:cs="Georgia"/>
          <w:i/>
          <w:iCs/>
        </w:rPr>
        <w:t>The Bluebook</w:t>
      </w:r>
      <w:r w:rsidRPr="00AA0453">
        <w:rPr>
          <w:rStyle w:val="None"/>
          <w:rFonts w:eastAsia="Georgia" w:cs="Georgia"/>
        </w:rPr>
        <w:t xml:space="preserve"> is a “monstrous growth, remote from the functional need for legal citation forms</w:t>
      </w:r>
      <w:r w:rsidR="001474ED">
        <w:rPr>
          <w:rStyle w:val="None"/>
          <w:rFonts w:eastAsia="Georgia" w:cs="Georgia"/>
        </w:rPr>
        <w:t>.</w:t>
      </w:r>
      <w:r w:rsidRPr="00AA0453">
        <w:rPr>
          <w:rStyle w:val="None"/>
          <w:rFonts w:eastAsia="Georgia" w:cs="Georgia"/>
        </w:rPr>
        <w:t xml:space="preserve">” </w:t>
      </w:r>
      <w:r w:rsidRPr="00AA0453">
        <w:rPr>
          <w:rStyle w:val="None"/>
        </w:rPr>
        <w:t>Richard A. Posner, </w:t>
      </w:r>
      <w:r w:rsidRPr="00AA0453">
        <w:rPr>
          <w:rStyle w:val="None"/>
          <w:i/>
          <w:iCs/>
        </w:rPr>
        <w:t>The Bluebook Blues</w:t>
      </w:r>
      <w:r w:rsidRPr="00AA0453">
        <w:rPr>
          <w:rStyle w:val="None"/>
        </w:rPr>
        <w:t xml:space="preserve">, 120 Yale L.J. 950, 951 (2011). </w:t>
      </w:r>
      <w:r w:rsidRPr="00AA0453">
        <w:rPr>
          <w:rStyle w:val="None"/>
          <w:i/>
          <w:iCs/>
        </w:rPr>
        <w:t>Contra</w:t>
      </w:r>
      <w:r w:rsidRPr="00AA0453">
        <w:rPr>
          <w:rStyle w:val="None"/>
        </w:rPr>
        <w:t xml:space="preserve"> David Ziff, </w:t>
      </w:r>
      <w:r w:rsidRPr="00AA0453">
        <w:rPr>
          <w:rStyle w:val="None"/>
          <w:i/>
          <w:iCs/>
        </w:rPr>
        <w:t>The Worst System of Citation Except for All the Others</w:t>
      </w:r>
      <w:r w:rsidR="00C97E11">
        <w:rPr>
          <w:rStyle w:val="None"/>
        </w:rPr>
        <w:t>, 66 J. Legal</w:t>
      </w:r>
      <w:r w:rsidRPr="00AA0453">
        <w:rPr>
          <w:rStyle w:val="None"/>
        </w:rPr>
        <w:t xml:space="preserve"> Educ. 668</w:t>
      </w:r>
      <w:r w:rsidR="00C97E11">
        <w:rPr>
          <w:rStyle w:val="None"/>
        </w:rPr>
        <w:t>, 226</w:t>
      </w:r>
      <w:r w:rsidRPr="00AA0453">
        <w:rPr>
          <w:rStyle w:val="None"/>
        </w:rPr>
        <w:t xml:space="preserve"> (2017)</w:t>
      </w:r>
      <w:r w:rsidR="00963ABC">
        <w:rPr>
          <w:rStyle w:val="None"/>
        </w:rPr>
        <w:t xml:space="preserve"> </w:t>
      </w:r>
      <w:r w:rsidR="00963ABC" w:rsidRPr="00AA0453">
        <w:rPr>
          <w:rStyle w:val="None"/>
        </w:rPr>
        <w:t xml:space="preserve">(reviewing </w:t>
      </w:r>
      <w:r w:rsidR="00963ABC" w:rsidRPr="00AA0453">
        <w:rPr>
          <w:rStyle w:val="None"/>
          <w:i/>
          <w:iCs/>
        </w:rPr>
        <w:t>The Bluebook: A Uniform System of Citation</w:t>
      </w:r>
      <w:r w:rsidR="00963ABC" w:rsidRPr="00AA0453">
        <w:rPr>
          <w:rStyle w:val="None"/>
        </w:rPr>
        <w:t xml:space="preserve"> (Columbia L. Rev. Ass’n et al. eds</w:t>
      </w:r>
      <w:r w:rsidR="00E22053">
        <w:rPr>
          <w:rStyle w:val="None"/>
        </w:rPr>
        <w:t>.</w:t>
      </w:r>
      <w:r w:rsidR="00963ABC" w:rsidRPr="00AA0453">
        <w:rPr>
          <w:rStyle w:val="None"/>
        </w:rPr>
        <w:t>, 20th ed. 2015)</w:t>
      </w:r>
      <w:r w:rsidR="00E22053">
        <w:rPr>
          <w:rStyle w:val="None"/>
        </w:rPr>
        <w:t>)</w:t>
      </w:r>
      <w:r w:rsidR="005E6B14">
        <w:rPr>
          <w:rStyle w:val="None"/>
        </w:rPr>
        <w:t xml:space="preserve"> (</w:t>
      </w:r>
      <w:r w:rsidR="00BD2A8C">
        <w:rPr>
          <w:rStyle w:val="None"/>
        </w:rPr>
        <w:t>“</w:t>
      </w:r>
      <w:r w:rsidR="005E6B14">
        <w:t xml:space="preserve">Perhaps </w:t>
      </w:r>
      <w:r w:rsidR="005E6B14" w:rsidRPr="00BD2A8C">
        <w:rPr>
          <w:i/>
          <w:iCs/>
        </w:rPr>
        <w:t>The Bluebook</w:t>
      </w:r>
      <w:r w:rsidR="005E6B14">
        <w:t xml:space="preserve"> survives because it’s not so terrible after all. Perhaps </w:t>
      </w:r>
      <w:r w:rsidR="005E6B14" w:rsidRPr="00BD2A8C">
        <w:rPr>
          <w:i/>
          <w:iCs/>
        </w:rPr>
        <w:t>The Bluebook</w:t>
      </w:r>
      <w:r w:rsidR="005E6B14">
        <w:t xml:space="preserve"> works quite well for the task it was designed to perform</w:t>
      </w:r>
      <w:r w:rsidR="00BD2A8C">
        <w:t>.”)</w:t>
      </w:r>
      <w:r w:rsidRPr="00AA0453">
        <w:rPr>
          <w:rStyle w:val="None"/>
        </w:rPr>
        <w:t>.</w:t>
      </w:r>
    </w:p>
    <w:p w14:paraId="42D399D4" w14:textId="45A7BC9C" w:rsidR="00E9398D" w:rsidRPr="00AA0453" w:rsidRDefault="00E9398D" w:rsidP="00EA1B28">
      <w:pPr>
        <w:pStyle w:val="Heading5"/>
        <w:rPr>
          <w:rStyle w:val="None"/>
          <w:rFonts w:ascii="Georgia" w:eastAsia="Georgia" w:hAnsi="Georgia" w:cs="Georgia"/>
        </w:rPr>
      </w:pPr>
      <w:r w:rsidRPr="00AA0453">
        <w:rPr>
          <w:rStyle w:val="None"/>
          <w:rFonts w:ascii="Georgia" w:hAnsi="Georgia"/>
        </w:rPr>
        <w:t>R4</w:t>
      </w:r>
      <w:r w:rsidR="008615E2" w:rsidRPr="00AA0453">
        <w:rPr>
          <w:rStyle w:val="None"/>
          <w:rFonts w:ascii="Georgia" w:hAnsi="Georgia"/>
        </w:rPr>
        <w:t>.8.2</w:t>
      </w:r>
      <w:r w:rsidRPr="00AA0453">
        <w:rPr>
          <w:rStyle w:val="None"/>
          <w:rFonts w:ascii="Georgia" w:hAnsi="Georgia"/>
        </w:rPr>
        <w:t xml:space="preserve"> </w:t>
      </w:r>
      <w:r w:rsidR="00124906" w:rsidRPr="00AA0453">
        <w:rPr>
          <w:rStyle w:val="None"/>
          <w:rFonts w:ascii="Georgia" w:hAnsi="Georgia"/>
        </w:rPr>
        <w:tab/>
      </w:r>
      <w:r w:rsidRPr="00AA0453">
        <w:rPr>
          <w:rStyle w:val="None"/>
          <w:rFonts w:ascii="Georgia" w:hAnsi="Georgia"/>
          <w:i/>
          <w:iCs/>
        </w:rPr>
        <w:t>But see</w:t>
      </w:r>
    </w:p>
    <w:p w14:paraId="4AC12E76" w14:textId="77777777" w:rsidR="00E9398D" w:rsidRPr="00AA0453" w:rsidRDefault="00E9398D" w:rsidP="00EA1B28">
      <w:pPr>
        <w:pStyle w:val="Rule"/>
        <w:rPr>
          <w:rStyle w:val="None"/>
          <w:rFonts w:eastAsia="Georgia" w:cs="Georgia"/>
        </w:rPr>
      </w:pPr>
      <w:r w:rsidRPr="00AA0453">
        <w:rPr>
          <w:rStyle w:val="None"/>
          <w:i/>
          <w:iCs/>
        </w:rPr>
        <w:t>But see</w:t>
      </w:r>
      <w:r w:rsidRPr="00AA0453">
        <w:rPr>
          <w:rStyle w:val="None"/>
        </w:rPr>
        <w:t> is used for authority that, while not directly contradicting the main proposition, nonetheless clearly opposes it. </w:t>
      </w:r>
      <w:r w:rsidRPr="00AA0453">
        <w:rPr>
          <w:rStyle w:val="None"/>
          <w:i/>
          <w:iCs/>
        </w:rPr>
        <w:t>But see</w:t>
      </w:r>
      <w:r w:rsidRPr="00AA0453">
        <w:rPr>
          <w:rStyle w:val="None"/>
        </w:rPr>
        <w:t> is the opposite signal to </w:t>
      </w:r>
      <w:r w:rsidRPr="00AA0453">
        <w:rPr>
          <w:rStyle w:val="None"/>
          <w:i/>
          <w:iCs/>
        </w:rPr>
        <w:t>see</w:t>
      </w:r>
      <w:r w:rsidRPr="00AA0453">
        <w:rPr>
          <w:rStyle w:val="None"/>
        </w:rPr>
        <w:t>.</w:t>
      </w:r>
    </w:p>
    <w:p w14:paraId="7020338A" w14:textId="76A31A6A" w:rsidR="00E9398D" w:rsidRPr="00AA0453" w:rsidRDefault="00E9398D" w:rsidP="00EA1B28">
      <w:pPr>
        <w:pStyle w:val="Example"/>
        <w:ind w:left="1440"/>
        <w:rPr>
          <w:rStyle w:val="None"/>
        </w:rPr>
      </w:pPr>
      <w:r w:rsidRPr="00AA0453">
        <w:rPr>
          <w:rStyle w:val="None"/>
          <w:b/>
          <w:bCs/>
        </w:rPr>
        <w:t>Example:</w:t>
      </w:r>
      <w:r w:rsidRPr="00AA0453">
        <w:rPr>
          <w:rStyle w:val="None"/>
        </w:rPr>
        <w:t xml:space="preserve"> The Supreme Court noted in </w:t>
      </w:r>
      <w:r w:rsidRPr="00AA0453">
        <w:rPr>
          <w:rStyle w:val="None"/>
          <w:i/>
          <w:iCs/>
        </w:rPr>
        <w:t>Packingham v. North Carolina</w:t>
      </w:r>
      <w:r w:rsidRPr="00AA0453">
        <w:rPr>
          <w:rStyle w:val="None"/>
        </w:rPr>
        <w:t>, 137 S. Ct. 1730 (2017), that the internet functions as a public square. </w:t>
      </w:r>
      <w:r w:rsidRPr="00AA0453">
        <w:rPr>
          <w:rStyle w:val="None"/>
          <w:i/>
          <w:iCs/>
        </w:rPr>
        <w:t>But see</w:t>
      </w:r>
      <w:r w:rsidRPr="00AA0453">
        <w:rPr>
          <w:rStyle w:val="None"/>
        </w:rPr>
        <w:t> </w:t>
      </w:r>
      <w:r w:rsidRPr="00AA0453">
        <w:rPr>
          <w:rStyle w:val="None"/>
          <w:i/>
          <w:iCs/>
        </w:rPr>
        <w:t>Manhattan Cmty. Access Corp. v. Halleck</w:t>
      </w:r>
      <w:r w:rsidRPr="00AA0453">
        <w:rPr>
          <w:rStyle w:val="None"/>
        </w:rPr>
        <w:t>, 13o S. Ct. 1921 (2019) (holding that New York’s public access television channel is not a state actor bound by the First Amendment).</w:t>
      </w:r>
    </w:p>
    <w:p w14:paraId="1E662AB3" w14:textId="22D71C17" w:rsidR="00E9398D" w:rsidRPr="00AA0453" w:rsidRDefault="00E9398D" w:rsidP="00EA1B28">
      <w:pPr>
        <w:pStyle w:val="Heading5"/>
        <w:rPr>
          <w:rStyle w:val="None"/>
          <w:rFonts w:ascii="Georgia" w:eastAsia="Georgia" w:hAnsi="Georgia" w:cs="Georgia"/>
        </w:rPr>
      </w:pPr>
      <w:r w:rsidRPr="00AA0453">
        <w:rPr>
          <w:rStyle w:val="None"/>
          <w:rFonts w:ascii="Georgia" w:hAnsi="Georgia"/>
        </w:rPr>
        <w:t>R</w:t>
      </w:r>
      <w:r w:rsidR="00B35379" w:rsidRPr="00AA0453">
        <w:rPr>
          <w:rStyle w:val="None"/>
          <w:rFonts w:ascii="Georgia" w:hAnsi="Georgia"/>
        </w:rPr>
        <w:t>4.8.3</w:t>
      </w:r>
      <w:r w:rsidRPr="00AA0453">
        <w:rPr>
          <w:rStyle w:val="None"/>
          <w:rFonts w:ascii="Georgia" w:hAnsi="Georgia"/>
        </w:rPr>
        <w:tab/>
      </w:r>
      <w:r w:rsidR="00124906" w:rsidRPr="00AA0453">
        <w:rPr>
          <w:rStyle w:val="None"/>
          <w:rFonts w:ascii="Georgia" w:hAnsi="Georgia"/>
        </w:rPr>
        <w:tab/>
      </w:r>
      <w:r w:rsidRPr="00AA0453">
        <w:rPr>
          <w:rStyle w:val="None"/>
          <w:rFonts w:ascii="Georgia" w:hAnsi="Georgia"/>
          <w:i/>
          <w:iCs/>
        </w:rPr>
        <w:t>But cf.</w:t>
      </w:r>
    </w:p>
    <w:p w14:paraId="5080C85A" w14:textId="0A3E8ECE" w:rsidR="00E9398D" w:rsidRPr="00AA0453" w:rsidRDefault="0045211C" w:rsidP="00B35379">
      <w:pPr>
        <w:pStyle w:val="Rule"/>
        <w:rPr>
          <w:rStyle w:val="None"/>
          <w:rFonts w:eastAsia="Georgia" w:cs="Georgia"/>
        </w:rPr>
      </w:pPr>
      <w:r>
        <w:rPr>
          <w:rStyle w:val="None"/>
        </w:rPr>
        <w:t xml:space="preserve">Prepare yourself, and use this one sparingly: </w:t>
      </w:r>
      <w:r w:rsidR="00E9398D" w:rsidRPr="00AA0453">
        <w:rPr>
          <w:rStyle w:val="None"/>
          <w:i/>
          <w:iCs/>
        </w:rPr>
        <w:t>But cf.</w:t>
      </w:r>
      <w:r w:rsidR="00E9398D" w:rsidRPr="00AA0453">
        <w:rPr>
          <w:rStyle w:val="None"/>
        </w:rPr>
        <w:t> </w:t>
      </w:r>
      <w:r w:rsidR="00F85F2C">
        <w:rPr>
          <w:rStyle w:val="None"/>
        </w:rPr>
        <w:t xml:space="preserve">indicates that the cited source </w:t>
      </w:r>
      <w:r>
        <w:rPr>
          <w:rStyle w:val="None"/>
        </w:rPr>
        <w:t xml:space="preserve">supports an assertion that is </w:t>
      </w:r>
      <w:r w:rsidR="00E9398D" w:rsidRPr="00AA0453">
        <w:rPr>
          <w:rStyle w:val="None"/>
        </w:rPr>
        <w:t>similar to the opposite o</w:t>
      </w:r>
      <w:r w:rsidR="00B544C9">
        <w:rPr>
          <w:rStyle w:val="None"/>
        </w:rPr>
        <w:t>f the main assertion</w:t>
      </w:r>
      <w:r w:rsidR="00E9398D" w:rsidRPr="00AA0453">
        <w:rPr>
          <w:rStyle w:val="None"/>
        </w:rPr>
        <w:t>.</w:t>
      </w:r>
      <w:r w:rsidR="00B544C9">
        <w:rPr>
          <w:rStyle w:val="None"/>
        </w:rPr>
        <w:t xml:space="preserve"> It follows that</w:t>
      </w:r>
      <w:r w:rsidR="00E9398D" w:rsidRPr="00AA0453">
        <w:rPr>
          <w:rStyle w:val="None"/>
        </w:rPr>
        <w:t> </w:t>
      </w:r>
      <w:r w:rsidR="00E9398D" w:rsidRPr="00AA0453">
        <w:rPr>
          <w:rStyle w:val="None"/>
          <w:i/>
          <w:iCs/>
        </w:rPr>
        <w:t>But cf.</w:t>
      </w:r>
      <w:r w:rsidR="00E9398D" w:rsidRPr="00AA0453">
        <w:rPr>
          <w:rStyle w:val="None"/>
        </w:rPr>
        <w:t> is the opposite signal to </w:t>
      </w:r>
      <w:r w:rsidR="00E9398D" w:rsidRPr="00AA0453">
        <w:rPr>
          <w:rStyle w:val="None"/>
          <w:i/>
          <w:iCs/>
        </w:rPr>
        <w:t>cf.</w:t>
      </w:r>
      <w:r w:rsidR="00B544C9">
        <w:rPr>
          <w:rStyle w:val="None"/>
        </w:rPr>
        <w:t xml:space="preserve"> indicating support by</w:t>
      </w:r>
      <w:r w:rsidR="00F85F2C">
        <w:rPr>
          <w:rStyle w:val="None"/>
        </w:rPr>
        <w:t xml:space="preserve"> analogy</w:t>
      </w:r>
      <w:r w:rsidR="00B544C9">
        <w:rPr>
          <w:rStyle w:val="None"/>
        </w:rPr>
        <w:t>.</w:t>
      </w:r>
      <w:r w:rsidR="00E9398D" w:rsidRPr="00AA0453">
        <w:rPr>
          <w:rStyle w:val="None"/>
        </w:rPr>
        <w:t> Always use a parenthetical with </w:t>
      </w:r>
      <w:r w:rsidR="00E9398D" w:rsidRPr="00AA0453">
        <w:rPr>
          <w:rStyle w:val="None"/>
          <w:i/>
          <w:iCs/>
        </w:rPr>
        <w:t>but cf.</w:t>
      </w:r>
      <w:r w:rsidR="00E9398D" w:rsidRPr="00AA0453">
        <w:rPr>
          <w:rStyle w:val="None"/>
        </w:rPr>
        <w:t> to explain the logical connection required for the argument. This is the weakest signal for contrary authority.</w:t>
      </w:r>
    </w:p>
    <w:p w14:paraId="77930ECA" w14:textId="77777777" w:rsidR="00E9398D" w:rsidRPr="00AA0453" w:rsidRDefault="00E9398D" w:rsidP="00B35379">
      <w:pPr>
        <w:pStyle w:val="Example"/>
        <w:ind w:left="1440"/>
        <w:rPr>
          <w:rStyle w:val="None"/>
          <w:rFonts w:eastAsia="Georgia" w:cs="Georgia"/>
        </w:rPr>
      </w:pPr>
      <w:r w:rsidRPr="00AA0453">
        <w:rPr>
          <w:rStyle w:val="None"/>
          <w:b/>
          <w:bCs/>
        </w:rPr>
        <w:t xml:space="preserve">Example:  </w:t>
      </w:r>
      <w:r w:rsidRPr="00AA0453">
        <w:rPr>
          <w:rStyle w:val="None"/>
        </w:rPr>
        <w:t xml:space="preserve">The bar exam is the only professional-licensure exam that bears so little relationship to the education that precedes it or the professional work that follows it. </w:t>
      </w:r>
      <w:r w:rsidRPr="00AA0453">
        <w:rPr>
          <w:rStyle w:val="None"/>
          <w:i/>
          <w:iCs/>
        </w:rPr>
        <w:t xml:space="preserve">But cf. </w:t>
      </w:r>
      <w:r w:rsidRPr="00AA0453">
        <w:rPr>
          <w:rStyle w:val="None"/>
        </w:rPr>
        <w:t xml:space="preserve">Michael Riscica, </w:t>
      </w:r>
      <w:r w:rsidRPr="00AA0453">
        <w:rPr>
          <w:rStyle w:val="None"/>
          <w:i/>
          <w:iCs/>
        </w:rPr>
        <w:t>Why (Smart &amp; Talented) People Fail the Architect Exam</w:t>
      </w:r>
      <w:r w:rsidRPr="00AA0453">
        <w:rPr>
          <w:rStyle w:val="None"/>
        </w:rPr>
        <w:t>, Architizer, https://architizer.com/blog/practice/details/5-reasons-why-smart-and-talented-people-fail-the-architect-exam/ (last visited June 1, 2021) (“There is no correlation between success in architecture school and success with completing the exam. In fact, I truly believe that the creativity that brought you success in architecture school will be your biggest handicap with studying for the [architecture registration exam].”)</w:t>
      </w:r>
    </w:p>
    <w:p w14:paraId="5FAB6360" w14:textId="77777777" w:rsidR="00E9398D" w:rsidRPr="00AA0453" w:rsidRDefault="00E9398D" w:rsidP="00E9398D">
      <w:pPr>
        <w:pStyle w:val="Body"/>
        <w:spacing w:before="150" w:after="90"/>
        <w:rPr>
          <w:rStyle w:val="None"/>
          <w:rFonts w:ascii="Georgia" w:eastAsia="Georgia" w:hAnsi="Georgia" w:cs="Georgia"/>
          <w:lang w:val="en-US"/>
        </w:rPr>
      </w:pPr>
    </w:p>
    <w:p w14:paraId="4D104DCA" w14:textId="28B0CDFC" w:rsidR="00E9398D" w:rsidRPr="00AA0453" w:rsidRDefault="007955C6" w:rsidP="003E757A">
      <w:pPr>
        <w:pStyle w:val="Heading3"/>
        <w:rPr>
          <w:rStyle w:val="None"/>
          <w:rFonts w:ascii="Georgia" w:hAnsi="Georgia"/>
        </w:rPr>
      </w:pPr>
      <w:r w:rsidRPr="00AA0453">
        <w:rPr>
          <w:rStyle w:val="None"/>
          <w:rFonts w:ascii="Georgia" w:hAnsi="Georgia"/>
        </w:rPr>
        <w:t>R</w:t>
      </w:r>
      <w:r w:rsidR="005D0A08" w:rsidRPr="00AA0453">
        <w:rPr>
          <w:rStyle w:val="None"/>
          <w:rFonts w:ascii="Georgia" w:hAnsi="Georgia"/>
        </w:rPr>
        <w:t>5</w:t>
      </w:r>
      <w:r w:rsidR="00124906" w:rsidRPr="00AA0453">
        <w:rPr>
          <w:rStyle w:val="None"/>
          <w:rFonts w:ascii="Georgia" w:hAnsi="Georgia"/>
        </w:rPr>
        <w:tab/>
      </w:r>
      <w:r w:rsidR="00E9398D" w:rsidRPr="00AA0453">
        <w:rPr>
          <w:rStyle w:val="None"/>
          <w:rFonts w:ascii="Georgia" w:hAnsi="Georgia"/>
        </w:rPr>
        <w:t>Pages, Sections, Paragraphs</w:t>
      </w:r>
      <w:r w:rsidR="00AD5505">
        <w:rPr>
          <w:rStyle w:val="None"/>
          <w:rFonts w:ascii="Georgia" w:hAnsi="Georgia"/>
        </w:rPr>
        <w:t>, and Related Subdivisions</w:t>
      </w:r>
    </w:p>
    <w:p w14:paraId="5802FB83" w14:textId="77777777" w:rsidR="00B35379" w:rsidRPr="00AA0453" w:rsidRDefault="00B35379" w:rsidP="003E757A"/>
    <w:p w14:paraId="2DD3BEBF" w14:textId="31CD7B68" w:rsidR="00680E97" w:rsidRPr="00AA0453" w:rsidRDefault="00B35379" w:rsidP="003E757A">
      <w:pPr>
        <w:pStyle w:val="Heading4"/>
        <w:rPr>
          <w:rFonts w:ascii="Georgia" w:hAnsi="Georgia"/>
        </w:rPr>
      </w:pPr>
      <w:r w:rsidRPr="00AA0453">
        <w:rPr>
          <w:rFonts w:ascii="Georgia" w:hAnsi="Georgia"/>
        </w:rPr>
        <w:t>R</w:t>
      </w:r>
      <w:r w:rsidR="00680E97" w:rsidRPr="00AA0453">
        <w:rPr>
          <w:rFonts w:ascii="Georgia" w:hAnsi="Georgia"/>
        </w:rPr>
        <w:t xml:space="preserve">5.1 </w:t>
      </w:r>
      <w:r w:rsidR="00124906" w:rsidRPr="00AA0453">
        <w:rPr>
          <w:rFonts w:ascii="Georgia" w:hAnsi="Georgia"/>
        </w:rPr>
        <w:tab/>
      </w:r>
      <w:r w:rsidR="00680E97" w:rsidRPr="00AA0453">
        <w:rPr>
          <w:rFonts w:ascii="Georgia" w:hAnsi="Georgia"/>
        </w:rPr>
        <w:t>Pages</w:t>
      </w:r>
    </w:p>
    <w:p w14:paraId="5DFC3482" w14:textId="77777777" w:rsidR="00E9398D" w:rsidRPr="00AA0453" w:rsidRDefault="00E9398D" w:rsidP="003E757A">
      <w:pPr>
        <w:pStyle w:val="Rule"/>
        <w:rPr>
          <w:rStyle w:val="None"/>
        </w:rPr>
      </w:pPr>
      <w:r w:rsidRPr="00AA0453">
        <w:rPr>
          <w:rStyle w:val="None"/>
        </w:rPr>
        <w:t xml:space="preserve">A legal citation usually refers not only to a source in general, but to specific points within that source—whether a page, a footnote on a page, a section or sub-section, or a numbered paragraph. Citations must include specific reference to the point within the source being referred to. For cases, these specific references are known as pincites. </w:t>
      </w:r>
    </w:p>
    <w:p w14:paraId="2F773CBD" w14:textId="7C574050" w:rsidR="00E9398D" w:rsidRPr="00AA0453" w:rsidRDefault="007955C6"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hAnsi="Georgia"/>
        </w:rPr>
        <w:t xml:space="preserve">5.1.1 </w:t>
      </w:r>
      <w:r w:rsidR="00E9398D" w:rsidRPr="00AA0453">
        <w:rPr>
          <w:rStyle w:val="None"/>
          <w:rFonts w:ascii="Georgia" w:hAnsi="Georgia"/>
        </w:rPr>
        <w:tab/>
      </w:r>
      <w:r w:rsidR="00124906" w:rsidRPr="00AA0453">
        <w:rPr>
          <w:rStyle w:val="None"/>
          <w:rFonts w:ascii="Georgia" w:hAnsi="Georgia"/>
        </w:rPr>
        <w:tab/>
      </w:r>
      <w:r w:rsidR="001C0DED" w:rsidRPr="00AA0453">
        <w:rPr>
          <w:rStyle w:val="None"/>
          <w:rFonts w:ascii="Georgia" w:hAnsi="Georgia"/>
        </w:rPr>
        <w:t>Single pages</w:t>
      </w:r>
    </w:p>
    <w:p w14:paraId="0C61EC84" w14:textId="68632829" w:rsidR="00E9398D" w:rsidRPr="00AA0453" w:rsidRDefault="00E9398D" w:rsidP="003E757A">
      <w:pPr>
        <w:pStyle w:val="Rule"/>
        <w:rPr>
          <w:rStyle w:val="None"/>
        </w:rPr>
      </w:pPr>
      <w:r w:rsidRPr="00AA0453">
        <w:rPr>
          <w:rStyle w:val="None"/>
        </w:rPr>
        <w:t>Refer to the source’s page by its number or numbers. Do not use p. or pp. to indicate a page reference.</w:t>
      </w:r>
      <w:r w:rsidR="00CF2B08">
        <w:rPr>
          <w:rStyle w:val="None"/>
        </w:rPr>
        <w:t xml:space="preserve"> Use “at” if needed for clarity.”</w:t>
      </w:r>
    </w:p>
    <w:p w14:paraId="23BB2CDE" w14:textId="3697A06F" w:rsidR="00E9398D" w:rsidRPr="00AA0453" w:rsidRDefault="00E9398D" w:rsidP="003E757A">
      <w:pPr>
        <w:pStyle w:val="Example"/>
        <w:ind w:left="1440"/>
        <w:rPr>
          <w:rStyle w:val="None"/>
          <w:b/>
          <w:bCs/>
        </w:rPr>
      </w:pPr>
      <w:r w:rsidRPr="00AA0453">
        <w:rPr>
          <w:rStyle w:val="None"/>
          <w:b/>
          <w:bCs/>
        </w:rPr>
        <w:t>Examples:</w:t>
      </w:r>
    </w:p>
    <w:p w14:paraId="5EB4FADE" w14:textId="77777777" w:rsidR="00E9398D" w:rsidRPr="00AA0453" w:rsidRDefault="00E9398D" w:rsidP="003E757A">
      <w:pPr>
        <w:pStyle w:val="Example"/>
        <w:ind w:left="1440"/>
        <w:rPr>
          <w:rStyle w:val="None"/>
        </w:rPr>
      </w:pPr>
      <w:r w:rsidRPr="00AA0453">
        <w:rPr>
          <w:rStyle w:val="None"/>
        </w:rPr>
        <w:t xml:space="preserve">The Supreme Court held that a state cannot copyright its official annotated code because “whatever work that judge or legislator produces in the course of his judicial or legislative duties is not copyrightable” </w:t>
      </w:r>
      <w:r w:rsidRPr="00AA0453">
        <w:rPr>
          <w:rStyle w:val="None"/>
          <w:i/>
          <w:iCs/>
        </w:rPr>
        <w:t>Georgia v. Public.Resource.org, Inc.</w:t>
      </w:r>
      <w:r w:rsidRPr="00AA0453">
        <w:rPr>
          <w:rStyle w:val="None"/>
        </w:rPr>
        <w:t>, 140 S. Ct. 1498, 1513 (2020).</w:t>
      </w:r>
    </w:p>
    <w:p w14:paraId="4ACD1B33" w14:textId="77777777" w:rsidR="00CF2B08" w:rsidRDefault="00E9398D" w:rsidP="00CF2B08">
      <w:pPr>
        <w:pStyle w:val="Example"/>
        <w:ind w:left="1440"/>
        <w:rPr>
          <w:rStyle w:val="None"/>
        </w:rPr>
      </w:pPr>
      <w:r w:rsidRPr="00AA0453">
        <w:rPr>
          <w:rStyle w:val="None"/>
        </w:rPr>
        <w:t xml:space="preserve">Elizabeth Porter &amp; Kathryn Watts, </w:t>
      </w:r>
      <w:r w:rsidRPr="002D2574">
        <w:rPr>
          <w:rStyle w:val="None"/>
          <w:i/>
          <w:iCs/>
        </w:rPr>
        <w:t>Visual Rulemaking</w:t>
      </w:r>
      <w:r w:rsidRPr="00AA0453">
        <w:rPr>
          <w:rStyle w:val="None"/>
        </w:rPr>
        <w:t>, 91 N.Y.U. L. Rev. 1183, 1240 (2016).</w:t>
      </w:r>
    </w:p>
    <w:p w14:paraId="52012474" w14:textId="1F8EF802" w:rsidR="00CF2B08" w:rsidRPr="00CF2B08" w:rsidRDefault="00CF2B08" w:rsidP="00CF2B08">
      <w:pPr>
        <w:pStyle w:val="Example"/>
        <w:ind w:left="1440"/>
      </w:pPr>
      <w:r>
        <w:rPr>
          <w:rStyle w:val="normaltextrun"/>
          <w:rFonts w:cs="Segoe UI"/>
        </w:rPr>
        <w:t xml:space="preserve">Anjali Vats, </w:t>
      </w:r>
      <w:r>
        <w:rPr>
          <w:rStyle w:val="normaltextrun"/>
          <w:rFonts w:cs="Segoe UI"/>
          <w:i/>
          <w:iCs/>
        </w:rPr>
        <w:t>The Color of Creatorship: Intellectual Property, Race, and the Making of Americans</w:t>
      </w:r>
      <w:r>
        <w:rPr>
          <w:rStyle w:val="normaltextrun"/>
          <w:rFonts w:cs="Segoe UI"/>
        </w:rPr>
        <w:t xml:space="preserve"> 35 (2020).</w:t>
      </w:r>
      <w:r>
        <w:rPr>
          <w:rStyle w:val="eop"/>
          <w:rFonts w:cs="Segoe UI"/>
        </w:rPr>
        <w:t> </w:t>
      </w:r>
    </w:p>
    <w:p w14:paraId="3E24D682" w14:textId="0945B36D" w:rsidR="00CF2B08" w:rsidRDefault="00CF2B08" w:rsidP="00CF2B08">
      <w:pPr>
        <w:pStyle w:val="paragraph"/>
        <w:spacing w:before="0" w:beforeAutospacing="0" w:after="0" w:afterAutospacing="0"/>
        <w:ind w:left="1440"/>
        <w:textAlignment w:val="baseline"/>
        <w:rPr>
          <w:rFonts w:ascii="Segoe UI" w:hAnsi="Segoe UI" w:cs="Segoe UI"/>
          <w:sz w:val="18"/>
          <w:szCs w:val="18"/>
        </w:rPr>
      </w:pPr>
      <w:r>
        <w:rPr>
          <w:rStyle w:val="normaltextrun"/>
          <w:rFonts w:ascii="Georgia" w:hAnsi="Georgia" w:cs="Segoe UI"/>
        </w:rPr>
        <w:t xml:space="preserve">George Orwell, </w:t>
      </w:r>
      <w:r>
        <w:rPr>
          <w:rStyle w:val="normaltextrun"/>
          <w:rFonts w:ascii="Georgia" w:hAnsi="Georgia" w:cs="Segoe UI"/>
          <w:i/>
          <w:iCs/>
        </w:rPr>
        <w:t>1984</w:t>
      </w:r>
      <w:r>
        <w:rPr>
          <w:rStyle w:val="normaltextrun"/>
          <w:rFonts w:ascii="Georgia" w:hAnsi="Georgia" w:cs="Segoe UI"/>
        </w:rPr>
        <w:t>, at 12 (1961).</w:t>
      </w:r>
      <w:r>
        <w:rPr>
          <w:rStyle w:val="eop"/>
          <w:rFonts w:ascii="Georgia" w:hAnsi="Georgia" w:cs="Segoe UI"/>
        </w:rPr>
        <w:t> </w:t>
      </w:r>
    </w:p>
    <w:p w14:paraId="26F48D9B" w14:textId="77777777" w:rsidR="00CF2B08" w:rsidRPr="00AA0453" w:rsidRDefault="00CF2B08" w:rsidP="003E757A">
      <w:pPr>
        <w:pStyle w:val="Example"/>
        <w:ind w:left="1440"/>
        <w:rPr>
          <w:rStyle w:val="None"/>
        </w:rPr>
      </w:pPr>
    </w:p>
    <w:p w14:paraId="6DA33279" w14:textId="7460211A" w:rsidR="00E9398D" w:rsidRPr="00AA0453" w:rsidRDefault="007955C6" w:rsidP="003E757A">
      <w:pPr>
        <w:pStyle w:val="Heading5"/>
        <w:rPr>
          <w:rFonts w:ascii="Georgia" w:hAnsi="Georgia"/>
        </w:rPr>
      </w:pPr>
      <w:r w:rsidRPr="00AA0453">
        <w:rPr>
          <w:rStyle w:val="None"/>
          <w:rFonts w:ascii="Georgia" w:hAnsi="Georgia"/>
        </w:rPr>
        <w:t>R</w:t>
      </w:r>
      <w:r w:rsidR="00E9398D" w:rsidRPr="00AA0453">
        <w:rPr>
          <w:rStyle w:val="None"/>
          <w:rFonts w:ascii="Georgia" w:hAnsi="Georgia"/>
        </w:rPr>
        <w:t xml:space="preserve">5.1.2 </w:t>
      </w:r>
      <w:r w:rsidR="00124906"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Spans of </w:t>
      </w:r>
      <w:r w:rsidR="001C0DED" w:rsidRPr="00AA0453">
        <w:rPr>
          <w:rStyle w:val="None"/>
          <w:rFonts w:ascii="Georgia" w:hAnsi="Georgia"/>
        </w:rPr>
        <w:t>p</w:t>
      </w:r>
      <w:r w:rsidR="00E9398D" w:rsidRPr="00AA0453">
        <w:rPr>
          <w:rStyle w:val="None"/>
          <w:rFonts w:ascii="Georgia" w:hAnsi="Georgia"/>
        </w:rPr>
        <w:t>ages</w:t>
      </w:r>
    </w:p>
    <w:p w14:paraId="28D43409" w14:textId="46890F1A" w:rsidR="00E9398D" w:rsidRPr="00AA0453" w:rsidRDefault="00E9398D" w:rsidP="003E757A">
      <w:pPr>
        <w:pStyle w:val="Rule"/>
      </w:pPr>
      <w:r w:rsidRPr="00AA0453">
        <w:rPr>
          <w:rStyle w:val="None"/>
        </w:rPr>
        <w:t>Refer to a span of pages with a hyphen (-), an en dash (–)</w:t>
      </w:r>
      <w:r w:rsidR="00264D99" w:rsidRPr="00AA0453">
        <w:rPr>
          <w:rStyle w:val="None"/>
        </w:rPr>
        <w:t>, or</w:t>
      </w:r>
      <w:r w:rsidRPr="00AA0453">
        <w:rPr>
          <w:rStyle w:val="None"/>
        </w:rPr>
        <w:t xml:space="preserve"> the word “to” if needed for clarity. Note that an en dash is the proper standard for providing a span of pages in a formal legal publication, but hyphens are commonly used in practice. Drop all digits except the last two, unless needed for clarity.</w:t>
      </w:r>
    </w:p>
    <w:p w14:paraId="6FDCFC48" w14:textId="77777777" w:rsidR="00E9398D" w:rsidRPr="00AA0453" w:rsidRDefault="00E9398D" w:rsidP="003E757A">
      <w:pPr>
        <w:pStyle w:val="Example"/>
        <w:ind w:left="1440"/>
        <w:rPr>
          <w:rStyle w:val="None"/>
          <w:b/>
          <w:bCs/>
        </w:rPr>
      </w:pPr>
      <w:r w:rsidRPr="00AA0453">
        <w:rPr>
          <w:rStyle w:val="None"/>
          <w:b/>
          <w:bCs/>
        </w:rPr>
        <w:t>Examples:</w:t>
      </w:r>
    </w:p>
    <w:p w14:paraId="0BC74D25" w14:textId="77777777" w:rsidR="00E9398D" w:rsidRPr="00AA0453" w:rsidRDefault="00E9398D" w:rsidP="003E757A">
      <w:pPr>
        <w:pStyle w:val="Example"/>
        <w:ind w:left="1440"/>
        <w:rPr>
          <w:rStyle w:val="None"/>
        </w:rPr>
      </w:pPr>
      <w:r w:rsidRPr="00AA0453">
        <w:rPr>
          <w:rStyle w:val="None"/>
        </w:rPr>
        <w:t xml:space="preserve">Elizabeth Porter &amp; Kathryn Watts, </w:t>
      </w:r>
      <w:r w:rsidRPr="00AA0453">
        <w:rPr>
          <w:rStyle w:val="None"/>
          <w:i/>
          <w:iCs/>
        </w:rPr>
        <w:t>Visual Rulemaking</w:t>
      </w:r>
      <w:r w:rsidRPr="00AA0453">
        <w:rPr>
          <w:rStyle w:val="None"/>
        </w:rPr>
        <w:t>, 91 N.Y.U. L. Rev. 1183, 1240-41 (2016).</w:t>
      </w:r>
    </w:p>
    <w:p w14:paraId="77E748FF" w14:textId="77777777" w:rsidR="00E9398D" w:rsidRPr="00AA0453" w:rsidRDefault="00E9398D" w:rsidP="003E757A">
      <w:pPr>
        <w:pStyle w:val="Example"/>
        <w:ind w:left="1440"/>
        <w:rPr>
          <w:rStyle w:val="None"/>
        </w:rPr>
      </w:pPr>
      <w:r w:rsidRPr="00AA0453">
        <w:rPr>
          <w:rStyle w:val="None"/>
        </w:rPr>
        <w:t xml:space="preserve">Porter &amp; Watts, </w:t>
      </w:r>
      <w:r w:rsidRPr="00AA0453">
        <w:rPr>
          <w:rStyle w:val="None"/>
          <w:i/>
          <w:iCs/>
        </w:rPr>
        <w:t>supra</w:t>
      </w:r>
      <w:r w:rsidRPr="00AA0453">
        <w:rPr>
          <w:rStyle w:val="None"/>
        </w:rPr>
        <w:t>, at 1240-41.</w:t>
      </w:r>
    </w:p>
    <w:p w14:paraId="7EE8668E" w14:textId="77777777" w:rsidR="00E9398D" w:rsidRPr="00AA0453" w:rsidRDefault="00E9398D" w:rsidP="003E757A">
      <w:pPr>
        <w:pStyle w:val="Example"/>
        <w:ind w:left="1440"/>
        <w:rPr>
          <w:rStyle w:val="None"/>
        </w:rPr>
      </w:pPr>
      <w:r w:rsidRPr="00AA0453">
        <w:rPr>
          <w:rStyle w:val="None"/>
          <w:i/>
          <w:iCs/>
        </w:rPr>
        <w:t>Selmon v. Hasbro Bradley, Inc.</w:t>
      </w:r>
      <w:r w:rsidRPr="00AA0453">
        <w:rPr>
          <w:rStyle w:val="None"/>
        </w:rPr>
        <w:t>, 669 F. Supp. 1267, 1272-73 (S.D.N.Y. 1987).</w:t>
      </w:r>
    </w:p>
    <w:p w14:paraId="34B3429C" w14:textId="77777777" w:rsidR="00E9398D" w:rsidRPr="00AA0453" w:rsidRDefault="00E9398D" w:rsidP="003E757A">
      <w:pPr>
        <w:pStyle w:val="Example"/>
        <w:ind w:left="1440"/>
        <w:rPr>
          <w:rStyle w:val="None"/>
        </w:rPr>
      </w:pPr>
      <w:r w:rsidRPr="00AA0453">
        <w:rPr>
          <w:rStyle w:val="None"/>
          <w:i/>
          <w:iCs/>
        </w:rPr>
        <w:t>McDonnell Douglas Corp. v. Green</w:t>
      </w:r>
      <w:r w:rsidRPr="00AA0453">
        <w:rPr>
          <w:rStyle w:val="None"/>
        </w:rPr>
        <w:t>, 411 U.S. 792, 799-801 (1973).</w:t>
      </w:r>
    </w:p>
    <w:p w14:paraId="5C0F193C" w14:textId="77777777" w:rsidR="00E9398D" w:rsidRPr="00AA0453" w:rsidRDefault="00E9398D" w:rsidP="003E757A">
      <w:pPr>
        <w:pStyle w:val="Body"/>
        <w:spacing w:before="150" w:after="90"/>
        <w:ind w:left="720"/>
        <w:rPr>
          <w:rStyle w:val="None"/>
          <w:rFonts w:ascii="Georgia" w:eastAsia="Georgia" w:hAnsi="Georgia" w:cs="Georgia"/>
          <w:lang w:val="en-US"/>
        </w:rPr>
      </w:pPr>
    </w:p>
    <w:p w14:paraId="4A480656" w14:textId="77777777" w:rsidR="00E9398D" w:rsidRPr="00AA0453" w:rsidRDefault="00E9398D" w:rsidP="003E757A">
      <w:pPr>
        <w:pStyle w:val="InklingTitle"/>
        <w:rPr>
          <w:rStyle w:val="None"/>
          <w:lang w:val="en-US"/>
        </w:rPr>
      </w:pPr>
      <w:r w:rsidRPr="00AA0453">
        <w:rPr>
          <w:rStyle w:val="None"/>
          <w:lang w:val="en-US"/>
        </w:rPr>
        <w:t>Indigo Inkling</w:t>
      </w:r>
    </w:p>
    <w:p w14:paraId="4827EE87" w14:textId="77777777" w:rsidR="00E9398D" w:rsidRPr="00AA0453" w:rsidRDefault="00E9398D" w:rsidP="003E757A">
      <w:pPr>
        <w:pStyle w:val="Inkling"/>
        <w:rPr>
          <w:rStyle w:val="None"/>
          <w:lang w:val="en-US"/>
        </w:rPr>
      </w:pPr>
      <w:r w:rsidRPr="00AA0453">
        <w:rPr>
          <w:rStyle w:val="None"/>
          <w:lang w:val="en-US"/>
        </w:rPr>
        <w:t>Hyphens, en dashes, and em dashes are three separate marks with mostly separate functions in citations and sentences. These marks all comprise short, horizontal lines that—with the help of glasses and/or a magnifying glass—you will see have microscopically varying lengths.</w:t>
      </w:r>
    </w:p>
    <w:p w14:paraId="3F38B66A" w14:textId="77777777" w:rsidR="00CD4218" w:rsidRDefault="00CD4218" w:rsidP="00CD4218">
      <w:pPr>
        <w:pStyle w:val="Inkling"/>
        <w:rPr>
          <w:rStyle w:val="None"/>
          <w:b/>
          <w:bCs/>
          <w:lang w:val="en-US"/>
        </w:rPr>
      </w:pPr>
    </w:p>
    <w:p w14:paraId="0D2793D8" w14:textId="7B5CB180" w:rsidR="004247CB" w:rsidRPr="00AA0453" w:rsidRDefault="00E9398D" w:rsidP="004247CB">
      <w:pPr>
        <w:pStyle w:val="Inkling"/>
        <w:rPr>
          <w:lang w:val="en-US"/>
        </w:rPr>
      </w:pPr>
      <w:r w:rsidRPr="00AA0453">
        <w:rPr>
          <w:rStyle w:val="None"/>
          <w:b/>
          <w:bCs/>
          <w:lang w:val="en-US"/>
        </w:rPr>
        <w:t>Hyphens</w:t>
      </w:r>
      <w:r w:rsidRPr="00AA0453">
        <w:rPr>
          <w:rStyle w:val="None"/>
          <w:lang w:val="en-US"/>
        </w:rPr>
        <w:t xml:space="preserve"> (shortest in length) are used for phrasal adjectives (e.g., “laser-sharp focus,” “larger-than-life character,” and compound words (e.g., “daughter-in-law,” “over-the-counter”). Hyphens are also a feature of many statutory citation formats, such as Ala. Code § 27-14-24 and O.C.G.A. § 33-24-41. </w:t>
      </w:r>
      <w:r w:rsidR="00D76528">
        <w:rPr>
          <w:rStyle w:val="None"/>
          <w:lang w:val="en-US"/>
        </w:rPr>
        <w:t>Meticulously preserve</w:t>
      </w:r>
      <w:r w:rsidRPr="00AA0453">
        <w:rPr>
          <w:rStyle w:val="None"/>
          <w:lang w:val="en-US"/>
        </w:rPr>
        <w:t xml:space="preserve"> hyphens when they are intrinsically part of a citation, such as 42 U.S.C. § 2000e-2(a)(1). </w:t>
      </w:r>
      <w:r w:rsidR="004247CB" w:rsidRPr="00AA0453">
        <w:rPr>
          <w:rStyle w:val="None"/>
          <w:lang w:val="en-US"/>
        </w:rPr>
        <w:t xml:space="preserve">Hyphens </w:t>
      </w:r>
      <w:r w:rsidR="004247CB">
        <w:rPr>
          <w:rStyle w:val="None"/>
          <w:lang w:val="en-US"/>
        </w:rPr>
        <w:t>are commonly</w:t>
      </w:r>
      <w:r w:rsidR="004247CB" w:rsidRPr="00AA0453">
        <w:rPr>
          <w:rStyle w:val="None"/>
          <w:lang w:val="en-US"/>
        </w:rPr>
        <w:t xml:space="preserve"> used for page ranges in standard legal documents.</w:t>
      </w:r>
    </w:p>
    <w:p w14:paraId="01241EDE" w14:textId="77777777" w:rsidR="00CD4218" w:rsidRDefault="00CD4218" w:rsidP="00CD4218">
      <w:pPr>
        <w:pStyle w:val="Inkling"/>
        <w:rPr>
          <w:rStyle w:val="None"/>
          <w:b/>
          <w:bCs/>
          <w:lang w:val="en-US"/>
        </w:rPr>
      </w:pPr>
    </w:p>
    <w:p w14:paraId="140CA856" w14:textId="7448D543" w:rsidR="00E9398D" w:rsidRPr="00AA0453" w:rsidRDefault="00E9398D" w:rsidP="00CD4218">
      <w:pPr>
        <w:pStyle w:val="Inkling"/>
        <w:rPr>
          <w:lang w:val="en-US"/>
        </w:rPr>
      </w:pPr>
      <w:r w:rsidRPr="00AA0453">
        <w:rPr>
          <w:rStyle w:val="None"/>
          <w:b/>
          <w:bCs/>
          <w:lang w:val="en-US"/>
        </w:rPr>
        <w:t>En dashes</w:t>
      </w:r>
      <w:r w:rsidRPr="00AA0453">
        <w:rPr>
          <w:rStyle w:val="None"/>
          <w:lang w:val="en-US"/>
        </w:rPr>
        <w:t xml:space="preserve"> (longer than hyphens, shorter than em dashes) </w:t>
      </w:r>
      <w:r w:rsidR="00612B3C">
        <w:rPr>
          <w:rStyle w:val="None"/>
          <w:lang w:val="en-US"/>
        </w:rPr>
        <w:t>can be</w:t>
      </w:r>
      <w:r w:rsidRPr="00AA0453">
        <w:rPr>
          <w:rStyle w:val="None"/>
          <w:lang w:val="en-US"/>
        </w:rPr>
        <w:t xml:space="preserve"> used for ranges of values (e.g., page ranges) and contrasting or connected pairs of words (e.g., Sarbanes–Oxley Act), especially in academic legal documents.</w:t>
      </w:r>
    </w:p>
    <w:p w14:paraId="3CD19D6C" w14:textId="77777777" w:rsidR="00CD4218" w:rsidRDefault="00CD4218" w:rsidP="00CD4218">
      <w:pPr>
        <w:pStyle w:val="Inkling"/>
        <w:rPr>
          <w:rStyle w:val="None"/>
          <w:b/>
          <w:bCs/>
          <w:lang w:val="en-US"/>
        </w:rPr>
      </w:pPr>
    </w:p>
    <w:p w14:paraId="44A2A456" w14:textId="00405E08" w:rsidR="00E9398D" w:rsidRPr="00AA0453" w:rsidRDefault="00E9398D" w:rsidP="00CD4218">
      <w:pPr>
        <w:pStyle w:val="Inkling"/>
        <w:rPr>
          <w:lang w:val="en-US"/>
        </w:rPr>
      </w:pPr>
      <w:r w:rsidRPr="00AA0453">
        <w:rPr>
          <w:rStyle w:val="None"/>
          <w:b/>
          <w:bCs/>
          <w:lang w:val="en-US"/>
        </w:rPr>
        <w:t>Em dashes</w:t>
      </w:r>
      <w:r w:rsidRPr="00AA0453">
        <w:rPr>
          <w:rStyle w:val="None"/>
          <w:lang w:val="en-US"/>
        </w:rPr>
        <w:t> (longest in length) are used for inserting a break in a thought; isolating a concluding phrase; setting on a parenthetical explanation or amplification; and signaling a collection of ideas</w:t>
      </w:r>
      <w:r w:rsidR="004247CB">
        <w:rPr>
          <w:rStyle w:val="None"/>
          <w:lang w:val="en-US"/>
        </w:rPr>
        <w:t xml:space="preserve">. </w:t>
      </w:r>
      <w:r w:rsidR="008F5B6D">
        <w:rPr>
          <w:rStyle w:val="None"/>
          <w:lang w:val="en-US"/>
        </w:rPr>
        <w:t>Here’s one example: “</w:t>
      </w:r>
      <w:r w:rsidRPr="00AA0453">
        <w:rPr>
          <w:rStyle w:val="None"/>
          <w:lang w:val="en-US"/>
        </w:rPr>
        <w:t>When her new Volkswagen was finally delivered—nearly three months after it was ordered and following the revelation of VW's massive scheme of emissions control fraud—Alice decided she didn't want it</w:t>
      </w:r>
      <w:r w:rsidR="004247CB">
        <w:rPr>
          <w:rStyle w:val="None"/>
          <w:lang w:val="en-US"/>
        </w:rPr>
        <w:t>.</w:t>
      </w:r>
      <w:r w:rsidR="008F5B6D">
        <w:rPr>
          <w:rStyle w:val="None"/>
          <w:lang w:val="en-US"/>
        </w:rPr>
        <w:t>”</w:t>
      </w:r>
    </w:p>
    <w:p w14:paraId="2E8760D1" w14:textId="77777777" w:rsidR="00E9398D" w:rsidRPr="00AA0453" w:rsidRDefault="00E9398D" w:rsidP="003E757A">
      <w:pPr>
        <w:pStyle w:val="Inkling"/>
        <w:rPr>
          <w:rStyle w:val="None"/>
          <w:lang w:val="en-US"/>
        </w:rPr>
      </w:pPr>
    </w:p>
    <w:p w14:paraId="225D9467" w14:textId="028EA961" w:rsidR="00E9398D" w:rsidRPr="00AA0453" w:rsidRDefault="007955C6" w:rsidP="003E757A">
      <w:pPr>
        <w:pStyle w:val="Heading5"/>
        <w:rPr>
          <w:rStyle w:val="None"/>
        </w:rPr>
      </w:pPr>
      <w:r w:rsidRPr="00AA0453">
        <w:rPr>
          <w:rStyle w:val="None"/>
          <w:rFonts w:ascii="Georgia" w:hAnsi="Georgia"/>
        </w:rPr>
        <w:t>R</w:t>
      </w:r>
      <w:r w:rsidR="001D2092" w:rsidRPr="00AA0453">
        <w:rPr>
          <w:rStyle w:val="None"/>
          <w:rFonts w:ascii="Georgia" w:hAnsi="Georgia"/>
        </w:rPr>
        <w:t>5.1.3</w:t>
      </w:r>
      <w:r w:rsidR="001D2092"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Footnotes</w:t>
      </w:r>
      <w:r w:rsidR="00AC307B">
        <w:rPr>
          <w:rStyle w:val="None"/>
          <w:rFonts w:ascii="Georgia" w:hAnsi="Georgia"/>
        </w:rPr>
        <w:t>, figures, historical notes, and tables</w:t>
      </w:r>
    </w:p>
    <w:p w14:paraId="1811DA0C" w14:textId="7432C303" w:rsidR="00AC307B" w:rsidRPr="00AC307B" w:rsidRDefault="00E9398D" w:rsidP="00AC307B">
      <w:pPr>
        <w:pStyle w:val="Rule"/>
        <w:rPr>
          <w:rStyle w:val="None"/>
        </w:rPr>
      </w:pPr>
      <w:r w:rsidRPr="00AA0453">
        <w:rPr>
          <w:rStyle w:val="None"/>
        </w:rPr>
        <w:t>Cite a footnote on a page by providing the page,</w:t>
      </w:r>
      <w:r w:rsidR="00986807">
        <w:rPr>
          <w:rStyle w:val="None"/>
        </w:rPr>
        <w:t xml:space="preserve"> one space,</w:t>
      </w:r>
      <w:r w:rsidRPr="00AA0453">
        <w:rPr>
          <w:rStyle w:val="None"/>
        </w:rPr>
        <w:t xml:space="preserve"> the abbreviation “n.”</w:t>
      </w:r>
      <w:r w:rsidR="00986807">
        <w:rPr>
          <w:rStyle w:val="None"/>
        </w:rPr>
        <w:t>,</w:t>
      </w:r>
      <w:r w:rsidRPr="00AA0453">
        <w:rPr>
          <w:rStyle w:val="None"/>
        </w:rPr>
        <w:t xml:space="preserve"> and the footnote number. </w:t>
      </w:r>
      <w:r w:rsidR="00AC307B">
        <w:rPr>
          <w:rStyle w:val="None"/>
        </w:rPr>
        <w:t xml:space="preserve">Follow the same format for figures, historical notes, tables, and similar features. </w:t>
      </w:r>
      <w:r w:rsidR="00AC307B">
        <w:rPr>
          <w:rStyle w:val="None"/>
          <w:rFonts w:eastAsia="Georgia" w:cs="Georgia"/>
        </w:rPr>
        <w:t xml:space="preserve">Refer to </w:t>
      </w:r>
      <w:r w:rsidR="00AC307B" w:rsidRPr="008F5B6D">
        <w:rPr>
          <w:rStyle w:val="Rulereferencecharacterstyle"/>
        </w:rPr>
        <w:t>Table T13</w:t>
      </w:r>
      <w:r w:rsidR="00AC307B">
        <w:rPr>
          <w:rStyle w:val="None"/>
          <w:rFonts w:eastAsia="Georgia" w:cs="Georgia"/>
        </w:rPr>
        <w:t xml:space="preserve"> for abbreviations such as “fig.” for “figure.” Do not add a space between the abbreviation and the number or letter designating the figure, footnote, historical note, or table. </w:t>
      </w:r>
    </w:p>
    <w:p w14:paraId="3AA1D059" w14:textId="0644CA4F" w:rsidR="00AC307B" w:rsidRPr="00AA0453" w:rsidRDefault="00AC307B" w:rsidP="00124906">
      <w:pPr>
        <w:pStyle w:val="Rule"/>
        <w:rPr>
          <w:rStyle w:val="None"/>
        </w:rPr>
      </w:pPr>
    </w:p>
    <w:p w14:paraId="7BDC839A" w14:textId="365BBDE0" w:rsidR="00E9398D" w:rsidRPr="00AA0453" w:rsidRDefault="00E9398D" w:rsidP="003E757A">
      <w:pPr>
        <w:pStyle w:val="Example"/>
        <w:ind w:left="1440"/>
        <w:rPr>
          <w:rStyle w:val="None"/>
          <w:rFonts w:eastAsia="Georgia" w:cs="Georgia"/>
          <w:b/>
          <w:bCs/>
        </w:rPr>
      </w:pPr>
      <w:r w:rsidRPr="00AA0453">
        <w:rPr>
          <w:rStyle w:val="None"/>
          <w:b/>
          <w:bCs/>
        </w:rPr>
        <w:t>Examples:</w:t>
      </w:r>
    </w:p>
    <w:p w14:paraId="55B192DF" w14:textId="4372DD35" w:rsidR="00E9398D" w:rsidRPr="00AA0453" w:rsidRDefault="00E9398D" w:rsidP="003E757A">
      <w:pPr>
        <w:pStyle w:val="Example"/>
        <w:ind w:left="1440"/>
        <w:rPr>
          <w:rStyle w:val="None"/>
          <w:rFonts w:eastAsia="Georgia" w:cs="Georgia"/>
        </w:rPr>
      </w:pPr>
      <w:r w:rsidRPr="00AA0453">
        <w:rPr>
          <w:rStyle w:val="None"/>
        </w:rPr>
        <w:t xml:space="preserve">Elizabeth Porter &amp; Kathryn Watts, </w:t>
      </w:r>
      <w:r w:rsidRPr="00AA0453">
        <w:rPr>
          <w:rStyle w:val="None"/>
          <w:i/>
          <w:iCs/>
        </w:rPr>
        <w:t>Visual Rulemaking</w:t>
      </w:r>
      <w:r w:rsidRPr="00AA0453">
        <w:rPr>
          <w:rStyle w:val="None"/>
        </w:rPr>
        <w:t>, 91 N.Y.U. L. Rev. 1183, 1239 n.270 (2016).</w:t>
      </w:r>
    </w:p>
    <w:p w14:paraId="765546C0" w14:textId="77777777" w:rsidR="00171F69" w:rsidRDefault="00E9398D" w:rsidP="00171F69">
      <w:pPr>
        <w:pStyle w:val="Example"/>
        <w:ind w:left="1440"/>
        <w:rPr>
          <w:rStyle w:val="None"/>
        </w:rPr>
      </w:pPr>
      <w:r w:rsidRPr="00AA0453">
        <w:rPr>
          <w:rStyle w:val="None"/>
          <w:i/>
          <w:iCs/>
        </w:rPr>
        <w:t>Cunningham v. State</w:t>
      </w:r>
      <w:r w:rsidRPr="00AA0453">
        <w:rPr>
          <w:rStyle w:val="None"/>
        </w:rPr>
        <w:t>, 822 S.E.2d 281, 285 n.4 (Ga. 2018)</w:t>
      </w:r>
      <w:r w:rsidR="00AC307B">
        <w:rPr>
          <w:rStyle w:val="None"/>
        </w:rPr>
        <w:t xml:space="preserve"> (Hunstein, J.) (“</w:t>
      </w:r>
      <w:r w:rsidR="00AC307B" w:rsidRPr="00AA0453">
        <w:rPr>
          <w:rStyle w:val="None"/>
        </w:rPr>
        <w:t>And that’s all she wrote.”</w:t>
      </w:r>
      <w:r w:rsidR="00AC307B">
        <w:rPr>
          <w:rStyle w:val="None"/>
        </w:rPr>
        <w:t>).</w:t>
      </w:r>
    </w:p>
    <w:p w14:paraId="54E39EE3" w14:textId="5066BB6A" w:rsidR="00AC307B" w:rsidRPr="00171F69" w:rsidRDefault="00AC307B" w:rsidP="00171F69">
      <w:pPr>
        <w:pStyle w:val="Example"/>
        <w:ind w:left="1440"/>
        <w:rPr>
          <w:rStyle w:val="None"/>
        </w:rPr>
      </w:pPr>
      <w:r>
        <w:rPr>
          <w:rStyle w:val="None"/>
          <w:rFonts w:eastAsia="Georgia" w:cs="Georgia"/>
          <w:i/>
          <w:iCs/>
        </w:rPr>
        <w:t>U.S. v. Rentz</w:t>
      </w:r>
      <w:r>
        <w:rPr>
          <w:rStyle w:val="None"/>
          <w:rFonts w:eastAsia="Georgia" w:cs="Georgia"/>
        </w:rPr>
        <w:t>, 777 F.3d 1105, 1110 fig. (10th Cir. 2015)</w:t>
      </w:r>
      <w:r w:rsidR="00162C76">
        <w:rPr>
          <w:rStyle w:val="None"/>
          <w:rFonts w:eastAsia="Georgia" w:cs="Georgia"/>
        </w:rPr>
        <w:t xml:space="preserve"> (Gorsuch, J.)</w:t>
      </w:r>
      <w:r>
        <w:rPr>
          <w:rStyle w:val="None"/>
          <w:rFonts w:eastAsia="Georgia" w:cs="Georgia"/>
        </w:rPr>
        <w:t xml:space="preserve"> (diagramming 18 U.S.C. § 924(c)).</w:t>
      </w:r>
    </w:p>
    <w:p w14:paraId="34EB5997" w14:textId="77777777" w:rsidR="00AC307B" w:rsidRPr="00AA0453" w:rsidRDefault="00AC307B" w:rsidP="003E757A">
      <w:pPr>
        <w:pStyle w:val="Example"/>
        <w:ind w:left="1440"/>
        <w:rPr>
          <w:rStyle w:val="None"/>
          <w:rFonts w:eastAsia="Georgia" w:cs="Georgia"/>
        </w:rPr>
      </w:pPr>
    </w:p>
    <w:p w14:paraId="27EDD702" w14:textId="77777777" w:rsidR="00E9398D" w:rsidRPr="00AA0453" w:rsidRDefault="00E9398D" w:rsidP="003E757A">
      <w:pPr>
        <w:pStyle w:val="Example"/>
        <w:rPr>
          <w:rStyle w:val="None"/>
          <w:rFonts w:eastAsia="Georgia" w:cs="Georgia"/>
          <w:shd w:val="clear" w:color="auto" w:fill="FFFF00"/>
        </w:rPr>
      </w:pPr>
    </w:p>
    <w:p w14:paraId="39B90F5F" w14:textId="46B356DC" w:rsidR="00E9398D" w:rsidRPr="00AA0453" w:rsidRDefault="007955C6" w:rsidP="003E757A">
      <w:pPr>
        <w:pStyle w:val="Heading4"/>
        <w:rPr>
          <w:rFonts w:ascii="Georgia" w:hAnsi="Georgia"/>
        </w:rPr>
      </w:pPr>
      <w:r w:rsidRPr="00AA0453">
        <w:rPr>
          <w:rFonts w:ascii="Georgia" w:hAnsi="Georgia"/>
        </w:rPr>
        <w:t>R</w:t>
      </w:r>
      <w:r w:rsidR="00E9398D" w:rsidRPr="00AA0453">
        <w:rPr>
          <w:rFonts w:ascii="Georgia" w:hAnsi="Georgia"/>
        </w:rPr>
        <w:t>5.2</w:t>
      </w:r>
      <w:r w:rsidR="00E9398D" w:rsidRPr="00AA0453">
        <w:rPr>
          <w:rFonts w:ascii="Georgia" w:hAnsi="Georgia"/>
        </w:rPr>
        <w:tab/>
        <w:t xml:space="preserve">Sections, </w:t>
      </w:r>
      <w:r w:rsidR="00AD5505">
        <w:rPr>
          <w:rFonts w:ascii="Georgia" w:hAnsi="Georgia"/>
        </w:rPr>
        <w:t>S</w:t>
      </w:r>
      <w:r w:rsidR="00E9398D" w:rsidRPr="00AA0453">
        <w:rPr>
          <w:rFonts w:ascii="Georgia" w:hAnsi="Georgia"/>
        </w:rPr>
        <w:t xml:space="preserve">ubsections, and </w:t>
      </w:r>
      <w:r w:rsidR="00700182">
        <w:rPr>
          <w:rFonts w:ascii="Georgia" w:hAnsi="Georgia"/>
        </w:rPr>
        <w:t>Related</w:t>
      </w:r>
      <w:r w:rsidR="00AD5505">
        <w:rPr>
          <w:rFonts w:ascii="Georgia" w:hAnsi="Georgia"/>
        </w:rPr>
        <w:t xml:space="preserve"> Subdivisions</w:t>
      </w:r>
    </w:p>
    <w:p w14:paraId="0BB53EC5" w14:textId="686A1872" w:rsidR="00C05DAB" w:rsidRPr="00AA0453" w:rsidRDefault="00ED0BA6" w:rsidP="00D1288A">
      <w:pPr>
        <w:pStyle w:val="Heading5"/>
      </w:pPr>
      <w:r w:rsidRPr="00AA0453">
        <w:t>R</w:t>
      </w:r>
      <w:r w:rsidR="00C05DAB" w:rsidRPr="00AA0453">
        <w:t xml:space="preserve">5.2.1 </w:t>
      </w:r>
      <w:r w:rsidR="00124906" w:rsidRPr="00AA0453">
        <w:tab/>
      </w:r>
      <w:r w:rsidR="00124906" w:rsidRPr="00AA0453">
        <w:tab/>
      </w:r>
      <w:r w:rsidR="00C05DAB" w:rsidRPr="00AA0453">
        <w:t>Sections</w:t>
      </w:r>
    </w:p>
    <w:p w14:paraId="0B8F78DF" w14:textId="128B7932" w:rsidR="00E9398D" w:rsidRPr="00AA0453" w:rsidRDefault="00E9398D" w:rsidP="003E757A">
      <w:pPr>
        <w:pStyle w:val="Rule"/>
      </w:pPr>
      <w:r w:rsidRPr="00AA0453">
        <w:t>Cite a section with the section symbol (§) followed by a space and the section number.</w:t>
      </w:r>
    </w:p>
    <w:p w14:paraId="1A1CAFD2" w14:textId="77777777" w:rsidR="00E9398D" w:rsidRPr="00AA0453" w:rsidRDefault="00E9398D" w:rsidP="003E757A">
      <w:pPr>
        <w:pStyle w:val="Example"/>
        <w:rPr>
          <w:b/>
          <w:bCs/>
        </w:rPr>
      </w:pPr>
      <w:r w:rsidRPr="00AA0453">
        <w:rPr>
          <w:b/>
          <w:bCs/>
        </w:rPr>
        <w:tab/>
      </w:r>
      <w:r w:rsidRPr="00AA0453">
        <w:rPr>
          <w:b/>
          <w:bCs/>
        </w:rPr>
        <w:tab/>
        <w:t>Examples:</w:t>
      </w:r>
    </w:p>
    <w:p w14:paraId="5991D697" w14:textId="6F6C635B" w:rsidR="00E9398D" w:rsidRPr="00AA0453" w:rsidRDefault="00E9398D" w:rsidP="003E757A">
      <w:pPr>
        <w:pStyle w:val="Example"/>
      </w:pPr>
      <w:r w:rsidRPr="00AA0453">
        <w:tab/>
      </w:r>
      <w:r w:rsidRPr="00AA0453">
        <w:tab/>
        <w:t>21 U.S.C. § 343</w:t>
      </w:r>
      <w:r w:rsidR="00814AA1">
        <w:t>.</w:t>
      </w:r>
    </w:p>
    <w:p w14:paraId="66F72CF6" w14:textId="77777777" w:rsidR="0044593F" w:rsidRDefault="00E9398D" w:rsidP="0044593F">
      <w:pPr>
        <w:pStyle w:val="Example"/>
      </w:pPr>
      <w:r w:rsidRPr="00AA0453">
        <w:tab/>
      </w:r>
      <w:r w:rsidRPr="00AA0453">
        <w:tab/>
        <w:t>21 C.F.R. § 164.150 (2020)</w:t>
      </w:r>
      <w:r w:rsidR="00814AA1">
        <w:t>.</w:t>
      </w:r>
    </w:p>
    <w:p w14:paraId="66CD91FE" w14:textId="47E89386" w:rsidR="00E9398D" w:rsidRDefault="0044593F" w:rsidP="0044593F">
      <w:pPr>
        <w:pStyle w:val="Example"/>
      </w:pPr>
      <w:r>
        <w:tab/>
      </w:r>
      <w:r>
        <w:tab/>
      </w:r>
      <w:r w:rsidR="00E9398D" w:rsidRPr="00AA0453">
        <w:t>Restatement (Third) of Agency § 2.01 (Am. L. Inst. 2006)</w:t>
      </w:r>
      <w:r w:rsidR="00814AA1">
        <w:t>.</w:t>
      </w:r>
    </w:p>
    <w:p w14:paraId="3AF449E1" w14:textId="48C30D70" w:rsidR="00814AA1" w:rsidRDefault="00814AA1" w:rsidP="003E757A">
      <w:pPr>
        <w:pStyle w:val="Example"/>
      </w:pPr>
    </w:p>
    <w:p w14:paraId="7DE74D36" w14:textId="17DA8EC3" w:rsidR="00814AA1" w:rsidRDefault="00814AA1" w:rsidP="008F5B6D">
      <w:pPr>
        <w:pStyle w:val="InklingTitle"/>
      </w:pPr>
      <w:r>
        <w:t>Indigo Inkling</w:t>
      </w:r>
    </w:p>
    <w:p w14:paraId="21BE8CEC" w14:textId="77777777" w:rsidR="00CE20C9" w:rsidRPr="00A47EE3" w:rsidRDefault="00CE20C9" w:rsidP="008F5B6D">
      <w:pPr>
        <w:pStyle w:val="Inkling"/>
      </w:pPr>
      <w:r w:rsidRPr="00A47EE3">
        <w:t xml:space="preserve">The symbol “§” means “section,” and “§§” is the plural form. The section symbol can be inserted as a special character. Computer-keyboard shortcuts create the § symbol with just a few key strokes: [Option-6] on an Apple keyboard or [Alt-0167] on a Windows keyboard using the numeric keypad. Setting up a customized keyboard shortcut may be a good option for Windows users who generate legal citations on a regular basis. If using a mobile device, you may be able to insert a section into text such as by tapping and holding the “&amp;” key. </w:t>
      </w:r>
    </w:p>
    <w:p w14:paraId="22F70D2B" w14:textId="77777777" w:rsidR="00814AA1" w:rsidRPr="00AA0453" w:rsidRDefault="00814AA1" w:rsidP="00BF13D9">
      <w:pPr>
        <w:pStyle w:val="Example"/>
        <w:ind w:left="0"/>
      </w:pPr>
    </w:p>
    <w:p w14:paraId="7766B5E8" w14:textId="77777777" w:rsidR="00E9398D" w:rsidRPr="00AA0453" w:rsidRDefault="00E9398D" w:rsidP="003E757A"/>
    <w:p w14:paraId="3A5D700E" w14:textId="725115DE" w:rsidR="00E9398D" w:rsidRPr="00AA0453" w:rsidRDefault="00ED0BA6" w:rsidP="00D1288A">
      <w:pPr>
        <w:pStyle w:val="Heading5"/>
      </w:pPr>
      <w:r w:rsidRPr="00AA0453">
        <w:t>R</w:t>
      </w:r>
      <w:r w:rsidR="00E9398D" w:rsidRPr="00AA0453">
        <w:t xml:space="preserve">5.2.2 </w:t>
      </w:r>
      <w:r w:rsidR="00124906" w:rsidRPr="00AA0453">
        <w:tab/>
      </w:r>
      <w:r w:rsidR="00E9398D" w:rsidRPr="00AA0453">
        <w:t>Subsections</w:t>
      </w:r>
    </w:p>
    <w:p w14:paraId="2DA09CC8" w14:textId="261ECD53" w:rsidR="00E9398D" w:rsidRPr="00AA0453" w:rsidRDefault="00E9398D" w:rsidP="003E757A">
      <w:pPr>
        <w:pStyle w:val="Rule"/>
      </w:pPr>
      <w:r w:rsidRPr="00AA0453">
        <w:t>Specifically cite a subsection using the punctuation in the original source, and using the original capitalization style. Do not remove or alter parenthes</w:t>
      </w:r>
      <w:r w:rsidR="00E232B0" w:rsidRPr="00AA0453">
        <w:t>e</w:t>
      </w:r>
      <w:r w:rsidRPr="00AA0453">
        <w:t>s or hyphens or dashes in the original source’s citation.</w:t>
      </w:r>
    </w:p>
    <w:p w14:paraId="05AB7A61" w14:textId="29FE8462" w:rsidR="00E9398D" w:rsidRPr="00AA0453" w:rsidRDefault="00E9398D" w:rsidP="003E757A">
      <w:pPr>
        <w:pStyle w:val="Example"/>
      </w:pPr>
      <w:r w:rsidRPr="00AA0453">
        <w:tab/>
        <w:t>Examples:</w:t>
      </w:r>
    </w:p>
    <w:p w14:paraId="1E8286ED" w14:textId="2C0915C0" w:rsidR="00E9398D" w:rsidRPr="00AA0453" w:rsidRDefault="00E9398D" w:rsidP="003E757A">
      <w:pPr>
        <w:pStyle w:val="Example"/>
      </w:pPr>
      <w:r w:rsidRPr="00AA0453">
        <w:tab/>
        <w:t>42 U.S.C. § 2000ff–5(a)</w:t>
      </w:r>
      <w:r w:rsidR="00BF13D9">
        <w:t>.</w:t>
      </w:r>
      <w:r w:rsidRPr="00AA0453">
        <w:t xml:space="preserve"> </w:t>
      </w:r>
    </w:p>
    <w:p w14:paraId="107EE19B" w14:textId="739420E4" w:rsidR="00E9398D" w:rsidRPr="00AA0453" w:rsidRDefault="00E9398D" w:rsidP="003E757A">
      <w:pPr>
        <w:pStyle w:val="Example"/>
      </w:pPr>
      <w:r w:rsidRPr="00AA0453">
        <w:tab/>
        <w:t>42 U.S.C. § 2000ff–1(b)(2)(A)</w:t>
      </w:r>
      <w:r w:rsidR="00BF13D9">
        <w:t>.</w:t>
      </w:r>
    </w:p>
    <w:p w14:paraId="6EA1B0ED" w14:textId="14BEC93C" w:rsidR="00E9398D" w:rsidRPr="00AA0453" w:rsidRDefault="00E9398D" w:rsidP="003E757A">
      <w:pPr>
        <w:pStyle w:val="Example"/>
      </w:pPr>
      <w:r w:rsidRPr="00AA0453">
        <w:tab/>
        <w:t>42 U.S.C. § 2000ff(2)</w:t>
      </w:r>
      <w:r w:rsidR="00BF13D9">
        <w:t>.</w:t>
      </w:r>
      <w:r w:rsidRPr="00AA0453">
        <w:t xml:space="preserve"> </w:t>
      </w:r>
    </w:p>
    <w:p w14:paraId="4C0D6816" w14:textId="2C8407C9" w:rsidR="00E9398D" w:rsidRPr="00AA0453" w:rsidRDefault="00E9398D" w:rsidP="003E757A">
      <w:pPr>
        <w:pStyle w:val="Example"/>
      </w:pPr>
      <w:r w:rsidRPr="00AA0453">
        <w:tab/>
        <w:t>Col. Rev. Stat. § 7-74-102(2)(b)(I) (20</w:t>
      </w:r>
      <w:r w:rsidR="00ED0BA6" w:rsidRPr="00AA0453">
        <w:t>21</w:t>
      </w:r>
      <w:r w:rsidRPr="00AA0453">
        <w:t>).</w:t>
      </w:r>
    </w:p>
    <w:p w14:paraId="41A9D23D" w14:textId="1274F5DF" w:rsidR="00ED0BA6" w:rsidRPr="00AA0453" w:rsidRDefault="00E9398D" w:rsidP="003E757A">
      <w:pPr>
        <w:pStyle w:val="Example"/>
      </w:pPr>
      <w:r w:rsidRPr="00AA0453">
        <w:tab/>
        <w:t>21 C.F.R. § 133.3 (2021)</w:t>
      </w:r>
      <w:r w:rsidR="00BF13D9">
        <w:t>.</w:t>
      </w:r>
    </w:p>
    <w:p w14:paraId="2772928B" w14:textId="78638572" w:rsidR="00E9398D" w:rsidRPr="00AA0453" w:rsidRDefault="00ED0BA6" w:rsidP="00D1288A">
      <w:pPr>
        <w:pStyle w:val="Heading5"/>
        <w:rPr>
          <w:rStyle w:val="None"/>
          <w:rFonts w:ascii="Georgia" w:hAnsi="Georgia"/>
        </w:rPr>
      </w:pPr>
      <w:r w:rsidRPr="00AA0453">
        <w:t>R</w:t>
      </w:r>
      <w:r w:rsidR="00E9398D" w:rsidRPr="00AA0453">
        <w:rPr>
          <w:rStyle w:val="None"/>
          <w:rFonts w:ascii="Georgia" w:hAnsi="Georgia"/>
        </w:rPr>
        <w:t>5.2.3</w:t>
      </w:r>
      <w:r w:rsidR="00E9398D"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Spans of </w:t>
      </w:r>
      <w:r w:rsidR="00700182">
        <w:rPr>
          <w:rStyle w:val="None"/>
          <w:rFonts w:ascii="Georgia" w:hAnsi="Georgia"/>
        </w:rPr>
        <w:t>s</w:t>
      </w:r>
      <w:r w:rsidR="00E9398D" w:rsidRPr="00AA0453">
        <w:rPr>
          <w:rStyle w:val="None"/>
          <w:rFonts w:ascii="Georgia" w:hAnsi="Georgia"/>
        </w:rPr>
        <w:t xml:space="preserve">ections, </w:t>
      </w:r>
      <w:r w:rsidR="00700182">
        <w:rPr>
          <w:rStyle w:val="None"/>
          <w:rFonts w:ascii="Georgia" w:hAnsi="Georgia"/>
        </w:rPr>
        <w:t>s</w:t>
      </w:r>
      <w:r w:rsidR="00E9398D" w:rsidRPr="00AA0453">
        <w:rPr>
          <w:rStyle w:val="None"/>
          <w:rFonts w:ascii="Georgia" w:hAnsi="Georgia"/>
        </w:rPr>
        <w:t>ub</w:t>
      </w:r>
      <w:r w:rsidR="00AD5505">
        <w:rPr>
          <w:rStyle w:val="None"/>
          <w:rFonts w:ascii="Georgia" w:hAnsi="Georgia"/>
        </w:rPr>
        <w:t>s</w:t>
      </w:r>
      <w:r w:rsidR="00E9398D" w:rsidRPr="00AA0453">
        <w:rPr>
          <w:rStyle w:val="None"/>
          <w:rFonts w:ascii="Georgia" w:hAnsi="Georgia"/>
        </w:rPr>
        <w:t xml:space="preserve">ections, and </w:t>
      </w:r>
      <w:r w:rsidR="00700182">
        <w:rPr>
          <w:rStyle w:val="None"/>
          <w:rFonts w:ascii="Georgia" w:hAnsi="Georgia"/>
        </w:rPr>
        <w:t>s</w:t>
      </w:r>
      <w:r w:rsidR="00E9398D" w:rsidRPr="00AA0453">
        <w:rPr>
          <w:rStyle w:val="None"/>
          <w:rFonts w:ascii="Georgia" w:hAnsi="Georgia"/>
        </w:rPr>
        <w:t xml:space="preserve">cattered </w:t>
      </w:r>
      <w:r w:rsidR="00700182">
        <w:rPr>
          <w:rStyle w:val="None"/>
          <w:rFonts w:ascii="Georgia" w:hAnsi="Georgia"/>
        </w:rPr>
        <w:t>s</w:t>
      </w:r>
      <w:r w:rsidR="00E9398D" w:rsidRPr="00AA0453">
        <w:rPr>
          <w:rStyle w:val="None"/>
          <w:rFonts w:ascii="Georgia" w:hAnsi="Georgia"/>
        </w:rPr>
        <w:t>ubsections</w:t>
      </w:r>
    </w:p>
    <w:p w14:paraId="27A231EE" w14:textId="142EFD72" w:rsidR="00ED0BA6" w:rsidRPr="00AA0453" w:rsidRDefault="00E9398D" w:rsidP="003E757A">
      <w:pPr>
        <w:pStyle w:val="Rule"/>
        <w:rPr>
          <w:rStyle w:val="None"/>
        </w:rPr>
      </w:pPr>
      <w:r w:rsidRPr="00AA0453">
        <w:rPr>
          <w:rStyle w:val="None"/>
        </w:rPr>
        <w:t xml:space="preserve">Use a hyphen, en dash (–), or the word “to” to indicate a span of sections or subsections. In a span or collection of scattered sections, include the last portion of a citation and omit the identical first part, unless repetition of all portions is needed for clarity. Do not use “et seq.” for a span of sources. </w:t>
      </w:r>
    </w:p>
    <w:p w14:paraId="5777CCF4" w14:textId="77777777" w:rsidR="00ED0BA6" w:rsidRPr="00AA0453" w:rsidRDefault="00ED0BA6" w:rsidP="003E757A">
      <w:pPr>
        <w:pStyle w:val="Rule"/>
        <w:ind w:left="1440"/>
        <w:rPr>
          <w:b/>
          <w:bCs/>
        </w:rPr>
      </w:pPr>
      <w:r w:rsidRPr="00AA0453">
        <w:rPr>
          <w:b/>
          <w:bCs/>
        </w:rPr>
        <w:t>Examples:</w:t>
      </w:r>
    </w:p>
    <w:p w14:paraId="6E736041" w14:textId="0DC75D46" w:rsidR="00E9398D" w:rsidRPr="00AA0453" w:rsidRDefault="00E9398D" w:rsidP="003E757A">
      <w:pPr>
        <w:pStyle w:val="Rule"/>
        <w:ind w:left="1440"/>
        <w:rPr>
          <w:rStyle w:val="None"/>
          <w:rFonts w:ascii="Times New Roman" w:hAnsi="Times New Roman"/>
        </w:rPr>
      </w:pPr>
      <w:r w:rsidRPr="00AA0453">
        <w:rPr>
          <w:rStyle w:val="None"/>
        </w:rPr>
        <w:t>18 U.S.C. §§ 3681-82</w:t>
      </w:r>
      <w:r w:rsidR="00814AA1">
        <w:rPr>
          <w:rStyle w:val="None"/>
        </w:rPr>
        <w:t>.</w:t>
      </w:r>
    </w:p>
    <w:p w14:paraId="5B408FE1" w14:textId="34520166" w:rsidR="00E9398D" w:rsidRPr="00AA0453" w:rsidRDefault="00E9398D" w:rsidP="003E757A">
      <w:pPr>
        <w:pStyle w:val="Rule"/>
        <w:ind w:left="1440"/>
        <w:rPr>
          <w:rStyle w:val="None"/>
          <w:rFonts w:eastAsia="Georgia" w:cs="Georgia"/>
        </w:rPr>
      </w:pPr>
      <w:r w:rsidRPr="00AA0453">
        <w:rPr>
          <w:rStyle w:val="None"/>
        </w:rPr>
        <w:t>The Genetic Information Nondiscrimination Act of 2008, 42 U.S.C. §§ 2000ff to 2000ff-11</w:t>
      </w:r>
      <w:r w:rsidR="00814AA1">
        <w:rPr>
          <w:rStyle w:val="None"/>
        </w:rPr>
        <w:t>.</w:t>
      </w:r>
    </w:p>
    <w:p w14:paraId="56DC84BA" w14:textId="490C7E05" w:rsidR="00E9398D" w:rsidRPr="00AA0453" w:rsidRDefault="00E9398D" w:rsidP="003E757A">
      <w:pPr>
        <w:pStyle w:val="Rule"/>
        <w:ind w:left="1440"/>
        <w:rPr>
          <w:rStyle w:val="None"/>
        </w:rPr>
      </w:pPr>
      <w:r w:rsidRPr="00AA0453">
        <w:rPr>
          <w:rStyle w:val="None"/>
        </w:rPr>
        <w:t>O.C.G.A. §§ 51-30-20 to -26 (2021)</w:t>
      </w:r>
      <w:r w:rsidR="00814AA1">
        <w:rPr>
          <w:rStyle w:val="None"/>
        </w:rPr>
        <w:t>.</w:t>
      </w:r>
    </w:p>
    <w:p w14:paraId="64DCB32D" w14:textId="2B5F8DF7" w:rsidR="00E9398D" w:rsidRPr="00AA0453" w:rsidRDefault="00E9398D" w:rsidP="003E757A">
      <w:pPr>
        <w:pStyle w:val="Rule"/>
        <w:rPr>
          <w:rStyle w:val="None"/>
        </w:rPr>
      </w:pPr>
      <w:r w:rsidRPr="00AA0453">
        <w:rPr>
          <w:rStyle w:val="None"/>
        </w:rPr>
        <w:t xml:space="preserve">Use the source’s formal title for a collected span of sections, such as parts in the Code of Federal Regulations. </w:t>
      </w:r>
      <w:r w:rsidR="00AD5505">
        <w:rPr>
          <w:rStyle w:val="None"/>
        </w:rPr>
        <w:t>Table T13 provides the abbreviation for the subdivision “Part.”</w:t>
      </w:r>
    </w:p>
    <w:p w14:paraId="6821CF3E" w14:textId="4106A094" w:rsidR="00ED0BA6" w:rsidRPr="00AA0453" w:rsidRDefault="00ED0BA6" w:rsidP="003E757A">
      <w:pPr>
        <w:pStyle w:val="Example"/>
        <w:ind w:left="1440"/>
        <w:rPr>
          <w:rStyle w:val="None"/>
          <w:b/>
          <w:bCs/>
        </w:rPr>
      </w:pPr>
      <w:r w:rsidRPr="00AA0453">
        <w:rPr>
          <w:b/>
          <w:bCs/>
        </w:rPr>
        <w:t>Example:</w:t>
      </w:r>
    </w:p>
    <w:p w14:paraId="01D2BCDD" w14:textId="7F4B6918" w:rsidR="00E9398D" w:rsidRPr="00AA0453" w:rsidRDefault="00E9398D" w:rsidP="003E757A">
      <w:pPr>
        <w:pStyle w:val="Example"/>
        <w:ind w:left="1440"/>
        <w:rPr>
          <w:rStyle w:val="None"/>
          <w:rFonts w:eastAsia="Georgia" w:cs="Georgia"/>
        </w:rPr>
      </w:pPr>
      <w:r w:rsidRPr="00AA0453">
        <w:rPr>
          <w:rStyle w:val="None"/>
          <w:color w:val="222222"/>
          <w:sz w:val="23"/>
          <w:szCs w:val="23"/>
          <w:u w:color="222222"/>
          <w:shd w:val="clear" w:color="auto" w:fill="FFFFFF"/>
        </w:rPr>
        <w:t xml:space="preserve">21 C.F.R. </w:t>
      </w:r>
      <w:r w:rsidR="00814AA1">
        <w:rPr>
          <w:rStyle w:val="None"/>
          <w:color w:val="222222"/>
          <w:sz w:val="23"/>
          <w:szCs w:val="23"/>
          <w:u w:color="222222"/>
          <w:shd w:val="clear" w:color="auto" w:fill="FFFFFF"/>
        </w:rPr>
        <w:t>pt.</w:t>
      </w:r>
      <w:r w:rsidRPr="00AA0453">
        <w:rPr>
          <w:rStyle w:val="None"/>
          <w:color w:val="222222"/>
          <w:sz w:val="23"/>
          <w:szCs w:val="23"/>
          <w:u w:color="222222"/>
          <w:shd w:val="clear" w:color="auto" w:fill="FFFFFF"/>
        </w:rPr>
        <w:t xml:space="preserve"> 133 (2020)</w:t>
      </w:r>
      <w:r w:rsidR="00814AA1">
        <w:rPr>
          <w:rStyle w:val="None"/>
          <w:color w:val="222222"/>
          <w:sz w:val="23"/>
          <w:szCs w:val="23"/>
          <w:u w:color="222222"/>
          <w:shd w:val="clear" w:color="auto" w:fill="FFFFFF"/>
        </w:rPr>
        <w:t>.</w:t>
      </w:r>
    </w:p>
    <w:p w14:paraId="0CA412E6" w14:textId="77777777" w:rsidR="00E9398D" w:rsidRPr="00AA0453" w:rsidRDefault="00E9398D" w:rsidP="003E757A">
      <w:pPr>
        <w:pStyle w:val="Rule"/>
        <w:rPr>
          <w:rStyle w:val="None"/>
          <w:rFonts w:eastAsia="Georgia" w:cs="Georgia"/>
        </w:rPr>
      </w:pPr>
      <w:r w:rsidRPr="00AA0453">
        <w:rPr>
          <w:rStyle w:val="None"/>
        </w:rPr>
        <w:t xml:space="preserve">Use a comma to indicate scattered sections within a source. </w:t>
      </w:r>
    </w:p>
    <w:p w14:paraId="01DF90EA" w14:textId="42ABC1A8" w:rsidR="00ED0BA6" w:rsidRPr="00AA0453" w:rsidRDefault="00ED0BA6" w:rsidP="003E757A">
      <w:pPr>
        <w:pStyle w:val="Example"/>
        <w:ind w:left="1440"/>
        <w:rPr>
          <w:rStyle w:val="None"/>
          <w:b/>
          <w:bCs/>
        </w:rPr>
      </w:pPr>
      <w:r w:rsidRPr="00AA0453">
        <w:rPr>
          <w:b/>
          <w:bCs/>
        </w:rPr>
        <w:t>Example:</w:t>
      </w:r>
      <w:r w:rsidR="00E9398D" w:rsidRPr="00AA0453">
        <w:rPr>
          <w:rStyle w:val="None"/>
          <w:b/>
          <w:bCs/>
        </w:rPr>
        <w:tab/>
      </w:r>
    </w:p>
    <w:p w14:paraId="0D75C645" w14:textId="02785C95" w:rsidR="00E9398D" w:rsidRDefault="00E9398D" w:rsidP="003E757A">
      <w:pPr>
        <w:pStyle w:val="Example"/>
        <w:ind w:left="1440"/>
        <w:rPr>
          <w:rStyle w:val="None"/>
        </w:rPr>
      </w:pPr>
      <w:r w:rsidRPr="00AA0453">
        <w:rPr>
          <w:rStyle w:val="None"/>
        </w:rPr>
        <w:t xml:space="preserve">N.Y. </w:t>
      </w:r>
      <w:r w:rsidR="00493B03">
        <w:rPr>
          <w:rStyle w:val="None"/>
        </w:rPr>
        <w:t xml:space="preserve">Comp. Codes R. &amp; Regs. tit. </w:t>
      </w:r>
      <w:r w:rsidR="00493B03" w:rsidRPr="00AA0453">
        <w:rPr>
          <w:rStyle w:val="None"/>
        </w:rPr>
        <w:t>16</w:t>
      </w:r>
      <w:r w:rsidR="00493B03">
        <w:rPr>
          <w:rStyle w:val="None"/>
        </w:rPr>
        <w:t xml:space="preserve">, </w:t>
      </w:r>
      <w:r w:rsidR="008A24E4">
        <w:rPr>
          <w:rStyle w:val="None"/>
        </w:rPr>
        <w:t>§§ 895.1(f), 897.1</w:t>
      </w:r>
      <w:r w:rsidRPr="00AA0453">
        <w:rPr>
          <w:rStyle w:val="None"/>
        </w:rPr>
        <w:t>(b) (2021)</w:t>
      </w:r>
      <w:r w:rsidR="00814AA1">
        <w:rPr>
          <w:rStyle w:val="None"/>
        </w:rPr>
        <w:t>.</w:t>
      </w:r>
    </w:p>
    <w:p w14:paraId="52D49885" w14:textId="77777777" w:rsidR="00AD5505" w:rsidRPr="00AA0453" w:rsidRDefault="00AD5505" w:rsidP="00700182">
      <w:pPr>
        <w:pStyle w:val="Example"/>
        <w:ind w:left="0"/>
        <w:rPr>
          <w:rStyle w:val="None"/>
        </w:rPr>
      </w:pPr>
    </w:p>
    <w:p w14:paraId="7A43FED3" w14:textId="5DB59AD2" w:rsidR="00E9398D" w:rsidRPr="00700182" w:rsidRDefault="00B10744" w:rsidP="00700182">
      <w:pPr>
        <w:pStyle w:val="Heading4"/>
        <w:rPr>
          <w:rFonts w:ascii="Georgia" w:hAnsi="Georgia"/>
        </w:rPr>
      </w:pPr>
      <w:r w:rsidRPr="00700182">
        <w:rPr>
          <w:rFonts w:ascii="Georgia" w:hAnsi="Georgia"/>
        </w:rPr>
        <w:t>R</w:t>
      </w:r>
      <w:r w:rsidR="00E9398D" w:rsidRPr="00700182">
        <w:rPr>
          <w:rFonts w:ascii="Georgia" w:hAnsi="Georgia"/>
        </w:rPr>
        <w:t>5.3</w:t>
      </w:r>
      <w:r w:rsidR="00E9398D" w:rsidRPr="00700182">
        <w:rPr>
          <w:rFonts w:ascii="Georgia" w:hAnsi="Georgia"/>
        </w:rPr>
        <w:tab/>
        <w:t>Par</w:t>
      </w:r>
      <w:r w:rsidR="00AD5505" w:rsidRPr="00700182">
        <w:rPr>
          <w:rFonts w:ascii="Georgia" w:hAnsi="Georgia"/>
        </w:rPr>
        <w:t>a</w:t>
      </w:r>
      <w:r w:rsidR="00E9398D" w:rsidRPr="00700182">
        <w:rPr>
          <w:rFonts w:ascii="Georgia" w:hAnsi="Georgia"/>
        </w:rPr>
        <w:t>graphs</w:t>
      </w:r>
    </w:p>
    <w:p w14:paraId="1D93D755" w14:textId="4C8F9B29" w:rsidR="00E9398D" w:rsidRPr="00AA0453" w:rsidRDefault="00E9398D" w:rsidP="00B10744">
      <w:pPr>
        <w:pStyle w:val="Rule"/>
        <w:rPr>
          <w:rStyle w:val="None"/>
          <w:rFonts w:eastAsia="Georgia" w:cs="Georgia"/>
        </w:rPr>
      </w:pPr>
      <w:r w:rsidRPr="00AA0453">
        <w:rPr>
          <w:rStyle w:val="None"/>
          <w:rFonts w:eastAsia="Georgia" w:cs="Georgia"/>
        </w:rPr>
        <w:t>Sources organized into formal paragraphs should be cited with specific reference to the paragraph referred to in the cited proposition.</w:t>
      </w:r>
      <w:r w:rsidR="00CF2B08">
        <w:rPr>
          <w:rStyle w:val="None"/>
          <w:rFonts w:eastAsia="Georgia" w:cs="Georgia"/>
        </w:rPr>
        <w:t xml:space="preserve"> Do not use “at” with </w:t>
      </w:r>
      <w:r w:rsidR="00CF2B08" w:rsidRPr="00AA0453">
        <w:rPr>
          <w:rStyle w:val="None"/>
        </w:rPr>
        <w:t>¶</w:t>
      </w:r>
      <w:r w:rsidR="00CF2B08">
        <w:rPr>
          <w:rStyle w:val="None"/>
        </w:rPr>
        <w:t xml:space="preserve"> citations.</w:t>
      </w:r>
    </w:p>
    <w:p w14:paraId="6ABD1B5C" w14:textId="3592CFB5" w:rsidR="00B10744" w:rsidRPr="00AA0453" w:rsidRDefault="00B10744" w:rsidP="00B10744">
      <w:pPr>
        <w:pStyle w:val="Example"/>
        <w:ind w:left="1440"/>
        <w:rPr>
          <w:rStyle w:val="None"/>
          <w:b/>
          <w:bCs/>
        </w:rPr>
      </w:pPr>
      <w:r w:rsidRPr="00AA0453">
        <w:rPr>
          <w:b/>
          <w:bCs/>
        </w:rPr>
        <w:t>Examples:</w:t>
      </w:r>
    </w:p>
    <w:p w14:paraId="4BB89EB0" w14:textId="5AA1CE01" w:rsidR="00E9398D" w:rsidRPr="00AA0453" w:rsidRDefault="00E9398D" w:rsidP="00B10744">
      <w:pPr>
        <w:pStyle w:val="Example"/>
        <w:ind w:left="1440"/>
        <w:rPr>
          <w:rStyle w:val="None"/>
          <w:rFonts w:eastAsia="Georgia" w:cs="Georgia"/>
        </w:rPr>
      </w:pPr>
      <w:r w:rsidRPr="00AA0453">
        <w:rPr>
          <w:rStyle w:val="None"/>
          <w:rFonts w:eastAsia="Georgia" w:cs="Georgia"/>
        </w:rPr>
        <w:t xml:space="preserve">Miller Aff. </w:t>
      </w:r>
      <w:r w:rsidRPr="00AA0453">
        <w:rPr>
          <w:rStyle w:val="None"/>
        </w:rPr>
        <w:t>¶ 8, Jan. 12, 2015</w:t>
      </w:r>
      <w:r w:rsidR="00814AA1">
        <w:rPr>
          <w:rStyle w:val="None"/>
        </w:rPr>
        <w:t>.</w:t>
      </w:r>
    </w:p>
    <w:p w14:paraId="6B77DE1D" w14:textId="0BD5F6F4" w:rsidR="00E9398D" w:rsidRDefault="00E9398D" w:rsidP="00B10744">
      <w:pPr>
        <w:pStyle w:val="Example"/>
        <w:ind w:left="1440"/>
        <w:rPr>
          <w:rStyle w:val="None"/>
        </w:rPr>
      </w:pPr>
      <w:r w:rsidRPr="00AA0453">
        <w:rPr>
          <w:rStyle w:val="None"/>
          <w:i/>
          <w:iCs/>
        </w:rPr>
        <w:t>In re N.A.</w:t>
      </w:r>
      <w:r w:rsidRPr="00AA0453">
        <w:rPr>
          <w:rStyle w:val="None"/>
        </w:rPr>
        <w:t>, 2021-NCCOA-2, ¶ 11</w:t>
      </w:r>
      <w:r w:rsidR="00814AA1">
        <w:rPr>
          <w:rStyle w:val="None"/>
        </w:rPr>
        <w:t>.</w:t>
      </w:r>
    </w:p>
    <w:p w14:paraId="57931288" w14:textId="403ABEF4" w:rsidR="00AD5505" w:rsidRDefault="00AD5505" w:rsidP="00AD5505">
      <w:pPr>
        <w:pStyle w:val="Example"/>
        <w:ind w:left="0"/>
        <w:rPr>
          <w:rStyle w:val="None"/>
          <w:rFonts w:eastAsia="Georgia" w:cs="Georgia"/>
        </w:rPr>
      </w:pPr>
    </w:p>
    <w:p w14:paraId="558786E2" w14:textId="77777777" w:rsidR="00AD5505" w:rsidRPr="00AA0453" w:rsidRDefault="00AD5505" w:rsidP="00B10744">
      <w:pPr>
        <w:pStyle w:val="Example"/>
        <w:ind w:left="1440"/>
        <w:rPr>
          <w:rStyle w:val="None"/>
          <w:rFonts w:eastAsia="Georgia" w:cs="Georgia"/>
        </w:rPr>
      </w:pPr>
    </w:p>
    <w:p w14:paraId="7090E0B0" w14:textId="624C9B0D" w:rsidR="00E9398D" w:rsidRPr="00AA0453" w:rsidRDefault="00B10744" w:rsidP="003E757A">
      <w:pPr>
        <w:pStyle w:val="Heading3"/>
        <w:rPr>
          <w:rStyle w:val="None"/>
          <w:rFonts w:ascii="Georgia" w:eastAsia="Georgia" w:hAnsi="Georgia" w:cs="Georgia"/>
          <w:b/>
          <w:bCs/>
        </w:rPr>
      </w:pPr>
      <w:r w:rsidRPr="00AA0453">
        <w:rPr>
          <w:rStyle w:val="None"/>
          <w:rFonts w:ascii="Georgia" w:hAnsi="Georgia"/>
          <w:b/>
          <w:bCs/>
        </w:rPr>
        <w:t>R</w:t>
      </w:r>
      <w:r w:rsidR="00E9398D" w:rsidRPr="00AA0453">
        <w:rPr>
          <w:rStyle w:val="None"/>
          <w:rFonts w:ascii="Georgia" w:hAnsi="Georgia"/>
          <w:b/>
          <w:bCs/>
        </w:rPr>
        <w:t>6</w:t>
      </w:r>
      <w:r w:rsidR="00124906" w:rsidRPr="00AA0453">
        <w:rPr>
          <w:rStyle w:val="None"/>
          <w:rFonts w:ascii="Georgia" w:hAnsi="Georgia"/>
          <w:b/>
          <w:bCs/>
        </w:rPr>
        <w:tab/>
      </w:r>
      <w:r w:rsidR="00E9398D" w:rsidRPr="00AA0453">
        <w:rPr>
          <w:rStyle w:val="None"/>
          <w:rFonts w:ascii="Georgia" w:hAnsi="Georgia"/>
          <w:b/>
          <w:bCs/>
        </w:rPr>
        <w:t>Full and Short Citations</w:t>
      </w:r>
    </w:p>
    <w:p w14:paraId="07AF0354" w14:textId="77777777" w:rsidR="00124906" w:rsidRPr="00AA0453" w:rsidRDefault="00E9398D" w:rsidP="003E757A">
      <w:pPr>
        <w:pStyle w:val="Heading4"/>
        <w:rPr>
          <w:rStyle w:val="None"/>
          <w:rFonts w:ascii="Georgia" w:eastAsia="Georgia" w:hAnsi="Georgia" w:cs="Georgia"/>
        </w:rPr>
      </w:pPr>
      <w:r w:rsidRPr="00AA0453">
        <w:rPr>
          <w:rStyle w:val="None"/>
          <w:rFonts w:ascii="Georgia" w:eastAsia="Georgia" w:hAnsi="Georgia" w:cs="Georgia"/>
        </w:rPr>
        <w:tab/>
      </w:r>
    </w:p>
    <w:p w14:paraId="0108BE58" w14:textId="2D579347" w:rsidR="00E9398D" w:rsidRPr="00AA0453" w:rsidRDefault="00B1074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6.1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Full Citations </w:t>
      </w:r>
    </w:p>
    <w:p w14:paraId="477AF9EE" w14:textId="15A70E92" w:rsidR="00E9398D" w:rsidRPr="00AA0453" w:rsidRDefault="00E9398D" w:rsidP="003E757A">
      <w:pPr>
        <w:pStyle w:val="Rule"/>
        <w:rPr>
          <w:rStyle w:val="None"/>
          <w:rFonts w:eastAsia="Georgia" w:cs="Georgia"/>
        </w:rPr>
      </w:pPr>
      <w:r w:rsidRPr="00AA0453">
        <w:rPr>
          <w:rStyle w:val="None"/>
          <w:rFonts w:eastAsia="Georgia" w:cs="Georgia"/>
        </w:rPr>
        <w:t xml:space="preserve">Provide a full citation to a source the first time it is cited. </w:t>
      </w:r>
      <w:r w:rsidRPr="00AA0453">
        <w:rPr>
          <w:rStyle w:val="None"/>
        </w:rPr>
        <w:t xml:space="preserve">Refer to the rules in </w:t>
      </w:r>
      <w:r w:rsidRPr="00AA0453">
        <w:rPr>
          <w:rStyle w:val="None"/>
          <w:i/>
          <w:iCs/>
        </w:rPr>
        <w:t>The Indigo Book</w:t>
      </w:r>
      <w:r w:rsidRPr="00AA0453">
        <w:rPr>
          <w:rStyle w:val="None"/>
        </w:rPr>
        <w:t xml:space="preserve"> for examples of each source in full-citation form.</w:t>
      </w:r>
    </w:p>
    <w:p w14:paraId="53D2EFA2" w14:textId="13B9CCF5" w:rsidR="00E9398D" w:rsidRPr="00AA0453" w:rsidRDefault="00B1074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6.2 </w:t>
      </w:r>
      <w:r w:rsidR="00124906" w:rsidRPr="00AA0453">
        <w:rPr>
          <w:rStyle w:val="None"/>
          <w:rFonts w:ascii="Georgia" w:eastAsia="Georgia" w:hAnsi="Georgia" w:cs="Georgia"/>
        </w:rPr>
        <w:tab/>
      </w:r>
      <w:r w:rsidR="00E9398D" w:rsidRPr="00AA0453">
        <w:rPr>
          <w:rStyle w:val="None"/>
          <w:rFonts w:ascii="Georgia" w:eastAsia="Georgia" w:hAnsi="Georgia" w:cs="Georgia"/>
        </w:rPr>
        <w:t>Short Citations</w:t>
      </w:r>
    </w:p>
    <w:p w14:paraId="5E400CCA" w14:textId="73062CF8" w:rsidR="00E9398D" w:rsidRPr="00AA0453" w:rsidRDefault="00E9398D" w:rsidP="003E757A">
      <w:pPr>
        <w:pStyle w:val="Rule"/>
        <w:rPr>
          <w:rStyle w:val="None"/>
          <w:rFonts w:eastAsia="Georgia" w:cs="Georgia"/>
        </w:rPr>
      </w:pPr>
      <w:r w:rsidRPr="00AA0453">
        <w:rPr>
          <w:rStyle w:val="None"/>
          <w:rFonts w:eastAsia="Georgia" w:cs="Georgia"/>
        </w:rPr>
        <w:t xml:space="preserve">Legal citation provides frequent specific citations not just to sources as a whole, but to specific pages within sources. In some standard legal documents, every textual sentence is followed by a citation to a supporting legal source. Short-citation forms allow frequent citation in a less intrusive and repetitive way, since many full citation forms are quite long. </w:t>
      </w:r>
    </w:p>
    <w:p w14:paraId="5A3793A6" w14:textId="6773D2C5" w:rsidR="00E9398D" w:rsidRPr="00AA0453" w:rsidRDefault="00B10744"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6.2.1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Short </w:t>
      </w:r>
      <w:r w:rsidR="00704D45" w:rsidRPr="00AA0453">
        <w:rPr>
          <w:rStyle w:val="None"/>
          <w:rFonts w:ascii="Georgia" w:eastAsia="Georgia" w:hAnsi="Georgia" w:cs="Georgia"/>
        </w:rPr>
        <w:t>c</w:t>
      </w:r>
      <w:r w:rsidR="00E9398D" w:rsidRPr="00AA0453">
        <w:rPr>
          <w:rStyle w:val="None"/>
          <w:rFonts w:ascii="Georgia" w:eastAsia="Georgia" w:hAnsi="Georgia" w:cs="Georgia"/>
        </w:rPr>
        <w:t xml:space="preserve">itations </w:t>
      </w:r>
      <w:r w:rsidR="00704D45" w:rsidRPr="00AA0453">
        <w:rPr>
          <w:rStyle w:val="None"/>
          <w:rFonts w:ascii="Georgia" w:eastAsia="Georgia" w:hAnsi="Georgia" w:cs="Georgia"/>
        </w:rPr>
        <w:t>d</w:t>
      </w:r>
      <w:r w:rsidR="00E9398D" w:rsidRPr="00AA0453">
        <w:rPr>
          <w:rStyle w:val="None"/>
          <w:rFonts w:ascii="Georgia" w:eastAsia="Georgia" w:hAnsi="Georgia" w:cs="Georgia"/>
        </w:rPr>
        <w:t xml:space="preserve">erived from the </w:t>
      </w:r>
      <w:r w:rsidR="00704D45" w:rsidRPr="00AA0453">
        <w:rPr>
          <w:rStyle w:val="None"/>
          <w:rFonts w:ascii="Georgia" w:eastAsia="Georgia" w:hAnsi="Georgia" w:cs="Georgia"/>
        </w:rPr>
        <w:t>f</w:t>
      </w:r>
      <w:r w:rsidR="00E9398D" w:rsidRPr="00AA0453">
        <w:rPr>
          <w:rStyle w:val="None"/>
          <w:rFonts w:ascii="Georgia" w:eastAsia="Georgia" w:hAnsi="Georgia" w:cs="Georgia"/>
        </w:rPr>
        <w:t xml:space="preserve">ull </w:t>
      </w:r>
      <w:r w:rsidR="00704D45" w:rsidRPr="00AA0453">
        <w:rPr>
          <w:rStyle w:val="None"/>
          <w:rFonts w:ascii="Georgia" w:eastAsia="Georgia" w:hAnsi="Georgia" w:cs="Georgia"/>
        </w:rPr>
        <w:t>c</w:t>
      </w:r>
      <w:r w:rsidR="00E9398D" w:rsidRPr="00AA0453">
        <w:rPr>
          <w:rStyle w:val="None"/>
          <w:rFonts w:ascii="Georgia" w:eastAsia="Georgia" w:hAnsi="Georgia" w:cs="Georgia"/>
        </w:rPr>
        <w:t>itation</w:t>
      </w:r>
    </w:p>
    <w:p w14:paraId="21282139" w14:textId="3A90579B" w:rsidR="00E9398D" w:rsidRPr="00AA0453" w:rsidRDefault="00E9398D" w:rsidP="003E757A">
      <w:pPr>
        <w:pStyle w:val="Rule"/>
        <w:rPr>
          <w:rStyle w:val="None"/>
        </w:rPr>
      </w:pPr>
      <w:r w:rsidRPr="00AA0453">
        <w:rPr>
          <w:rStyle w:val="None"/>
        </w:rPr>
        <w:t xml:space="preserve">Short-form citations enable various sources to </w:t>
      </w:r>
      <w:r w:rsidR="008A24E4">
        <w:rPr>
          <w:rStyle w:val="None"/>
        </w:rPr>
        <w:t xml:space="preserve">be </w:t>
      </w:r>
      <w:r w:rsidRPr="00AA0453">
        <w:rPr>
          <w:rStyle w:val="None"/>
        </w:rPr>
        <w:t>used throughout a passage without repeating the entire full citation every time. Short-form citations generally identify the source and pincite, using a form that follows from the full citation form, while not repeating every detail from the full citation.</w:t>
      </w:r>
    </w:p>
    <w:p w14:paraId="60B04DD0" w14:textId="52B781EE" w:rsidR="00E9398D" w:rsidRPr="00AA0453" w:rsidRDefault="00E9398D" w:rsidP="003E757A">
      <w:pPr>
        <w:pStyle w:val="Rule"/>
        <w:rPr>
          <w:rStyle w:val="None"/>
          <w:rFonts w:eastAsia="Georgia" w:cs="Georgia"/>
          <w:b/>
          <w:bCs/>
        </w:rPr>
      </w:pPr>
      <w:r w:rsidRPr="00AA0453">
        <w:rPr>
          <w:rStyle w:val="None"/>
        </w:rPr>
        <w:t xml:space="preserve">Every full citation has at least one short form that can be used later in a document after the initial full citation. Refer to the source-specific rules in the Indigo Book for short-citation form examples of each source. </w:t>
      </w:r>
    </w:p>
    <w:p w14:paraId="66A61986" w14:textId="6CCB4C5A" w:rsidR="00E9398D" w:rsidRPr="00AA0453" w:rsidRDefault="004B1AFD" w:rsidP="003E757A">
      <w:pPr>
        <w:pStyle w:val="Heading5"/>
        <w:rPr>
          <w:rStyle w:val="None"/>
          <w:rFonts w:ascii="Georgia" w:eastAsia="Georgia" w:hAnsi="Georgia" w:cs="Georgia"/>
          <w:i/>
          <w:iCs/>
        </w:rPr>
      </w:pPr>
      <w:r w:rsidRPr="00AA0453">
        <w:rPr>
          <w:rStyle w:val="None"/>
          <w:rFonts w:ascii="Georgia" w:eastAsia="Georgia" w:hAnsi="Georgia" w:cs="Georgia"/>
        </w:rPr>
        <w:t>R</w:t>
      </w:r>
      <w:r w:rsidR="00E9398D" w:rsidRPr="00AA0453">
        <w:rPr>
          <w:rStyle w:val="None"/>
          <w:rFonts w:ascii="Georgia" w:eastAsia="Georgia" w:hAnsi="Georgia" w:cs="Georgia"/>
        </w:rPr>
        <w:t xml:space="preserve">6.2.2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Use of </w:t>
      </w:r>
      <w:r w:rsidR="00E9398D" w:rsidRPr="00AA0453">
        <w:rPr>
          <w:rStyle w:val="None"/>
          <w:rFonts w:ascii="Georgia" w:hAnsi="Georgia"/>
          <w:i/>
          <w:iCs/>
        </w:rPr>
        <w:t>Id.</w:t>
      </w:r>
    </w:p>
    <w:p w14:paraId="0D2E1847" w14:textId="0BAD169C" w:rsidR="00E9398D" w:rsidRPr="00AA0453" w:rsidRDefault="00E9398D" w:rsidP="003E757A">
      <w:pPr>
        <w:pStyle w:val="Rule"/>
        <w:rPr>
          <w:rStyle w:val="None"/>
          <w:i/>
          <w:iCs/>
        </w:rPr>
      </w:pPr>
      <w:r w:rsidRPr="00AA0453">
        <w:rPr>
          <w:rStyle w:val="None"/>
        </w:rPr>
        <w:t xml:space="preserve">Use the short form </w:t>
      </w:r>
      <w:r w:rsidRPr="00AA0453">
        <w:rPr>
          <w:rStyle w:val="None"/>
          <w:i/>
          <w:iCs/>
        </w:rPr>
        <w:t>Id.</w:t>
      </w:r>
      <w:r w:rsidRPr="00AA0453">
        <w:rPr>
          <w:rStyle w:val="None"/>
        </w:rPr>
        <w:t xml:space="preserve"> (capitalized in a citation sentence after a text sentence) or </w:t>
      </w:r>
      <w:r w:rsidRPr="00AA0453">
        <w:rPr>
          <w:rStyle w:val="None"/>
          <w:i/>
          <w:iCs/>
        </w:rPr>
        <w:t>id.</w:t>
      </w:r>
      <w:r w:rsidRPr="00AA0453">
        <w:rPr>
          <w:rStyle w:val="None"/>
        </w:rPr>
        <w:t xml:space="preserve"> (uncapitalized within a sentence as citation clause) to support a statement where it refers to the same exact source cited in the immediately preceding citation. </w:t>
      </w:r>
      <w:r w:rsidRPr="00AA0453">
        <w:rPr>
          <w:rStyle w:val="None"/>
          <w:i/>
          <w:iCs/>
        </w:rPr>
        <w:t>Id.</w:t>
      </w:r>
      <w:r w:rsidRPr="00AA0453">
        <w:t xml:space="preserve"> can be used for statutes, regulations, cases, and most other sources. </w:t>
      </w:r>
      <w:r w:rsidRPr="00AA0453">
        <w:rPr>
          <w:rStyle w:val="None"/>
          <w:i/>
          <w:iCs/>
        </w:rPr>
        <w:t xml:space="preserve"> </w:t>
      </w:r>
    </w:p>
    <w:p w14:paraId="3C66132A" w14:textId="639FC1CC" w:rsidR="00E9398D" w:rsidRDefault="00E9398D" w:rsidP="003E757A">
      <w:pPr>
        <w:pStyle w:val="Rule"/>
        <w:rPr>
          <w:rStyle w:val="None"/>
        </w:rPr>
      </w:pPr>
      <w:r w:rsidRPr="00AA0453">
        <w:rPr>
          <w:rStyle w:val="None"/>
          <w:i/>
          <w:iCs/>
        </w:rPr>
        <w:t xml:space="preserve">Id. </w:t>
      </w:r>
      <w:r w:rsidRPr="00AA0453">
        <w:rPr>
          <w:rStyle w:val="None"/>
        </w:rPr>
        <w:t xml:space="preserve">can be used alone, to indicate the same page of the same source. It can be used with a new pincite to a page, section, or other subdivision, to indicate a different portion of the immediately preceding source. </w:t>
      </w:r>
      <w:r w:rsidRPr="00AA0453">
        <w:rPr>
          <w:rStyle w:val="None"/>
          <w:i/>
          <w:iCs/>
        </w:rPr>
        <w:t>Id.</w:t>
      </w:r>
      <w:r w:rsidRPr="00AA0453">
        <w:rPr>
          <w:rStyle w:val="None"/>
        </w:rPr>
        <w:t xml:space="preserve"> can also refer to a preceding citation that is itself </w:t>
      </w:r>
      <w:r w:rsidRPr="00AA0453">
        <w:rPr>
          <w:rStyle w:val="None"/>
          <w:i/>
          <w:iCs/>
        </w:rPr>
        <w:t>Id.</w:t>
      </w:r>
      <w:r w:rsidRPr="00AA0453">
        <w:rPr>
          <w:rStyle w:val="None"/>
        </w:rPr>
        <w:t xml:space="preserve"> or another short form of a citation. </w:t>
      </w:r>
      <w:r w:rsidR="00CF2B08">
        <w:rPr>
          <w:rStyle w:val="None"/>
        </w:rPr>
        <w:t xml:space="preserve">Use “at” to indicate a pincite to a page. Do not use “at” with </w:t>
      </w:r>
      <w:r w:rsidR="00CF2B08">
        <w:rPr>
          <w:rStyle w:val="None"/>
          <w:i/>
        </w:rPr>
        <w:t>Id.</w:t>
      </w:r>
      <w:r w:rsidR="00CF2B08">
        <w:rPr>
          <w:rStyle w:val="None"/>
        </w:rPr>
        <w:t xml:space="preserve"> followed by a section or paragraph pincite.</w:t>
      </w:r>
    </w:p>
    <w:p w14:paraId="02DAA5FD" w14:textId="70C8C009" w:rsidR="00CF2B08" w:rsidRDefault="00CF2B08" w:rsidP="003E757A">
      <w:pPr>
        <w:pStyle w:val="Rule"/>
        <w:rPr>
          <w:rStyle w:val="eop"/>
          <w:color w:val="000000"/>
          <w:shd w:val="clear" w:color="auto" w:fill="FFFFFF"/>
        </w:rPr>
      </w:pPr>
      <w:r>
        <w:rPr>
          <w:rStyle w:val="None"/>
        </w:rPr>
        <w:tab/>
      </w:r>
      <w:r>
        <w:rPr>
          <w:rStyle w:val="normaltextrun"/>
          <w:i/>
          <w:color w:val="000000"/>
          <w:shd w:val="clear" w:color="auto" w:fill="FFFFFF"/>
        </w:rPr>
        <w:t>Id.</w:t>
      </w:r>
      <w:r>
        <w:rPr>
          <w:rStyle w:val="normaltextrun"/>
          <w:color w:val="000000"/>
          <w:shd w:val="clear" w:color="auto" w:fill="FFFFFF"/>
        </w:rPr>
        <w:t xml:space="preserve"> at 1512. </w:t>
      </w:r>
      <w:r>
        <w:rPr>
          <w:rStyle w:val="eop"/>
          <w:color w:val="000000"/>
          <w:shd w:val="clear" w:color="auto" w:fill="FFFFFF"/>
        </w:rPr>
        <w:t> </w:t>
      </w:r>
    </w:p>
    <w:p w14:paraId="607C0FF4" w14:textId="5B5EC116" w:rsidR="00CF2B08" w:rsidRDefault="00CF2B08" w:rsidP="003E757A">
      <w:pPr>
        <w:pStyle w:val="Rule"/>
        <w:rPr>
          <w:rStyle w:val="None"/>
        </w:rPr>
      </w:pPr>
      <w:r>
        <w:rPr>
          <w:rStyle w:val="normaltextrun"/>
          <w:i/>
          <w:color w:val="000000"/>
          <w:shd w:val="clear" w:color="auto" w:fill="FFFFFF"/>
        </w:rPr>
        <w:tab/>
        <w:t>Id.</w:t>
      </w:r>
      <w:r>
        <w:rPr>
          <w:rStyle w:val="normaltextrun"/>
          <w:color w:val="000000"/>
          <w:shd w:val="clear" w:color="auto" w:fill="FFFFFF"/>
        </w:rPr>
        <w:t xml:space="preserve"> </w:t>
      </w:r>
      <w:r w:rsidRPr="00AA0453">
        <w:rPr>
          <w:rStyle w:val="None"/>
        </w:rPr>
        <w:t>§</w:t>
      </w:r>
      <w:r>
        <w:rPr>
          <w:rStyle w:val="None"/>
        </w:rPr>
        <w:t xml:space="preserve"> 9.</w:t>
      </w:r>
    </w:p>
    <w:p w14:paraId="1EF4E056" w14:textId="3981BFF2" w:rsidR="00CF2B08" w:rsidRPr="00AA0453" w:rsidRDefault="00CF2B08" w:rsidP="00CF2B08">
      <w:pPr>
        <w:pStyle w:val="Rule"/>
        <w:rPr>
          <w:rStyle w:val="None"/>
        </w:rPr>
      </w:pPr>
      <w:r>
        <w:rPr>
          <w:rStyle w:val="normaltextrun"/>
          <w:i/>
          <w:color w:val="000000"/>
          <w:shd w:val="clear" w:color="auto" w:fill="FFFFFF"/>
        </w:rPr>
        <w:tab/>
        <w:t>Id.</w:t>
      </w:r>
      <w:r>
        <w:rPr>
          <w:rStyle w:val="normaltextrun"/>
          <w:color w:val="000000"/>
          <w:shd w:val="clear" w:color="auto" w:fill="FFFFFF"/>
        </w:rPr>
        <w:t xml:space="preserve"> </w:t>
      </w:r>
      <w:r w:rsidRPr="00AA0453">
        <w:rPr>
          <w:rStyle w:val="None"/>
        </w:rPr>
        <w:t>¶</w:t>
      </w:r>
      <w:r>
        <w:rPr>
          <w:rStyle w:val="None"/>
        </w:rPr>
        <w:t xml:space="preserve"> 12.</w:t>
      </w:r>
      <w:r>
        <w:rPr>
          <w:rStyle w:val="eop"/>
          <w:color w:val="000000"/>
          <w:shd w:val="clear" w:color="auto" w:fill="FFFFFF"/>
        </w:rPr>
        <w:tab/>
      </w:r>
    </w:p>
    <w:p w14:paraId="32FA1504" w14:textId="5CFE64F0" w:rsidR="00E9398D" w:rsidRPr="00AA0453" w:rsidRDefault="00E9398D" w:rsidP="003E757A">
      <w:pPr>
        <w:pStyle w:val="Rule"/>
        <w:rPr>
          <w:rStyle w:val="None"/>
        </w:rPr>
      </w:pPr>
      <w:r w:rsidRPr="00AA0453">
        <w:rPr>
          <w:rStyle w:val="None"/>
        </w:rPr>
        <w:t xml:space="preserve">In general, </w:t>
      </w:r>
      <w:r w:rsidRPr="00AA0453">
        <w:rPr>
          <w:rStyle w:val="None"/>
          <w:rFonts w:eastAsia="Georgia" w:cs="Georgia"/>
        </w:rPr>
        <w:t>d</w:t>
      </w:r>
      <w:r w:rsidRPr="00AA0453">
        <w:t xml:space="preserve">o not use </w:t>
      </w:r>
      <w:r w:rsidRPr="00AA0453">
        <w:rPr>
          <w:rStyle w:val="None"/>
          <w:i/>
          <w:iCs/>
        </w:rPr>
        <w:t xml:space="preserve">id. </w:t>
      </w:r>
      <w:r w:rsidRPr="00AA0453">
        <w:t xml:space="preserve">if it causes confusion or does not save space. For example, </w:t>
      </w:r>
      <w:r w:rsidRPr="00AA0453">
        <w:rPr>
          <w:rStyle w:val="None"/>
          <w:i/>
          <w:iCs/>
        </w:rPr>
        <w:t>id.</w:t>
      </w:r>
      <w:r w:rsidRPr="00AA0453">
        <w:t xml:space="preserve"> cannot be used after a string citation, even to refer to the final source listed in that string. Do not use </w:t>
      </w:r>
      <w:r w:rsidRPr="00AA0453">
        <w:rPr>
          <w:i/>
          <w:iCs/>
        </w:rPr>
        <w:t>id.</w:t>
      </w:r>
      <w:r w:rsidRPr="00AA0453">
        <w:t xml:space="preserve"> to refer to appellate-record citations such as R. at 2. It may be used for sources with longer names in litigation documents, so long as the reference remains clear. </w:t>
      </w:r>
    </w:p>
    <w:p w14:paraId="3D78BA7E" w14:textId="2819D29F" w:rsidR="00E9398D" w:rsidRPr="00AA0453" w:rsidRDefault="00E9398D" w:rsidP="003E757A">
      <w:pPr>
        <w:pStyle w:val="Rule"/>
        <w:rPr>
          <w:rStyle w:val="None"/>
        </w:rPr>
      </w:pPr>
      <w:r w:rsidRPr="00AA0453">
        <w:rPr>
          <w:rStyle w:val="None"/>
          <w:i/>
          <w:iCs/>
        </w:rPr>
        <w:t>Id.</w:t>
      </w:r>
      <w:r w:rsidRPr="00AA0453">
        <w:rPr>
          <w:rStyle w:val="None"/>
        </w:rPr>
        <w:t xml:space="preserve"> can be used in </w:t>
      </w:r>
      <w:r w:rsidR="00452908" w:rsidRPr="00AA0453">
        <w:rPr>
          <w:rStyle w:val="None"/>
        </w:rPr>
        <w:t xml:space="preserve">either </w:t>
      </w:r>
      <w:r w:rsidRPr="00AA0453">
        <w:rPr>
          <w:rStyle w:val="None"/>
        </w:rPr>
        <w:t xml:space="preserve">in-text citations or footnotes. </w:t>
      </w:r>
      <w:r w:rsidR="00452908" w:rsidRPr="00AA0453">
        <w:rPr>
          <w:rStyle w:val="None"/>
          <w:i/>
          <w:iCs/>
        </w:rPr>
        <w:t>Id.</w:t>
      </w:r>
      <w:r w:rsidR="00452908" w:rsidRPr="00AA0453">
        <w:rPr>
          <w:rStyle w:val="None"/>
        </w:rPr>
        <w:t xml:space="preserve"> is typically not used more than four times sequentially in footnotes.</w:t>
      </w:r>
    </w:p>
    <w:p w14:paraId="3B6B56DB" w14:textId="77777777" w:rsidR="00D569D1" w:rsidRPr="00AA0453" w:rsidRDefault="00D569D1" w:rsidP="003E757A">
      <w:pPr>
        <w:pStyle w:val="Rule"/>
        <w:rPr>
          <w:rStyle w:val="None"/>
        </w:rPr>
      </w:pPr>
    </w:p>
    <w:p w14:paraId="5B974837" w14:textId="3040EDAD" w:rsidR="00E9398D" w:rsidRPr="00AA0453" w:rsidRDefault="004B1AFD"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6.2.3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Use of </w:t>
      </w:r>
      <w:r w:rsidR="00704D45" w:rsidRPr="00AA0453">
        <w:rPr>
          <w:rStyle w:val="None"/>
          <w:rFonts w:ascii="Georgia" w:hAnsi="Georgia"/>
          <w:i/>
          <w:iCs/>
        </w:rPr>
        <w:t>s</w:t>
      </w:r>
      <w:r w:rsidR="00E9398D" w:rsidRPr="00AA0453">
        <w:rPr>
          <w:rStyle w:val="None"/>
          <w:rFonts w:ascii="Georgia" w:hAnsi="Georgia"/>
          <w:i/>
          <w:iCs/>
        </w:rPr>
        <w:t>upra</w:t>
      </w:r>
      <w:r w:rsidR="00E9398D" w:rsidRPr="00AA0453">
        <w:rPr>
          <w:rStyle w:val="None"/>
          <w:rFonts w:ascii="Georgia" w:hAnsi="Georgia"/>
        </w:rPr>
        <w:t xml:space="preserve"> </w:t>
      </w:r>
    </w:p>
    <w:p w14:paraId="099BC84D" w14:textId="76CA9859" w:rsidR="00AB104A" w:rsidRDefault="00E9398D" w:rsidP="004B1AFD">
      <w:pPr>
        <w:pStyle w:val="Rule"/>
        <w:rPr>
          <w:rStyle w:val="None"/>
        </w:rPr>
      </w:pPr>
      <w:r w:rsidRPr="00AA0453">
        <w:rPr>
          <w:rStyle w:val="None"/>
          <w:i/>
          <w:iCs/>
        </w:rPr>
        <w:t>Supra</w:t>
      </w:r>
      <w:r w:rsidRPr="00AA0453">
        <w:rPr>
          <w:rStyle w:val="None"/>
        </w:rPr>
        <w:t xml:space="preserve"> may be used </w:t>
      </w:r>
      <w:r w:rsidR="000F6DA2">
        <w:rPr>
          <w:rStyle w:val="None"/>
        </w:rPr>
        <w:t xml:space="preserve">as part of a short-form citation with </w:t>
      </w:r>
      <w:r w:rsidRPr="00AA0453">
        <w:rPr>
          <w:rStyle w:val="None"/>
        </w:rPr>
        <w:t>secondary sources such as books</w:t>
      </w:r>
      <w:r w:rsidR="008501E8">
        <w:rPr>
          <w:rStyle w:val="None"/>
        </w:rPr>
        <w:t xml:space="preserve">, </w:t>
      </w:r>
      <w:r w:rsidRPr="00AA0453">
        <w:rPr>
          <w:rStyle w:val="None"/>
        </w:rPr>
        <w:t>periodicals</w:t>
      </w:r>
      <w:r w:rsidR="008501E8">
        <w:rPr>
          <w:rStyle w:val="None"/>
        </w:rPr>
        <w:t>, internet sources</w:t>
      </w:r>
      <w:r w:rsidRPr="00AA0453">
        <w:rPr>
          <w:rStyle w:val="None"/>
        </w:rPr>
        <w:t>.</w:t>
      </w:r>
      <w:r w:rsidR="008501E8">
        <w:rPr>
          <w:rStyle w:val="None"/>
        </w:rPr>
        <w:t xml:space="preserve"> </w:t>
      </w:r>
      <w:r w:rsidR="00AB104A" w:rsidRPr="00AA0453">
        <w:rPr>
          <w:rStyle w:val="None"/>
        </w:rPr>
        <w:t xml:space="preserve">Legislative hearings may be referred to with </w:t>
      </w:r>
      <w:r w:rsidR="00AB104A" w:rsidRPr="00AA0453">
        <w:rPr>
          <w:rStyle w:val="None"/>
          <w:i/>
          <w:iCs/>
        </w:rPr>
        <w:t>supra</w:t>
      </w:r>
      <w:r w:rsidR="00AB104A">
        <w:rPr>
          <w:rStyle w:val="None"/>
        </w:rPr>
        <w:t xml:space="preserve">. </w:t>
      </w:r>
      <w:r w:rsidR="008501E8">
        <w:rPr>
          <w:rStyle w:val="None"/>
        </w:rPr>
        <w:t xml:space="preserve">Do not use </w:t>
      </w:r>
      <w:r w:rsidR="008501E8">
        <w:rPr>
          <w:rStyle w:val="None"/>
          <w:i/>
          <w:iCs/>
        </w:rPr>
        <w:t>supra</w:t>
      </w:r>
      <w:r w:rsidR="008501E8">
        <w:rPr>
          <w:rStyle w:val="None"/>
        </w:rPr>
        <w:t xml:space="preserve"> with </w:t>
      </w:r>
      <w:r w:rsidR="00821656">
        <w:rPr>
          <w:rStyle w:val="None"/>
        </w:rPr>
        <w:t>primary sources such as cases, statutes, constitutions, and most legislative materials</w:t>
      </w:r>
      <w:r w:rsidR="00AB104A">
        <w:rPr>
          <w:rStyle w:val="None"/>
        </w:rPr>
        <w:t xml:space="preserve"> (hearings excepted)</w:t>
      </w:r>
      <w:r w:rsidR="00821656">
        <w:rPr>
          <w:rStyle w:val="None"/>
        </w:rPr>
        <w:t xml:space="preserve">. Also do not use </w:t>
      </w:r>
      <w:r w:rsidR="00932FC5">
        <w:rPr>
          <w:rStyle w:val="None"/>
          <w:i/>
          <w:iCs/>
        </w:rPr>
        <w:t>supra</w:t>
      </w:r>
      <w:r w:rsidR="00932FC5">
        <w:rPr>
          <w:rStyle w:val="None"/>
        </w:rPr>
        <w:t xml:space="preserve"> with Restatements, model codes, or regulations.</w:t>
      </w:r>
      <w:r w:rsidRPr="00AA0453">
        <w:rPr>
          <w:rStyle w:val="None"/>
        </w:rPr>
        <w:t xml:space="preserve"> </w:t>
      </w:r>
    </w:p>
    <w:p w14:paraId="55BA5B04" w14:textId="109A46D3" w:rsidR="00E9398D" w:rsidRPr="00932FC5" w:rsidRDefault="00AB104A" w:rsidP="004B1AFD">
      <w:pPr>
        <w:pStyle w:val="Rule"/>
        <w:rPr>
          <w:rStyle w:val="None"/>
          <w:rFonts w:eastAsia="Georgia" w:cs="Georgia"/>
        </w:rPr>
      </w:pPr>
      <w:r>
        <w:rPr>
          <w:rStyle w:val="None"/>
        </w:rPr>
        <w:t xml:space="preserve">Apart from its use in selected legal citations, </w:t>
      </w:r>
      <w:r>
        <w:rPr>
          <w:rStyle w:val="None"/>
          <w:i/>
          <w:iCs/>
        </w:rPr>
        <w:t>supra</w:t>
      </w:r>
      <w:r w:rsidR="00932FC5">
        <w:rPr>
          <w:rStyle w:val="None"/>
          <w:i/>
          <w:iCs/>
        </w:rPr>
        <w:t xml:space="preserve"> </w:t>
      </w:r>
      <w:r w:rsidR="00932FC5">
        <w:rPr>
          <w:rStyle w:val="None"/>
        </w:rPr>
        <w:t>may also be used as an internal cross referenc</w:t>
      </w:r>
      <w:r>
        <w:rPr>
          <w:rStyle w:val="None"/>
        </w:rPr>
        <w:t>e.</w:t>
      </w:r>
    </w:p>
    <w:p w14:paraId="69429E03" w14:textId="35D8EE35" w:rsidR="00E9398D" w:rsidRPr="00AA0453" w:rsidRDefault="00E9398D" w:rsidP="004B1AFD">
      <w:pPr>
        <w:pStyle w:val="Example"/>
        <w:ind w:left="1440"/>
        <w:rPr>
          <w:rStyle w:val="None"/>
          <w:b/>
          <w:bCs/>
        </w:rPr>
      </w:pPr>
      <w:r w:rsidRPr="00AA0453">
        <w:rPr>
          <w:rStyle w:val="None"/>
          <w:b/>
          <w:bCs/>
        </w:rPr>
        <w:t>Examples:</w:t>
      </w:r>
    </w:p>
    <w:p w14:paraId="39814252" w14:textId="77777777" w:rsidR="004B1AFD" w:rsidRPr="00AA0453" w:rsidRDefault="00E9398D" w:rsidP="004B1AFD">
      <w:pPr>
        <w:pStyle w:val="Example"/>
        <w:ind w:left="1440"/>
        <w:rPr>
          <w:rStyle w:val="None"/>
          <w:b/>
          <w:bCs/>
        </w:rPr>
      </w:pPr>
      <w:r w:rsidRPr="00AA0453">
        <w:rPr>
          <w:rStyle w:val="None"/>
          <w:b/>
          <w:bCs/>
        </w:rPr>
        <w:t xml:space="preserve">Full citation: </w:t>
      </w:r>
    </w:p>
    <w:p w14:paraId="3BB4D911" w14:textId="763AC6C1" w:rsidR="00E9398D" w:rsidRPr="00AA0453" w:rsidRDefault="00E9398D" w:rsidP="004B1AFD">
      <w:pPr>
        <w:pStyle w:val="Example"/>
        <w:ind w:left="1440"/>
      </w:pPr>
      <w:r w:rsidRPr="00AA0453">
        <w:rPr>
          <w:rStyle w:val="None"/>
        </w:rPr>
        <w:t xml:space="preserve">Anjali Vats, </w:t>
      </w:r>
      <w:r w:rsidRPr="00AA0453">
        <w:rPr>
          <w:rStyle w:val="None"/>
          <w:i/>
          <w:iCs/>
        </w:rPr>
        <w:t>The Color of Creatorship: Intellectual Property, Race, and the Making of Americans</w:t>
      </w:r>
      <w:r w:rsidRPr="00AA0453">
        <w:rPr>
          <w:rStyle w:val="None"/>
        </w:rPr>
        <w:t xml:space="preserve"> (2020)</w:t>
      </w:r>
      <w:r w:rsidR="00BF13D9">
        <w:rPr>
          <w:rStyle w:val="None"/>
        </w:rPr>
        <w:t>.</w:t>
      </w:r>
      <w:r w:rsidRPr="00AA0453">
        <w:rPr>
          <w:rStyle w:val="None"/>
        </w:rPr>
        <w:t xml:space="preserve"> </w:t>
      </w:r>
    </w:p>
    <w:p w14:paraId="2E8F7886" w14:textId="77777777" w:rsidR="004B1AFD" w:rsidRPr="00AA0453" w:rsidRDefault="00E9398D" w:rsidP="004B1AFD">
      <w:pPr>
        <w:pStyle w:val="Example"/>
        <w:ind w:left="2160"/>
        <w:rPr>
          <w:rStyle w:val="None"/>
          <w:b/>
          <w:bCs/>
        </w:rPr>
      </w:pPr>
      <w:r w:rsidRPr="00AA0453">
        <w:rPr>
          <w:rStyle w:val="None"/>
          <w:b/>
          <w:bCs/>
        </w:rPr>
        <w:t xml:space="preserve">Short citation in a standard legal document using in-text citations: </w:t>
      </w:r>
    </w:p>
    <w:p w14:paraId="23F8444F" w14:textId="510F6CBE" w:rsidR="00E9398D" w:rsidRPr="00AA0453" w:rsidRDefault="004B1AFD" w:rsidP="004B1AFD">
      <w:pPr>
        <w:pStyle w:val="Example"/>
        <w:ind w:left="2160"/>
      </w:pPr>
      <w:r w:rsidRPr="00AA0453">
        <w:rPr>
          <w:rStyle w:val="None"/>
        </w:rPr>
        <w:tab/>
      </w:r>
      <w:r w:rsidR="00E9398D" w:rsidRPr="00AA0453">
        <w:rPr>
          <w:rStyle w:val="None"/>
        </w:rPr>
        <w:t xml:space="preserve">Vats, </w:t>
      </w:r>
      <w:r w:rsidR="00E9398D" w:rsidRPr="00AA0453">
        <w:rPr>
          <w:rStyle w:val="None"/>
          <w:i/>
          <w:iCs/>
        </w:rPr>
        <w:t>supra</w:t>
      </w:r>
      <w:r w:rsidR="00E9398D" w:rsidRPr="00AA0453">
        <w:rPr>
          <w:rStyle w:val="None"/>
        </w:rPr>
        <w:t>, at 100.</w:t>
      </w:r>
    </w:p>
    <w:p w14:paraId="38F211EA" w14:textId="77777777" w:rsidR="004B1AFD" w:rsidRPr="00AA0453" w:rsidRDefault="00E9398D" w:rsidP="004B1AFD">
      <w:pPr>
        <w:pStyle w:val="Example"/>
        <w:ind w:left="2160"/>
        <w:rPr>
          <w:rStyle w:val="None"/>
          <w:b/>
          <w:bCs/>
        </w:rPr>
      </w:pPr>
      <w:r w:rsidRPr="00AA0453">
        <w:rPr>
          <w:rStyle w:val="None"/>
          <w:b/>
          <w:bCs/>
        </w:rPr>
        <w:t xml:space="preserve">Short citation in an academic legal document with footnotes: </w:t>
      </w:r>
    </w:p>
    <w:p w14:paraId="06614A18" w14:textId="39A5FE72" w:rsidR="00E9398D" w:rsidRPr="00AA0453" w:rsidRDefault="004B1AFD" w:rsidP="004B1AFD">
      <w:pPr>
        <w:pStyle w:val="Example"/>
        <w:ind w:left="2160"/>
      </w:pPr>
      <w:r w:rsidRPr="00AA0453">
        <w:rPr>
          <w:rStyle w:val="None"/>
        </w:rPr>
        <w:tab/>
      </w:r>
      <w:r w:rsidR="00E9398D" w:rsidRPr="00AA0453">
        <w:rPr>
          <w:rStyle w:val="None"/>
        </w:rPr>
        <w:t xml:space="preserve">Vats, </w:t>
      </w:r>
      <w:r w:rsidR="00E9398D" w:rsidRPr="00AA0453">
        <w:rPr>
          <w:rStyle w:val="None"/>
          <w:i/>
          <w:iCs/>
        </w:rPr>
        <w:t>supra</w:t>
      </w:r>
      <w:r w:rsidR="00E9398D" w:rsidRPr="00AA0453">
        <w:rPr>
          <w:rStyle w:val="None"/>
        </w:rPr>
        <w:t xml:space="preserve"> note 5, at 100.</w:t>
      </w:r>
    </w:p>
    <w:p w14:paraId="56236AB8" w14:textId="130F69FA" w:rsidR="00E9398D" w:rsidRPr="00AA0453" w:rsidRDefault="00E9398D" w:rsidP="00E9398D">
      <w:pPr>
        <w:pStyle w:val="Body"/>
        <w:rPr>
          <w:rStyle w:val="None"/>
          <w:rFonts w:ascii="Georgia" w:eastAsia="Georgia" w:hAnsi="Georgia" w:cs="Georgia"/>
          <w:b/>
          <w:bCs/>
          <w:smallCaps/>
          <w:color w:val="4B0082"/>
          <w:u w:color="4B0082"/>
          <w:lang w:val="en-US"/>
        </w:rPr>
      </w:pPr>
    </w:p>
    <w:p w14:paraId="27C1F01C" w14:textId="77777777" w:rsidR="00E9398D" w:rsidRPr="00AA0453" w:rsidRDefault="00E9398D" w:rsidP="004B1AFD">
      <w:pPr>
        <w:pStyle w:val="InklingTitle"/>
        <w:rPr>
          <w:rStyle w:val="None"/>
          <w:rFonts w:ascii="Georgia" w:eastAsia="Georgia" w:hAnsi="Georgia" w:cs="Georgia"/>
          <w:lang w:val="en-US"/>
        </w:rPr>
      </w:pPr>
      <w:r w:rsidRPr="00AA0453">
        <w:rPr>
          <w:rStyle w:val="None"/>
          <w:rFonts w:ascii="Georgia" w:hAnsi="Georgia"/>
          <w:color w:val="4B0082"/>
          <w:u w:color="4B0082"/>
          <w:lang w:val="en-US"/>
        </w:rPr>
        <w:t>Indigo Inkling</w:t>
      </w:r>
    </w:p>
    <w:p w14:paraId="56251ECA" w14:textId="77777777" w:rsidR="00E9398D" w:rsidRPr="00AA0453" w:rsidRDefault="00E9398D" w:rsidP="004B1AFD">
      <w:pPr>
        <w:pStyle w:val="Inkling"/>
        <w:rPr>
          <w:rStyle w:val="None"/>
          <w:rFonts w:ascii="Georgia" w:eastAsia="Georgia" w:hAnsi="Georgia" w:cs="Georgia"/>
          <w:lang w:val="en-US"/>
        </w:rPr>
      </w:pPr>
      <w:r w:rsidRPr="00AA0453">
        <w:rPr>
          <w:rStyle w:val="None"/>
          <w:rFonts w:ascii="Georgia" w:hAnsi="Georgia"/>
          <w:lang w:val="en-US"/>
        </w:rPr>
        <w:t>In academic legal documents using footnotes, a “preceding five” norm has developed wherein one may continue to use a short form citation as long as the full citation appears in one of the previous five footnotes.</w:t>
      </w:r>
    </w:p>
    <w:p w14:paraId="691B0332" w14:textId="77777777" w:rsidR="00E9398D" w:rsidRPr="00AA0453" w:rsidRDefault="00E9398D" w:rsidP="004B1AFD">
      <w:pPr>
        <w:pStyle w:val="Inkling"/>
        <w:rPr>
          <w:rStyle w:val="None"/>
          <w:rFonts w:ascii="Georgia" w:eastAsia="Georgia" w:hAnsi="Georgia" w:cs="Georgia"/>
          <w:lang w:val="en-US"/>
        </w:rPr>
      </w:pPr>
    </w:p>
    <w:p w14:paraId="4C5690DF" w14:textId="77777777" w:rsidR="00E9398D" w:rsidRPr="00AA0453" w:rsidRDefault="00E9398D" w:rsidP="004B1AFD">
      <w:pPr>
        <w:pStyle w:val="Inkling"/>
        <w:rPr>
          <w:rStyle w:val="None"/>
          <w:rFonts w:ascii="Georgia" w:eastAsia="Georgia" w:hAnsi="Georgia" w:cs="Georgia"/>
          <w:lang w:val="en-US"/>
        </w:rPr>
      </w:pPr>
      <w:r w:rsidRPr="00AA0453">
        <w:rPr>
          <w:rStyle w:val="None"/>
          <w:rFonts w:ascii="Georgia" w:hAnsi="Georgia"/>
          <w:lang w:val="en-US"/>
        </w:rPr>
        <w:t>There has been some variation in the application of this rule; for example, some practitioners will continue to use the short form throughout an entire article or brief unless they need to use “</w:t>
      </w:r>
      <w:r w:rsidRPr="00AA0453">
        <w:rPr>
          <w:rStyle w:val="None"/>
          <w:rFonts w:ascii="Georgia" w:hAnsi="Georgia"/>
          <w:i/>
          <w:iCs/>
          <w:lang w:val="en-US"/>
        </w:rPr>
        <w:t>id.</w:t>
      </w:r>
      <w:r w:rsidRPr="00AA0453">
        <w:rPr>
          <w:rStyle w:val="None"/>
          <w:rFonts w:ascii="Georgia" w:hAnsi="Georgia"/>
          <w:lang w:val="en-US"/>
        </w:rPr>
        <w:t>” repeatedly, in which event they follow the “preceding five” rule to avoid potential ambiguity. However, none of these conventions are absolute. Short-citation forms should be used in a clear, consistent, and helpful manner.</w:t>
      </w:r>
    </w:p>
    <w:p w14:paraId="30009095" w14:textId="77777777" w:rsidR="00E9398D" w:rsidRPr="00AA0453" w:rsidRDefault="00E9398D" w:rsidP="004B1AFD">
      <w:pPr>
        <w:pStyle w:val="Inkling"/>
        <w:rPr>
          <w:rStyle w:val="None"/>
          <w:rFonts w:ascii="Georgia" w:eastAsia="Georgia" w:hAnsi="Georgia" w:cs="Georgia"/>
          <w:shd w:val="clear" w:color="auto" w:fill="FFFF00"/>
          <w:lang w:val="en-US"/>
        </w:rPr>
      </w:pPr>
    </w:p>
    <w:p w14:paraId="20B7683E" w14:textId="1051F854"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t>R7 Abbreviations</w:t>
      </w:r>
    </w:p>
    <w:p w14:paraId="3726CA45" w14:textId="0CAE92E0" w:rsidR="00E9398D" w:rsidRPr="00AA0453" w:rsidRDefault="00E543E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7.1 </w:t>
      </w:r>
      <w:r w:rsidR="00E9398D" w:rsidRPr="00AA0453">
        <w:rPr>
          <w:rStyle w:val="None"/>
          <w:rFonts w:ascii="Georgia" w:eastAsia="Georgia" w:hAnsi="Georgia" w:cs="Georgia"/>
        </w:rPr>
        <w:tab/>
      </w:r>
      <w:r w:rsidR="00E9398D" w:rsidRPr="00AA0453">
        <w:rPr>
          <w:rStyle w:val="None"/>
          <w:rFonts w:ascii="Georgia" w:hAnsi="Georgia"/>
        </w:rPr>
        <w:t>Abbreviations Generally</w:t>
      </w:r>
    </w:p>
    <w:p w14:paraId="3F2AADFB" w14:textId="77777777" w:rsidR="000312EE" w:rsidRDefault="00E9398D" w:rsidP="003E757A">
      <w:pPr>
        <w:pStyle w:val="Rule"/>
        <w:rPr>
          <w:rStyle w:val="None"/>
          <w:rFonts w:eastAsia="Georgia" w:cs="Georgia"/>
        </w:rPr>
      </w:pPr>
      <w:r w:rsidRPr="00AA0453">
        <w:rPr>
          <w:rStyle w:val="None"/>
          <w:rFonts w:eastAsia="Georgia" w:cs="Georgia"/>
        </w:rPr>
        <w:t xml:space="preserve">Legal sources are often long and unwieldy. The </w:t>
      </w:r>
      <w:r w:rsidR="00AD213C">
        <w:rPr>
          <w:rStyle w:val="None"/>
          <w:rFonts w:eastAsia="Georgia" w:cs="Georgia"/>
        </w:rPr>
        <w:t>t</w:t>
      </w:r>
      <w:r w:rsidRPr="00AA0453">
        <w:rPr>
          <w:rStyle w:val="None"/>
          <w:rFonts w:eastAsia="Georgia" w:cs="Georgia"/>
        </w:rPr>
        <w:t xml:space="preserve">ables at the back of </w:t>
      </w:r>
      <w:r w:rsidR="00FF6E25" w:rsidRPr="00FF6E25">
        <w:rPr>
          <w:rStyle w:val="None"/>
          <w:rFonts w:eastAsia="Georgia" w:cs="Georgia"/>
          <w:i/>
          <w:iCs/>
        </w:rPr>
        <w:t>The</w:t>
      </w:r>
      <w:r w:rsidRPr="00FF6E25">
        <w:rPr>
          <w:rStyle w:val="None"/>
          <w:rFonts w:eastAsia="Georgia" w:cs="Georgia"/>
          <w:i/>
          <w:iCs/>
        </w:rPr>
        <w:t xml:space="preserve"> Indigo Book</w:t>
      </w:r>
      <w:r w:rsidRPr="00AA0453">
        <w:rPr>
          <w:rStyle w:val="None"/>
          <w:rFonts w:eastAsia="Georgia" w:cs="Georgia"/>
        </w:rPr>
        <w:t xml:space="preserve"> provide various resources for finding appropriate and required abbreviations.</w:t>
      </w:r>
      <w:r w:rsidR="00DB7B3F">
        <w:rPr>
          <w:rStyle w:val="None"/>
          <w:rFonts w:eastAsia="Georgia" w:cs="Georgia"/>
        </w:rPr>
        <w:t xml:space="preserve"> </w:t>
      </w:r>
    </w:p>
    <w:p w14:paraId="6E1EE7B7" w14:textId="77777777" w:rsidR="00421E61" w:rsidRDefault="00DB7B3F" w:rsidP="00421E61">
      <w:pPr>
        <w:pStyle w:val="Rule"/>
        <w:numPr>
          <w:ilvl w:val="0"/>
          <w:numId w:val="105"/>
        </w:numPr>
        <w:rPr>
          <w:rStyle w:val="None"/>
          <w:rFonts w:eastAsia="Georgia" w:cs="Georgia"/>
        </w:rPr>
      </w:pPr>
      <w:r w:rsidRPr="00946189">
        <w:rPr>
          <w:rStyle w:val="Rulereferencecharacterstyle"/>
        </w:rPr>
        <w:t>Table T1</w:t>
      </w:r>
      <w:r>
        <w:rPr>
          <w:rStyle w:val="None"/>
          <w:rFonts w:eastAsia="Georgia" w:cs="Georgia"/>
        </w:rPr>
        <w:t>,</w:t>
      </w:r>
      <w:r w:rsidR="000312EE">
        <w:rPr>
          <w:rStyle w:val="None"/>
          <w:rFonts w:eastAsia="Georgia" w:cs="Georgia"/>
        </w:rPr>
        <w:t xml:space="preserve"> </w:t>
      </w:r>
      <w:r w:rsidR="000312EE" w:rsidRPr="00946189">
        <w:rPr>
          <w:rStyle w:val="Rulereferencecharacterstyle"/>
        </w:rPr>
        <w:t>Table</w:t>
      </w:r>
      <w:r w:rsidRPr="00946189">
        <w:rPr>
          <w:rStyle w:val="Rulereferencecharacterstyle"/>
        </w:rPr>
        <w:t xml:space="preserve"> T2</w:t>
      </w:r>
      <w:r>
        <w:rPr>
          <w:rStyle w:val="None"/>
          <w:rFonts w:eastAsia="Georgia" w:cs="Georgia"/>
        </w:rPr>
        <w:t>, and</w:t>
      </w:r>
      <w:r w:rsidRPr="00946189">
        <w:rPr>
          <w:rStyle w:val="Rulereferencecharacterstyle"/>
        </w:rPr>
        <w:t xml:space="preserve"> </w:t>
      </w:r>
      <w:r w:rsidR="000312EE" w:rsidRPr="00946189">
        <w:rPr>
          <w:rStyle w:val="Rulereferencecharacterstyle"/>
        </w:rPr>
        <w:t xml:space="preserve">Table </w:t>
      </w:r>
      <w:r w:rsidRPr="00946189">
        <w:rPr>
          <w:rStyle w:val="Rulereferencecharacterstyle"/>
        </w:rPr>
        <w:t>T3</w:t>
      </w:r>
      <w:r>
        <w:rPr>
          <w:rStyle w:val="None"/>
          <w:rFonts w:eastAsia="Georgia" w:cs="Georgia"/>
        </w:rPr>
        <w:t xml:space="preserve"> provide information and abbreviations relevant to federal and state primary-source citations. </w:t>
      </w:r>
    </w:p>
    <w:p w14:paraId="19677DD8" w14:textId="77777777" w:rsidR="00421E61" w:rsidRDefault="00DB7B3F" w:rsidP="00421E61">
      <w:pPr>
        <w:pStyle w:val="Rule"/>
        <w:numPr>
          <w:ilvl w:val="0"/>
          <w:numId w:val="105"/>
        </w:numPr>
        <w:rPr>
          <w:rStyle w:val="None"/>
          <w:rFonts w:eastAsia="Georgia" w:cs="Georgia"/>
        </w:rPr>
      </w:pPr>
      <w:r w:rsidRPr="00946189">
        <w:rPr>
          <w:rStyle w:val="Rulereferencecharacterstyle"/>
        </w:rPr>
        <w:t>Table T4</w:t>
      </w:r>
      <w:r>
        <w:rPr>
          <w:rStyle w:val="None"/>
          <w:rFonts w:eastAsia="Georgia" w:cs="Georgia"/>
        </w:rPr>
        <w:t xml:space="preserve"> provides abbreviation for looseleaf services compiling cases and other legal sources in frequently updated topical collections. </w:t>
      </w:r>
    </w:p>
    <w:p w14:paraId="47A90733" w14:textId="77777777" w:rsidR="00421E61" w:rsidRDefault="00DB7B3F" w:rsidP="00421E61">
      <w:pPr>
        <w:pStyle w:val="Rule"/>
        <w:numPr>
          <w:ilvl w:val="0"/>
          <w:numId w:val="105"/>
        </w:numPr>
        <w:rPr>
          <w:rStyle w:val="None"/>
          <w:rFonts w:eastAsia="Georgia" w:cs="Georgia"/>
        </w:rPr>
      </w:pPr>
      <w:r w:rsidRPr="00946189">
        <w:rPr>
          <w:rStyle w:val="Rulereferencecharacterstyle"/>
        </w:rPr>
        <w:t>Table T5</w:t>
      </w:r>
      <w:r>
        <w:rPr>
          <w:rStyle w:val="None"/>
          <w:rFonts w:eastAsia="Georgia" w:cs="Georgia"/>
        </w:rPr>
        <w:t xml:space="preserve"> provides legislative abbreviations. </w:t>
      </w:r>
    </w:p>
    <w:p w14:paraId="4136A2EF" w14:textId="2C97B562" w:rsidR="00421E61" w:rsidRDefault="00DB7B3F" w:rsidP="00421E61">
      <w:pPr>
        <w:pStyle w:val="Rule"/>
        <w:numPr>
          <w:ilvl w:val="0"/>
          <w:numId w:val="105"/>
        </w:numPr>
        <w:rPr>
          <w:rStyle w:val="None"/>
          <w:rFonts w:eastAsia="Georgia" w:cs="Georgia"/>
        </w:rPr>
      </w:pPr>
      <w:r w:rsidRPr="00946189">
        <w:rPr>
          <w:rStyle w:val="Rulereferencecharacterstyle"/>
        </w:rPr>
        <w:t>Tables T6, T7, and T8</w:t>
      </w:r>
      <w:r>
        <w:rPr>
          <w:rStyle w:val="None"/>
          <w:rFonts w:eastAsia="Georgia" w:cs="Georgia"/>
        </w:rPr>
        <w:t xml:space="preserve"> provide abbreviations for international, treaty, and arbitration sources</w:t>
      </w:r>
      <w:r w:rsidR="00E04D71">
        <w:rPr>
          <w:rStyle w:val="None"/>
          <w:rFonts w:eastAsia="Georgia" w:cs="Georgia"/>
        </w:rPr>
        <w:t>.</w:t>
      </w:r>
      <w:r w:rsidR="00602747">
        <w:rPr>
          <w:rStyle w:val="None"/>
          <w:rFonts w:eastAsia="Georgia" w:cs="Georgia"/>
        </w:rPr>
        <w:t xml:space="preserve"> </w:t>
      </w:r>
    </w:p>
    <w:p w14:paraId="31E85A8F" w14:textId="321524B2" w:rsidR="00EE6733" w:rsidRDefault="00602747" w:rsidP="00EE6733">
      <w:pPr>
        <w:pStyle w:val="Rule"/>
        <w:numPr>
          <w:ilvl w:val="0"/>
          <w:numId w:val="105"/>
        </w:numPr>
        <w:rPr>
          <w:rStyle w:val="None"/>
          <w:rFonts w:eastAsia="Georgia" w:cs="Georgia"/>
        </w:rPr>
      </w:pPr>
      <w:r w:rsidRPr="00E04D71">
        <w:rPr>
          <w:rStyle w:val="Rulereferencecharacterstyle"/>
        </w:rPr>
        <w:t>Table T9</w:t>
      </w:r>
      <w:r>
        <w:rPr>
          <w:rStyle w:val="None"/>
          <w:rFonts w:eastAsia="Georgia" w:cs="Georgia"/>
        </w:rPr>
        <w:t xml:space="preserve"> and </w:t>
      </w:r>
      <w:r w:rsidR="00E04D71" w:rsidRPr="00E04D71">
        <w:rPr>
          <w:rStyle w:val="Rulereferencecharacterstyle"/>
        </w:rPr>
        <w:t xml:space="preserve">Table </w:t>
      </w:r>
      <w:r w:rsidRPr="00E04D71">
        <w:rPr>
          <w:rStyle w:val="Rulereferencecharacterstyle"/>
        </w:rPr>
        <w:t>T10</w:t>
      </w:r>
      <w:r>
        <w:rPr>
          <w:rStyle w:val="None"/>
          <w:rFonts w:eastAsia="Georgia" w:cs="Georgia"/>
        </w:rPr>
        <w:t xml:space="preserve"> provide abbreviations for specific types of U.S. courts and the titles of judges and officials.</w:t>
      </w:r>
    </w:p>
    <w:p w14:paraId="65278049" w14:textId="77777777" w:rsidR="00EE6733" w:rsidRDefault="00602747" w:rsidP="00EE6733">
      <w:pPr>
        <w:pStyle w:val="Rule"/>
        <w:numPr>
          <w:ilvl w:val="0"/>
          <w:numId w:val="105"/>
        </w:numPr>
        <w:rPr>
          <w:rStyle w:val="None"/>
          <w:rFonts w:eastAsia="Georgia" w:cs="Georgia"/>
        </w:rPr>
      </w:pPr>
      <w:r w:rsidRPr="00E04D71">
        <w:rPr>
          <w:rStyle w:val="Rulereferencecharacterstyle"/>
        </w:rPr>
        <w:t>Table T11</w:t>
      </w:r>
      <w:r w:rsidRPr="00EE6733">
        <w:rPr>
          <w:rStyle w:val="None"/>
          <w:rFonts w:eastAsia="Georgia" w:cs="Georgia"/>
        </w:rPr>
        <w:t xml:space="preserve"> is of particular interest to many law students and others grappling with cases and periodical citations. It provides common-word abbreviations used in case names and for institutional authors and periodical titles. </w:t>
      </w:r>
      <w:r w:rsidRPr="00E04D71">
        <w:rPr>
          <w:rStyle w:val="Rulereferencecharacterstyle"/>
        </w:rPr>
        <w:t>Table T12</w:t>
      </w:r>
      <w:r w:rsidRPr="00EE6733">
        <w:rPr>
          <w:rStyle w:val="None"/>
          <w:rFonts w:eastAsia="Georgia" w:cs="Georgia"/>
        </w:rPr>
        <w:t xml:space="preserve"> provides geographical abbreviations.</w:t>
      </w:r>
    </w:p>
    <w:p w14:paraId="7FCA4F5F" w14:textId="77777777" w:rsidR="00E04D71" w:rsidRDefault="00602747" w:rsidP="00E04D71">
      <w:pPr>
        <w:pStyle w:val="Rule"/>
        <w:numPr>
          <w:ilvl w:val="0"/>
          <w:numId w:val="105"/>
        </w:numPr>
        <w:rPr>
          <w:rStyle w:val="None"/>
          <w:rFonts w:eastAsia="Georgia" w:cs="Georgia"/>
        </w:rPr>
      </w:pPr>
      <w:r w:rsidRPr="00E04D71">
        <w:rPr>
          <w:rStyle w:val="Rulereferencecharacterstyle"/>
        </w:rPr>
        <w:t>Table T13</w:t>
      </w:r>
      <w:r w:rsidRPr="00EE6733">
        <w:rPr>
          <w:rStyle w:val="None"/>
          <w:rFonts w:eastAsia="Georgia" w:cs="Georgia"/>
        </w:rPr>
        <w:t xml:space="preserve"> provides abbreviations for document subdivisions, and </w:t>
      </w:r>
      <w:r w:rsidR="00E04D71">
        <w:rPr>
          <w:rStyle w:val="None"/>
          <w:rFonts w:eastAsia="Georgia" w:cs="Georgia"/>
        </w:rPr>
        <w:t xml:space="preserve">Table </w:t>
      </w:r>
      <w:r w:rsidRPr="00EE6733">
        <w:rPr>
          <w:rStyle w:val="None"/>
          <w:rFonts w:eastAsia="Georgia" w:cs="Georgia"/>
        </w:rPr>
        <w:t>T14 provides abbreviations for explanatory phrases.</w:t>
      </w:r>
    </w:p>
    <w:p w14:paraId="230D66B5" w14:textId="77777777" w:rsidR="00E04D71" w:rsidRDefault="00602747" w:rsidP="00E04D71">
      <w:pPr>
        <w:pStyle w:val="Rule"/>
        <w:numPr>
          <w:ilvl w:val="0"/>
          <w:numId w:val="105"/>
        </w:numPr>
        <w:rPr>
          <w:rStyle w:val="None"/>
          <w:rFonts w:eastAsia="Georgia" w:cs="Georgia"/>
        </w:rPr>
      </w:pPr>
      <w:r w:rsidRPr="00E04D71">
        <w:rPr>
          <w:rStyle w:val="Rulereferencecharacterstyle"/>
        </w:rPr>
        <w:t xml:space="preserve">Table </w:t>
      </w:r>
      <w:r w:rsidR="00E04D71" w:rsidRPr="00E04D71">
        <w:rPr>
          <w:rStyle w:val="Rulereferencecharacterstyle"/>
        </w:rPr>
        <w:t>T</w:t>
      </w:r>
      <w:r w:rsidRPr="00E04D71">
        <w:rPr>
          <w:rStyle w:val="Rulereferencecharacterstyle"/>
        </w:rPr>
        <w:t>15</w:t>
      </w:r>
      <w:r w:rsidRPr="00E04D71">
        <w:rPr>
          <w:rStyle w:val="None"/>
          <w:rFonts w:eastAsia="Georgia" w:cs="Georgia"/>
        </w:rPr>
        <w:t xml:space="preserve"> provides abbreviations for specific institutional names in periodical titles, and thus these abbreviations take precedence over any conflicting common-word abbreviations for institutional names from Table </w:t>
      </w:r>
      <w:r w:rsidR="00E04D71">
        <w:rPr>
          <w:rStyle w:val="None"/>
          <w:rFonts w:eastAsia="Georgia" w:cs="Georgia"/>
        </w:rPr>
        <w:t>T</w:t>
      </w:r>
      <w:r w:rsidRPr="00E04D71">
        <w:rPr>
          <w:rStyle w:val="None"/>
          <w:rFonts w:eastAsia="Georgia" w:cs="Georgia"/>
        </w:rPr>
        <w:t>12. For example, the American Bar Association is ABA, not Amer. Bar. Ass’n, when used as an institutional author.</w:t>
      </w:r>
    </w:p>
    <w:p w14:paraId="4BDCEA13" w14:textId="25A6831C" w:rsidR="00E04D71" w:rsidRPr="00E04D71" w:rsidRDefault="00602747" w:rsidP="00E04D71">
      <w:pPr>
        <w:pStyle w:val="Rule"/>
        <w:numPr>
          <w:ilvl w:val="0"/>
          <w:numId w:val="105"/>
        </w:numPr>
        <w:rPr>
          <w:rStyle w:val="None"/>
          <w:rFonts w:eastAsia="Georgia" w:cs="Georgia"/>
        </w:rPr>
      </w:pPr>
      <w:r w:rsidRPr="008565BF">
        <w:rPr>
          <w:rStyle w:val="Rulereferencecharacterstyle"/>
        </w:rPr>
        <w:t xml:space="preserve">Table </w:t>
      </w:r>
      <w:r w:rsidR="00E04D71" w:rsidRPr="008565BF">
        <w:rPr>
          <w:rStyle w:val="Rulereferencecharacterstyle"/>
        </w:rPr>
        <w:t>T</w:t>
      </w:r>
      <w:r w:rsidRPr="008565BF">
        <w:rPr>
          <w:rStyle w:val="Rulereferencecharacterstyle"/>
        </w:rPr>
        <w:t>16</w:t>
      </w:r>
      <w:r w:rsidRPr="00E04D71">
        <w:rPr>
          <w:rStyle w:val="None"/>
          <w:rFonts w:eastAsia="Georgia" w:cs="Georgia"/>
        </w:rPr>
        <w:t xml:space="preserve"> provides abbreviations for publishing terms such as editor and translator. </w:t>
      </w:r>
      <w:r w:rsidRPr="008565BF">
        <w:rPr>
          <w:rStyle w:val="Rulereferencecharacterstyle"/>
        </w:rPr>
        <w:t xml:space="preserve">Table </w:t>
      </w:r>
      <w:r w:rsidR="00E04D71" w:rsidRPr="008565BF">
        <w:rPr>
          <w:rStyle w:val="Rulereferencecharacterstyle"/>
        </w:rPr>
        <w:t>T</w:t>
      </w:r>
      <w:r w:rsidRPr="008565BF">
        <w:rPr>
          <w:rStyle w:val="Rulereferencecharacterstyle"/>
        </w:rPr>
        <w:t>17</w:t>
      </w:r>
      <w:r w:rsidRPr="00E04D71">
        <w:rPr>
          <w:rStyle w:val="None"/>
          <w:rFonts w:eastAsia="Georgia" w:cs="Georgia"/>
        </w:rPr>
        <w:t xml:space="preserve"> provides abbreviations for the months of the year, needed in some periodical citations and </w:t>
      </w:r>
      <w:r w:rsidR="00106D1D" w:rsidRPr="00E04D71">
        <w:rPr>
          <w:rStyle w:val="None"/>
          <w:rFonts w:eastAsia="Georgia" w:cs="Georgia"/>
        </w:rPr>
        <w:t xml:space="preserve">in slip-opinion citations and other cases </w:t>
      </w:r>
      <w:r w:rsidRPr="00E04D71">
        <w:rPr>
          <w:rStyle w:val="None"/>
          <w:rFonts w:eastAsia="Georgia" w:cs="Georgia"/>
        </w:rPr>
        <w:t xml:space="preserve">found online rather than in reporters (thus requiring exact dates). </w:t>
      </w:r>
    </w:p>
    <w:p w14:paraId="1F2C0CC5" w14:textId="77777777" w:rsidR="008565BF" w:rsidRDefault="00602747" w:rsidP="00E04D71">
      <w:pPr>
        <w:pStyle w:val="Rule"/>
        <w:numPr>
          <w:ilvl w:val="0"/>
          <w:numId w:val="105"/>
        </w:numPr>
        <w:rPr>
          <w:rStyle w:val="None"/>
          <w:rFonts w:eastAsia="Georgia" w:cs="Georgia"/>
        </w:rPr>
      </w:pPr>
      <w:r w:rsidRPr="008565BF">
        <w:rPr>
          <w:rStyle w:val="Rulereferencecharacterstyle"/>
        </w:rPr>
        <w:t xml:space="preserve">Table </w:t>
      </w:r>
      <w:r w:rsidR="008565BF" w:rsidRPr="008565BF">
        <w:rPr>
          <w:rStyle w:val="Rulereferencecharacterstyle"/>
        </w:rPr>
        <w:t>T</w:t>
      </w:r>
      <w:r w:rsidRPr="008565BF">
        <w:rPr>
          <w:rStyle w:val="Rulereferencecharacterstyle"/>
        </w:rPr>
        <w:t>18</w:t>
      </w:r>
      <w:r w:rsidRPr="00E04D71">
        <w:rPr>
          <w:rStyle w:val="None"/>
          <w:rFonts w:eastAsia="Georgia" w:cs="Georgia"/>
        </w:rPr>
        <w:t xml:space="preserve"> is new to the Second Edition of </w:t>
      </w:r>
      <w:r w:rsidRPr="00E04D71">
        <w:rPr>
          <w:rStyle w:val="None"/>
          <w:rFonts w:eastAsia="Georgia" w:cs="Georgia"/>
          <w:i/>
          <w:iCs/>
        </w:rPr>
        <w:t>The Indigo Book</w:t>
      </w:r>
      <w:r w:rsidRPr="00E04D71">
        <w:rPr>
          <w:rStyle w:val="None"/>
          <w:rFonts w:eastAsia="Georgia" w:cs="Georgia"/>
        </w:rPr>
        <w:t xml:space="preserve"> and </w:t>
      </w:r>
      <w:r w:rsidR="006D190E" w:rsidRPr="00E04D71">
        <w:rPr>
          <w:rStyle w:val="None"/>
          <w:rFonts w:eastAsia="Georgia" w:cs="Georgia"/>
        </w:rPr>
        <w:t xml:space="preserve">provides abbreviations for litigation documents such as citing an affidavit or petition for certiorari. </w:t>
      </w:r>
    </w:p>
    <w:p w14:paraId="21A72A8E" w14:textId="77777777" w:rsidR="008565BF" w:rsidRDefault="006D190E" w:rsidP="00E04D71">
      <w:pPr>
        <w:pStyle w:val="Rule"/>
        <w:numPr>
          <w:ilvl w:val="0"/>
          <w:numId w:val="105"/>
        </w:numPr>
        <w:rPr>
          <w:rStyle w:val="None"/>
          <w:rFonts w:eastAsia="Georgia" w:cs="Georgia"/>
        </w:rPr>
      </w:pPr>
      <w:r w:rsidRPr="008565BF">
        <w:rPr>
          <w:rStyle w:val="Rulereferencecharacterstyle"/>
        </w:rPr>
        <w:t xml:space="preserve">Table </w:t>
      </w:r>
      <w:r w:rsidR="008565BF" w:rsidRPr="008565BF">
        <w:rPr>
          <w:rStyle w:val="Rulereferencecharacterstyle"/>
        </w:rPr>
        <w:t>T</w:t>
      </w:r>
      <w:r w:rsidRPr="008565BF">
        <w:rPr>
          <w:rStyle w:val="Rulereferencecharacterstyle"/>
        </w:rPr>
        <w:t>19</w:t>
      </w:r>
      <w:r w:rsidRPr="00E04D71">
        <w:rPr>
          <w:rStyle w:val="None"/>
          <w:rFonts w:eastAsia="Georgia" w:cs="Georgia"/>
        </w:rPr>
        <w:t xml:space="preserve"> is also new and shows selective examples of how the Uniform System of Citation produces citations in standard and academic formats—in other words, a guide to converting the practical citations in </w:t>
      </w:r>
      <w:r w:rsidRPr="00E04D71">
        <w:rPr>
          <w:rStyle w:val="None"/>
          <w:rFonts w:eastAsia="Georgia" w:cs="Georgia"/>
          <w:i/>
          <w:iCs/>
        </w:rPr>
        <w:t>The Indigo Book</w:t>
      </w:r>
      <w:r w:rsidRPr="00E04D71">
        <w:rPr>
          <w:rStyle w:val="None"/>
          <w:rFonts w:eastAsia="Georgia" w:cs="Georgia"/>
        </w:rPr>
        <w:t xml:space="preserve"> into a citation for an academic legal document (a law review). This Table is certainly not comprehensive but provides a</w:t>
      </w:r>
      <w:r w:rsidR="006D08A6" w:rsidRPr="00E04D71">
        <w:rPr>
          <w:rStyle w:val="None"/>
          <w:rFonts w:eastAsia="Georgia" w:cs="Georgia"/>
        </w:rPr>
        <w:t xml:space="preserve"> quick view into the font differences within the two branches of the Uniform System of Citation. </w:t>
      </w:r>
    </w:p>
    <w:p w14:paraId="5A2304D6" w14:textId="25185E1B" w:rsidR="00602747" w:rsidRPr="00E04D71" w:rsidRDefault="006D08A6" w:rsidP="00E04D71">
      <w:pPr>
        <w:pStyle w:val="Rule"/>
        <w:numPr>
          <w:ilvl w:val="0"/>
          <w:numId w:val="105"/>
        </w:numPr>
        <w:rPr>
          <w:rStyle w:val="None"/>
          <w:rFonts w:eastAsia="Georgia" w:cs="Georgia"/>
        </w:rPr>
      </w:pPr>
      <w:r w:rsidRPr="00E04D71">
        <w:rPr>
          <w:rStyle w:val="None"/>
          <w:rFonts w:eastAsia="Georgia" w:cs="Georgia"/>
        </w:rPr>
        <w:t xml:space="preserve">Finally, </w:t>
      </w:r>
      <w:r w:rsidRPr="008565BF">
        <w:rPr>
          <w:rStyle w:val="Rulereferencecharacterstyle"/>
        </w:rPr>
        <w:t>Table T20</w:t>
      </w:r>
      <w:r w:rsidRPr="00E04D71">
        <w:rPr>
          <w:rStyle w:val="None"/>
          <w:rFonts w:eastAsia="Georgia" w:cs="Georgia"/>
        </w:rPr>
        <w:t xml:space="preserve"> provides selective citations to additional online citation guides. </w:t>
      </w:r>
    </w:p>
    <w:p w14:paraId="6E8BF0ED" w14:textId="77777777" w:rsidR="00602747" w:rsidRDefault="00602747" w:rsidP="003E757A">
      <w:pPr>
        <w:pStyle w:val="Rule"/>
        <w:rPr>
          <w:rStyle w:val="None"/>
          <w:rFonts w:eastAsia="Georgia" w:cs="Georgia"/>
        </w:rPr>
      </w:pPr>
    </w:p>
    <w:p w14:paraId="447E1337" w14:textId="77777777" w:rsidR="00DB7B3F" w:rsidRPr="00AA0453" w:rsidRDefault="00DB7B3F" w:rsidP="003E757A">
      <w:pPr>
        <w:pStyle w:val="Rule"/>
        <w:rPr>
          <w:rStyle w:val="None"/>
          <w:rFonts w:eastAsia="Georgia" w:cs="Georgia"/>
        </w:rPr>
      </w:pPr>
    </w:p>
    <w:p w14:paraId="229CF529" w14:textId="5D650E11" w:rsidR="00E9398D" w:rsidRPr="00AA0453" w:rsidRDefault="00E543E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7.2</w:t>
      </w:r>
      <w:r w:rsidR="00E9398D" w:rsidRPr="00AA0453">
        <w:rPr>
          <w:rStyle w:val="None"/>
          <w:rFonts w:ascii="Georgia" w:eastAsia="Georgia" w:hAnsi="Georgia" w:cs="Georgia"/>
        </w:rPr>
        <w:tab/>
      </w:r>
      <w:r w:rsidR="00452908" w:rsidRPr="00AA0453">
        <w:rPr>
          <w:rStyle w:val="None"/>
          <w:rFonts w:ascii="Georgia" w:eastAsia="Georgia" w:hAnsi="Georgia" w:cs="Georgia"/>
        </w:rPr>
        <w:t>Ordinal Abbreviations</w:t>
      </w:r>
      <w:r w:rsidR="00BF13D9">
        <w:rPr>
          <w:rStyle w:val="None"/>
          <w:rFonts w:ascii="Georgia" w:eastAsia="Georgia" w:hAnsi="Georgia" w:cs="Georgia"/>
        </w:rPr>
        <w:t xml:space="preserve"> in Citations</w:t>
      </w:r>
    </w:p>
    <w:p w14:paraId="7A75E8BA" w14:textId="4B61C62F" w:rsidR="00E9398D" w:rsidRPr="00AA0453" w:rsidRDefault="00452908" w:rsidP="00BF13D9">
      <w:pPr>
        <w:pStyle w:val="Rule"/>
        <w:rPr>
          <w:rStyle w:val="None"/>
          <w:rFonts w:eastAsia="Georgia" w:cs="Georgia"/>
        </w:rPr>
      </w:pPr>
      <w:r w:rsidRPr="00AA0453">
        <w:rPr>
          <w:rStyle w:val="None"/>
          <w:rFonts w:eastAsia="Georgia" w:cs="Georgia"/>
        </w:rPr>
        <w:t>Ordinal ab</w:t>
      </w:r>
      <w:r w:rsidR="001D2B34">
        <w:rPr>
          <w:rStyle w:val="None"/>
          <w:rFonts w:eastAsia="Georgia" w:cs="Georgia"/>
        </w:rPr>
        <w:t>breviations</w:t>
      </w:r>
      <w:r w:rsidRPr="00AA0453">
        <w:rPr>
          <w:rStyle w:val="None"/>
          <w:rFonts w:eastAsia="Georgia" w:cs="Georgia"/>
        </w:rPr>
        <w:t xml:space="preserve"> </w:t>
      </w:r>
      <w:r w:rsidR="001D2B34">
        <w:rPr>
          <w:rStyle w:val="None"/>
          <w:rFonts w:eastAsia="Georgia" w:cs="Georgia"/>
        </w:rPr>
        <w:t>are used for</w:t>
      </w:r>
      <w:r w:rsidRPr="00AA0453">
        <w:rPr>
          <w:rStyle w:val="None"/>
          <w:rFonts w:eastAsia="Georgia" w:cs="Georgia"/>
        </w:rPr>
        <w:t xml:space="preserve"> the court/year p</w:t>
      </w:r>
      <w:r w:rsidR="001D2B34">
        <w:rPr>
          <w:rStyle w:val="None"/>
          <w:rFonts w:eastAsia="Georgia" w:cs="Georgia"/>
        </w:rPr>
        <w:t>arenthetical in a case citation, the numerical designation of a Congress, a publication’s addition number</w:t>
      </w:r>
      <w:r w:rsidR="00213972">
        <w:rPr>
          <w:rStyle w:val="None"/>
          <w:rFonts w:eastAsia="Georgia" w:cs="Georgia"/>
        </w:rPr>
        <w:t>, and other contexts.</w:t>
      </w:r>
      <w:r w:rsidR="001D2B34">
        <w:rPr>
          <w:rStyle w:val="None"/>
          <w:rFonts w:eastAsia="Georgia" w:cs="Georgia"/>
        </w:rPr>
        <w:t xml:space="preserve"> </w:t>
      </w:r>
      <w:r w:rsidRPr="00AA0453">
        <w:rPr>
          <w:rStyle w:val="None"/>
          <w:rFonts w:eastAsia="Georgia" w:cs="Georgia"/>
          <w:i/>
          <w:iCs/>
        </w:rPr>
        <w:t>See</w:t>
      </w:r>
      <w:r w:rsidRPr="00AA0453">
        <w:rPr>
          <w:rStyle w:val="None"/>
          <w:rFonts w:eastAsia="Georgia" w:cs="Georgia"/>
        </w:rPr>
        <w:t xml:space="preserve"> </w:t>
      </w:r>
      <w:r w:rsidRPr="006A2EC1">
        <w:rPr>
          <w:rStyle w:val="Rulereferencecharacterstyle"/>
        </w:rPr>
        <w:t>Rule R11</w:t>
      </w:r>
      <w:r w:rsidRPr="00AA0453">
        <w:rPr>
          <w:rFonts w:eastAsia="Georgia" w:cs="Georgia"/>
        </w:rPr>
        <w:t xml:space="preserve"> </w:t>
      </w:r>
      <w:r w:rsidRPr="00AA0453">
        <w:rPr>
          <w:rStyle w:val="None"/>
          <w:rFonts w:eastAsia="Georgia" w:cs="Georgia"/>
        </w:rPr>
        <w:t xml:space="preserve">generally and </w:t>
      </w:r>
      <w:r w:rsidRPr="008565BF">
        <w:rPr>
          <w:rStyle w:val="Rulereferencecharacterstyle"/>
        </w:rPr>
        <w:t xml:space="preserve">Table </w:t>
      </w:r>
      <w:r w:rsidR="00FF6E25" w:rsidRPr="008565BF">
        <w:rPr>
          <w:rStyle w:val="Rulereferencecharacterstyle"/>
        </w:rPr>
        <w:t>T</w:t>
      </w:r>
      <w:r w:rsidRPr="008565BF">
        <w:rPr>
          <w:rStyle w:val="Rulereferencecharacterstyle"/>
        </w:rPr>
        <w:t>1</w:t>
      </w:r>
      <w:r w:rsidRPr="00AA0453">
        <w:rPr>
          <w:rStyle w:val="None"/>
          <w:rFonts w:eastAsia="Georgia" w:cs="Georgia"/>
        </w:rPr>
        <w:t xml:space="preserve"> for the United States Courts of Appeal</w:t>
      </w:r>
      <w:r w:rsidR="0029598D">
        <w:rPr>
          <w:rStyle w:val="None"/>
          <w:rFonts w:eastAsia="Georgia" w:cs="Georgia"/>
        </w:rPr>
        <w:t>s (i.e. the various federal circuit courts)</w:t>
      </w:r>
      <w:r w:rsidRPr="00AA0453">
        <w:rPr>
          <w:rStyle w:val="None"/>
          <w:rFonts w:eastAsia="Georgia" w:cs="Georgia"/>
        </w:rPr>
        <w:t>.</w:t>
      </w:r>
      <w:r w:rsidR="00BF13D9">
        <w:rPr>
          <w:rStyle w:val="None"/>
          <w:rFonts w:eastAsia="Georgia" w:cs="Georgia"/>
        </w:rPr>
        <w:t xml:space="preserve"> </w:t>
      </w:r>
      <w:r w:rsidR="00213972">
        <w:rPr>
          <w:rStyle w:val="None"/>
          <w:rFonts w:eastAsia="Georgia" w:cs="Georgia"/>
        </w:rPr>
        <w:t>In citations and in textual references, ordinal abbreviations</w:t>
      </w:r>
      <w:r w:rsidR="00213972" w:rsidRPr="00AA0453">
        <w:rPr>
          <w:rStyle w:val="None"/>
          <w:rFonts w:eastAsia="Georgia" w:cs="Georgia"/>
        </w:rPr>
        <w:t xml:space="preserve"> do not use superscripts. </w:t>
      </w:r>
      <w:r w:rsidR="00213972">
        <w:rPr>
          <w:rStyle w:val="None"/>
          <w:rFonts w:eastAsia="Georgia" w:cs="Georgia"/>
        </w:rPr>
        <w:t>In citations, a</w:t>
      </w:r>
      <w:r w:rsidR="00BF13D9" w:rsidRPr="00AA0453">
        <w:rPr>
          <w:rStyle w:val="None"/>
          <w:rFonts w:eastAsia="Georgia" w:cs="Georgia"/>
        </w:rPr>
        <w:t xml:space="preserve">bbreviations for </w:t>
      </w:r>
      <w:r w:rsidR="00BF13D9" w:rsidRPr="00AA0453">
        <w:rPr>
          <w:rStyle w:val="None"/>
        </w:rPr>
        <w:t xml:space="preserve">“second” and “third” use ordinal style references </w:t>
      </w:r>
      <w:r w:rsidR="00213972">
        <w:rPr>
          <w:rStyle w:val="None"/>
        </w:rPr>
        <w:t>2d and 3d, respectively. Extrapolate to larger ordinal numbers ending in second or third, such as “twenty third” becoming “23d” in a citation.</w:t>
      </w:r>
    </w:p>
    <w:p w14:paraId="186E28AD" w14:textId="5B7D325C" w:rsidR="00E9398D" w:rsidRPr="00AA0453" w:rsidRDefault="00E543E4" w:rsidP="003E757A">
      <w:pPr>
        <w:pStyle w:val="Example"/>
        <w:ind w:left="1440"/>
        <w:rPr>
          <w:rStyle w:val="None"/>
          <w:b/>
          <w:bCs/>
        </w:rPr>
      </w:pPr>
      <w:r w:rsidRPr="00AA0453">
        <w:rPr>
          <w:rStyle w:val="None"/>
          <w:b/>
          <w:bCs/>
        </w:rPr>
        <w:t>Example</w:t>
      </w:r>
      <w:r w:rsidR="00BF13D9">
        <w:rPr>
          <w:rStyle w:val="None"/>
          <w:b/>
          <w:bCs/>
        </w:rPr>
        <w:t>s:</w:t>
      </w:r>
    </w:p>
    <w:p w14:paraId="0572DECC" w14:textId="11143D08" w:rsidR="00E9398D" w:rsidRDefault="00E9398D" w:rsidP="003E757A">
      <w:pPr>
        <w:pStyle w:val="Example"/>
        <w:ind w:left="1440"/>
        <w:rPr>
          <w:rStyle w:val="None"/>
        </w:rPr>
      </w:pPr>
      <w:r w:rsidRPr="00AA0453">
        <w:rPr>
          <w:rStyle w:val="None"/>
        </w:rPr>
        <w:t>1st Dist.</w:t>
      </w:r>
    </w:p>
    <w:p w14:paraId="50762962" w14:textId="00FCCE0C" w:rsidR="00BF13D9" w:rsidRDefault="00BF13D9" w:rsidP="003E757A">
      <w:pPr>
        <w:pStyle w:val="Example"/>
        <w:ind w:left="1440"/>
        <w:rPr>
          <w:rStyle w:val="None"/>
        </w:rPr>
      </w:pPr>
      <w:r>
        <w:rPr>
          <w:rStyle w:val="None"/>
        </w:rPr>
        <w:t>2d Cir.</w:t>
      </w:r>
    </w:p>
    <w:p w14:paraId="7D795515" w14:textId="508A576D" w:rsidR="00213972" w:rsidRDefault="00213972" w:rsidP="003E757A">
      <w:pPr>
        <w:pStyle w:val="Example"/>
        <w:ind w:left="1440"/>
        <w:rPr>
          <w:rStyle w:val="None"/>
        </w:rPr>
      </w:pPr>
      <w:r>
        <w:rPr>
          <w:rStyle w:val="None"/>
        </w:rPr>
        <w:t>2d ed.</w:t>
      </w:r>
    </w:p>
    <w:p w14:paraId="141EB49F" w14:textId="3E5AC4FB" w:rsidR="00213972" w:rsidRDefault="00BF13D9" w:rsidP="00213972">
      <w:pPr>
        <w:pStyle w:val="Example"/>
        <w:ind w:left="1440"/>
        <w:rPr>
          <w:rStyle w:val="None"/>
        </w:rPr>
      </w:pPr>
      <w:r>
        <w:rPr>
          <w:rStyle w:val="None"/>
        </w:rPr>
        <w:t>3d Dist</w:t>
      </w:r>
      <w:r w:rsidR="00213972">
        <w:rPr>
          <w:rStyle w:val="None"/>
        </w:rPr>
        <w:t>.</w:t>
      </w:r>
    </w:p>
    <w:p w14:paraId="0C8FBB02" w14:textId="40EFC43A" w:rsidR="00BF13D9" w:rsidRPr="00AA0453" w:rsidRDefault="00BF13D9" w:rsidP="003E757A">
      <w:pPr>
        <w:pStyle w:val="Example"/>
        <w:ind w:left="1440"/>
      </w:pPr>
      <w:r>
        <w:rPr>
          <w:rStyle w:val="None"/>
        </w:rPr>
        <w:t xml:space="preserve">4th Cir. </w:t>
      </w:r>
    </w:p>
    <w:p w14:paraId="72392BC1" w14:textId="7CE67837" w:rsidR="00B70C42" w:rsidRDefault="00BF13D9" w:rsidP="00452908">
      <w:pPr>
        <w:pStyle w:val="Example"/>
        <w:ind w:left="1440"/>
        <w:rPr>
          <w:b/>
          <w:bCs/>
        </w:rPr>
      </w:pPr>
      <w:r>
        <w:rPr>
          <w:b/>
          <w:bCs/>
        </w:rPr>
        <w:t>Incorrect:</w:t>
      </w:r>
    </w:p>
    <w:p w14:paraId="0FAA7DF2" w14:textId="3276AD48" w:rsidR="00B4642F" w:rsidRDefault="00BF13D9" w:rsidP="00B4642F">
      <w:pPr>
        <w:pStyle w:val="Example"/>
        <w:ind w:left="1440"/>
        <w:rPr>
          <w:vertAlign w:val="superscript"/>
        </w:rPr>
      </w:pPr>
      <w:r>
        <w:t>2nd, 2</w:t>
      </w:r>
      <w:r w:rsidRPr="00BF13D9">
        <w:rPr>
          <w:vertAlign w:val="superscript"/>
        </w:rPr>
        <w:t>nd</w:t>
      </w:r>
      <w:r>
        <w:t>, 3rd, 3</w:t>
      </w:r>
      <w:r w:rsidRPr="00BF13D9">
        <w:rPr>
          <w:vertAlign w:val="superscript"/>
        </w:rPr>
        <w:t>rd</w:t>
      </w:r>
    </w:p>
    <w:p w14:paraId="0DE26120" w14:textId="0B4CD542" w:rsidR="00B4642F" w:rsidRDefault="00B4642F" w:rsidP="00B4642F">
      <w:pPr>
        <w:pStyle w:val="Example"/>
        <w:ind w:left="1440"/>
        <w:rPr>
          <w:rStyle w:val="None"/>
        </w:rPr>
      </w:pPr>
      <w:r>
        <w:rPr>
          <w:rStyle w:val="None"/>
        </w:rPr>
        <w:t>4</w:t>
      </w:r>
      <w:r w:rsidRPr="00B4642F">
        <w:rPr>
          <w:rStyle w:val="None"/>
          <w:vertAlign w:val="superscript"/>
        </w:rPr>
        <w:t>th</w:t>
      </w:r>
      <w:r>
        <w:rPr>
          <w:rStyle w:val="None"/>
        </w:rPr>
        <w:t xml:space="preserve"> Cir.</w:t>
      </w:r>
    </w:p>
    <w:p w14:paraId="1D9DEB91" w14:textId="12F0D190" w:rsidR="00B4642F" w:rsidRDefault="00B4642F" w:rsidP="00B4642F">
      <w:pPr>
        <w:pStyle w:val="Example"/>
        <w:ind w:left="1440"/>
        <w:rPr>
          <w:rStyle w:val="None"/>
        </w:rPr>
      </w:pPr>
      <w:r>
        <w:rPr>
          <w:rStyle w:val="None"/>
        </w:rPr>
        <w:t>5</w:t>
      </w:r>
      <w:r w:rsidRPr="00B4642F">
        <w:rPr>
          <w:rStyle w:val="None"/>
          <w:vertAlign w:val="superscript"/>
        </w:rPr>
        <w:t>th</w:t>
      </w:r>
      <w:r>
        <w:rPr>
          <w:rStyle w:val="None"/>
        </w:rPr>
        <w:t xml:space="preserve"> Dist.</w:t>
      </w:r>
    </w:p>
    <w:p w14:paraId="294BDFB4" w14:textId="587C0478" w:rsidR="00213972" w:rsidRDefault="00213972" w:rsidP="00213972">
      <w:pPr>
        <w:pStyle w:val="Rule"/>
        <w:rPr>
          <w:rStyle w:val="None"/>
          <w:rFonts w:eastAsia="Georgia" w:cs="Georgia"/>
        </w:rPr>
      </w:pPr>
      <w:r>
        <w:rPr>
          <w:rStyle w:val="None"/>
          <w:rFonts w:eastAsia="Georgia" w:cs="Georgia"/>
        </w:rPr>
        <w:t>Ordinals are also used in federal case citations:</w:t>
      </w:r>
    </w:p>
    <w:p w14:paraId="28C4483C" w14:textId="50E19C93" w:rsidR="00213972" w:rsidRDefault="00213972" w:rsidP="00213972">
      <w:pPr>
        <w:pStyle w:val="Rule"/>
        <w:rPr>
          <w:rStyle w:val="None"/>
          <w:rFonts w:eastAsia="Georgia" w:cs="Georgia"/>
        </w:rPr>
      </w:pPr>
      <w:r>
        <w:rPr>
          <w:rStyle w:val="None"/>
          <w:rFonts w:eastAsia="Georgia" w:cs="Georgia"/>
        </w:rPr>
        <w:tab/>
        <w:t>F. Supp. 2d</w:t>
      </w:r>
    </w:p>
    <w:p w14:paraId="7A4084C5" w14:textId="7AFE0D32" w:rsidR="00213972" w:rsidRDefault="00213972" w:rsidP="00213972">
      <w:pPr>
        <w:pStyle w:val="Rule"/>
        <w:rPr>
          <w:rStyle w:val="None"/>
          <w:rFonts w:eastAsia="Georgia" w:cs="Georgia"/>
        </w:rPr>
      </w:pPr>
      <w:r>
        <w:rPr>
          <w:rStyle w:val="None"/>
          <w:rFonts w:eastAsia="Georgia" w:cs="Georgia"/>
        </w:rPr>
        <w:tab/>
        <w:t>F.3d</w:t>
      </w:r>
    </w:p>
    <w:p w14:paraId="7F4D278E" w14:textId="7830628C" w:rsidR="00213972" w:rsidRDefault="00213972" w:rsidP="00213972">
      <w:pPr>
        <w:pStyle w:val="Rule"/>
        <w:rPr>
          <w:rStyle w:val="None"/>
          <w:rFonts w:eastAsia="Georgia" w:cs="Georgia"/>
        </w:rPr>
      </w:pPr>
      <w:r>
        <w:rPr>
          <w:rStyle w:val="None"/>
          <w:rFonts w:eastAsia="Georgia" w:cs="Georgia"/>
        </w:rPr>
        <w:tab/>
        <w:t xml:space="preserve">F.4th </w:t>
      </w:r>
    </w:p>
    <w:p w14:paraId="73418DDE" w14:textId="659EE7E3" w:rsidR="00213972" w:rsidRDefault="00213972" w:rsidP="00213972">
      <w:pPr>
        <w:pStyle w:val="Rule"/>
        <w:rPr>
          <w:rStyle w:val="None"/>
          <w:rFonts w:eastAsia="Georgia" w:cs="Georgia"/>
        </w:rPr>
      </w:pPr>
      <w:r>
        <w:rPr>
          <w:rStyle w:val="None"/>
          <w:rFonts w:eastAsia="Georgia" w:cs="Georgia"/>
        </w:rPr>
        <w:t>Do not abbreviate the ordinal in a citation to the Restatement either in textual sentences or citations:</w:t>
      </w:r>
    </w:p>
    <w:p w14:paraId="01E5B22A" w14:textId="2693B2D8" w:rsidR="00213972" w:rsidRPr="00AA0453" w:rsidRDefault="00213972" w:rsidP="00213972">
      <w:pPr>
        <w:pStyle w:val="Rule"/>
        <w:rPr>
          <w:rStyle w:val="None"/>
          <w:rFonts w:eastAsia="Georgia" w:cs="Georgia"/>
        </w:rPr>
      </w:pPr>
      <w:r>
        <w:rPr>
          <w:rStyle w:val="None"/>
          <w:rFonts w:eastAsia="Georgia" w:cs="Georgia"/>
        </w:rPr>
        <w:tab/>
        <w:t>Restatement (Second) of Torts</w:t>
      </w:r>
      <w:r w:rsidR="00895C2C">
        <w:rPr>
          <w:rStyle w:val="None"/>
          <w:rFonts w:eastAsia="Georgia" w:cs="Georgia"/>
        </w:rPr>
        <w:t xml:space="preserve"> (Am. L. Inst. 1977)</w:t>
      </w:r>
    </w:p>
    <w:p w14:paraId="2F04AB58" w14:textId="3B0FC187" w:rsidR="00213972" w:rsidRPr="00B4642F" w:rsidRDefault="00213972" w:rsidP="00895C2C">
      <w:pPr>
        <w:pStyle w:val="Example"/>
        <w:ind w:left="0"/>
        <w:rPr>
          <w:vertAlign w:val="superscript"/>
        </w:rPr>
      </w:pPr>
    </w:p>
    <w:p w14:paraId="64E10966" w14:textId="783AFAE9" w:rsidR="00E9398D" w:rsidRPr="00AA0453" w:rsidRDefault="00F51A16" w:rsidP="003E757A">
      <w:pPr>
        <w:pStyle w:val="Heading4"/>
        <w:rPr>
          <w:rStyle w:val="None"/>
          <w:rFonts w:ascii="Georgia" w:hAnsi="Georgia"/>
        </w:rPr>
      </w:pPr>
      <w:r w:rsidRPr="00AA0453">
        <w:rPr>
          <w:rStyle w:val="None"/>
          <w:rFonts w:ascii="Georgia" w:hAnsi="Georgia"/>
        </w:rPr>
        <w:t>R</w:t>
      </w:r>
      <w:r w:rsidR="00E9398D" w:rsidRPr="00AA0453">
        <w:rPr>
          <w:rStyle w:val="None"/>
          <w:rFonts w:ascii="Georgia" w:hAnsi="Georgia"/>
        </w:rPr>
        <w:t>7.3</w:t>
      </w:r>
      <w:r w:rsidR="00E9398D" w:rsidRPr="00AA0453">
        <w:rPr>
          <w:rStyle w:val="None"/>
          <w:rFonts w:ascii="Georgia" w:hAnsi="Georgia"/>
        </w:rPr>
        <w:tab/>
      </w:r>
      <w:r w:rsidR="001A272F">
        <w:rPr>
          <w:rStyle w:val="None"/>
          <w:rFonts w:ascii="Georgia" w:hAnsi="Georgia"/>
        </w:rPr>
        <w:t xml:space="preserve">Textual References </w:t>
      </w:r>
    </w:p>
    <w:p w14:paraId="2832704A" w14:textId="72EE5B29" w:rsidR="00E9398D" w:rsidRPr="001A272F" w:rsidRDefault="00E9398D" w:rsidP="00F51A16">
      <w:pPr>
        <w:pStyle w:val="Rule"/>
        <w:rPr>
          <w:rStyle w:val="None"/>
          <w:u w:val="single"/>
        </w:rPr>
      </w:pPr>
      <w:r w:rsidRPr="00AA0453">
        <w:rPr>
          <w:rStyle w:val="None"/>
        </w:rPr>
        <w:t xml:space="preserve">Citations </w:t>
      </w:r>
      <w:r w:rsidR="001A272F">
        <w:rPr>
          <w:rStyle w:val="None"/>
        </w:rPr>
        <w:t>incorporated into</w:t>
      </w:r>
      <w:r w:rsidRPr="00AA0453">
        <w:rPr>
          <w:rStyle w:val="None"/>
        </w:rPr>
        <w:t xml:space="preserve"> textual sentences</w:t>
      </w:r>
      <w:r w:rsidR="001A272F">
        <w:rPr>
          <w:rStyle w:val="None"/>
        </w:rPr>
        <w:t>—as opposed to citation sentences, clauses, and footnotes—</w:t>
      </w:r>
      <w:r w:rsidRPr="00AA0453">
        <w:rPr>
          <w:rStyle w:val="None"/>
        </w:rPr>
        <w:t>use different abbreviation rules to preserve readability</w:t>
      </w:r>
      <w:r w:rsidR="001A272F">
        <w:rPr>
          <w:rStyle w:val="None"/>
        </w:rPr>
        <w:t xml:space="preserve">. </w:t>
      </w:r>
      <w:r w:rsidR="001A272F">
        <w:rPr>
          <w:rStyle w:val="None"/>
          <w:i/>
          <w:iCs/>
        </w:rPr>
        <w:t>See</w:t>
      </w:r>
      <w:r w:rsidR="001A272F">
        <w:rPr>
          <w:rStyle w:val="None"/>
        </w:rPr>
        <w:t xml:space="preserve"> </w:t>
      </w:r>
      <w:r w:rsidR="001A272F" w:rsidRPr="00D95AC6">
        <w:rPr>
          <w:rStyle w:val="Rulereferencecharacterstyle"/>
        </w:rPr>
        <w:t>Rule R3</w:t>
      </w:r>
      <w:r w:rsidR="001A272F">
        <w:rPr>
          <w:rStyle w:val="None"/>
        </w:rPr>
        <w:t xml:space="preserve"> (general guidance on citation sentences and textual sentences incorporating citations) and </w:t>
      </w:r>
      <w:r w:rsidR="00D95AC6" w:rsidRPr="00D95AC6">
        <w:rPr>
          <w:rStyle w:val="Rulereferencecharacterstyle"/>
        </w:rPr>
        <w:t xml:space="preserve">Rule </w:t>
      </w:r>
      <w:r w:rsidR="00641CF8">
        <w:rPr>
          <w:rStyle w:val="Rulereferencecharacterstyle"/>
        </w:rPr>
        <w:t>R11.4</w:t>
      </w:r>
      <w:r w:rsidR="001A272F">
        <w:rPr>
          <w:rStyle w:val="None"/>
        </w:rPr>
        <w:t xml:space="preserve"> (abbreviation rules </w:t>
      </w:r>
      <w:r w:rsidR="00641CF8">
        <w:rPr>
          <w:rStyle w:val="None"/>
        </w:rPr>
        <w:t>for case names in textual sentences).</w:t>
      </w:r>
    </w:p>
    <w:p w14:paraId="320A7F61" w14:textId="092E5AD7" w:rsidR="00E9398D" w:rsidRPr="00AA0453" w:rsidRDefault="001A272F" w:rsidP="00F51A16">
      <w:pPr>
        <w:pStyle w:val="Rule"/>
        <w:rPr>
          <w:rStyle w:val="None"/>
          <w:rFonts w:eastAsia="Georgia" w:cs="Georgia"/>
        </w:rPr>
      </w:pPr>
      <w:r>
        <w:rPr>
          <w:rStyle w:val="None"/>
        </w:rPr>
        <w:t>When not providing a precise citation at all, but</w:t>
      </w:r>
      <w:r w:rsidR="00E9398D" w:rsidRPr="00AA0453">
        <w:rPr>
          <w:rStyle w:val="None"/>
        </w:rPr>
        <w:t xml:space="preserve"> referring to a court in a textual sentence, </w:t>
      </w:r>
      <w:r>
        <w:rPr>
          <w:rStyle w:val="None"/>
        </w:rPr>
        <w:t>spell</w:t>
      </w:r>
      <w:r w:rsidR="00E9398D" w:rsidRPr="00AA0453">
        <w:rPr>
          <w:rStyle w:val="None"/>
        </w:rPr>
        <w:t xml:space="preserve"> out the court’s name consistent with common practice.</w:t>
      </w:r>
      <w:r w:rsidR="00452908" w:rsidRPr="00AA0453">
        <w:rPr>
          <w:rStyle w:val="None"/>
        </w:rPr>
        <w:t xml:space="preserve"> </w:t>
      </w:r>
      <w:r>
        <w:rPr>
          <w:rStyle w:val="None"/>
          <w:i/>
          <w:iCs/>
        </w:rPr>
        <w:t xml:space="preserve">See </w:t>
      </w:r>
      <w:r w:rsidR="00452908" w:rsidRPr="00D95AC6">
        <w:rPr>
          <w:rStyle w:val="Rulereferencecharacterstyle"/>
        </w:rPr>
        <w:t>Rule R27</w:t>
      </w:r>
      <w:r w:rsidR="00452908" w:rsidRPr="00AA0453">
        <w:rPr>
          <w:rStyle w:val="None"/>
        </w:rPr>
        <w:t xml:space="preserve"> on capitalizing “Court” in court documents and legal memoranda.)</w:t>
      </w:r>
    </w:p>
    <w:p w14:paraId="57C5846E" w14:textId="48C17267" w:rsidR="00E9398D" w:rsidRPr="00AA0453" w:rsidRDefault="00F51A16" w:rsidP="00F51A16">
      <w:pPr>
        <w:pStyle w:val="Example"/>
        <w:ind w:left="1440"/>
        <w:rPr>
          <w:rStyle w:val="None"/>
          <w:rFonts w:eastAsia="Georgia" w:cs="Georgia"/>
          <w:b/>
          <w:bCs/>
        </w:rPr>
      </w:pPr>
      <w:r w:rsidRPr="00AA0453">
        <w:rPr>
          <w:rStyle w:val="None"/>
          <w:b/>
          <w:bCs/>
        </w:rPr>
        <w:t>Example</w:t>
      </w:r>
      <w:r w:rsidR="00E9398D" w:rsidRPr="00AA0453">
        <w:rPr>
          <w:rStyle w:val="None"/>
          <w:b/>
          <w:bCs/>
        </w:rPr>
        <w:t>:</w:t>
      </w:r>
    </w:p>
    <w:p w14:paraId="4F7641C8" w14:textId="525F9317" w:rsidR="00E9398D" w:rsidRDefault="00E9398D" w:rsidP="00F51A16">
      <w:pPr>
        <w:pStyle w:val="Example"/>
        <w:ind w:left="1440"/>
        <w:rPr>
          <w:rStyle w:val="None"/>
        </w:rPr>
      </w:pPr>
      <w:r w:rsidRPr="00AA0453">
        <w:rPr>
          <w:rStyle w:val="None"/>
        </w:rPr>
        <w:t>The Second Circuit has decided many fair-use cases.</w:t>
      </w:r>
    </w:p>
    <w:p w14:paraId="379AC0E8" w14:textId="7A8E6F04" w:rsidR="001A272F" w:rsidRPr="00AA0453" w:rsidRDefault="001A272F" w:rsidP="00F51A16">
      <w:pPr>
        <w:pStyle w:val="Example"/>
        <w:ind w:left="1440"/>
      </w:pPr>
      <w:r>
        <w:rPr>
          <w:rStyle w:val="None"/>
        </w:rPr>
        <w:t xml:space="preserve">The Florida Supreme Court overruled the Fourth District Court of Appeal’s previous holding on judges’ use of Facebook. </w:t>
      </w:r>
    </w:p>
    <w:p w14:paraId="5C364EE8" w14:textId="77777777" w:rsidR="00E9398D" w:rsidRPr="00AA0453" w:rsidRDefault="00E9398D" w:rsidP="00E9398D">
      <w:pPr>
        <w:pStyle w:val="Body"/>
        <w:spacing w:before="150" w:after="90"/>
        <w:rPr>
          <w:rStyle w:val="None"/>
          <w:rFonts w:ascii="Georgia" w:eastAsia="Georgia" w:hAnsi="Georgia" w:cs="Georgia"/>
          <w:lang w:val="en-US"/>
        </w:rPr>
      </w:pPr>
    </w:p>
    <w:p w14:paraId="2A7E0595" w14:textId="38011B0D"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t>R8 Quotations</w:t>
      </w:r>
    </w:p>
    <w:p w14:paraId="45ECEF7E" w14:textId="4B2B4136" w:rsidR="00F51A16" w:rsidRPr="00AA0453" w:rsidRDefault="00E9398D" w:rsidP="003E757A">
      <w:pPr>
        <w:pStyle w:val="Heading4"/>
        <w:rPr>
          <w:rStyle w:val="None"/>
          <w:sz w:val="26"/>
          <w:szCs w:val="26"/>
        </w:rPr>
      </w:pPr>
      <w:r w:rsidRPr="00AA0453">
        <w:rPr>
          <w:rStyle w:val="None"/>
          <w:rFonts w:ascii="Georgia" w:hAnsi="Georgia"/>
          <w:b/>
          <w:bCs/>
          <w:sz w:val="26"/>
          <w:szCs w:val="26"/>
        </w:rPr>
        <w:t>R8.1</w:t>
      </w:r>
      <w:r w:rsidRPr="00AA0453">
        <w:rPr>
          <w:rStyle w:val="None"/>
          <w:rFonts w:ascii="Georgia" w:hAnsi="Georgia"/>
          <w:b/>
          <w:bCs/>
          <w:sz w:val="26"/>
          <w:szCs w:val="26"/>
        </w:rPr>
        <w:tab/>
        <w:t>General Principles for Quotations</w:t>
      </w:r>
    </w:p>
    <w:p w14:paraId="4C2B7CBD" w14:textId="1A81361E" w:rsidR="00E9398D" w:rsidRPr="00AA0453" w:rsidRDefault="00F51A16" w:rsidP="003E757A">
      <w:pPr>
        <w:pStyle w:val="Heading5"/>
        <w:rPr>
          <w:rStyle w:val="None"/>
          <w:rFonts w:ascii="Georgia" w:hAnsi="Georgia"/>
        </w:rPr>
      </w:pPr>
      <w:r w:rsidRPr="00AA0453">
        <w:rPr>
          <w:rStyle w:val="None"/>
          <w:rFonts w:ascii="Georgia" w:hAnsi="Georgia"/>
        </w:rPr>
        <w:t>R8.1.1</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Quotation </w:t>
      </w:r>
      <w:r w:rsidR="00931951" w:rsidRPr="00AA0453">
        <w:rPr>
          <w:rStyle w:val="None"/>
          <w:rFonts w:ascii="Georgia" w:hAnsi="Georgia"/>
        </w:rPr>
        <w:t>m</w:t>
      </w:r>
      <w:r w:rsidR="00E9398D" w:rsidRPr="00AA0453">
        <w:rPr>
          <w:rStyle w:val="None"/>
          <w:rFonts w:ascii="Georgia" w:hAnsi="Georgia"/>
        </w:rPr>
        <w:t>arks</w:t>
      </w:r>
    </w:p>
    <w:p w14:paraId="79C001FE" w14:textId="7A3C3D8C" w:rsidR="00CD0922" w:rsidRPr="00CD0922" w:rsidRDefault="00E9398D" w:rsidP="00D65D2A">
      <w:pPr>
        <w:pStyle w:val="Rule"/>
      </w:pPr>
      <w:r w:rsidRPr="00AA0453">
        <w:rPr>
          <w:rStyle w:val="None"/>
        </w:rPr>
        <w:t xml:space="preserve">Quotations </w:t>
      </w:r>
      <w:r w:rsidR="00D65D2A">
        <w:rPr>
          <w:rStyle w:val="None"/>
        </w:rPr>
        <w:t xml:space="preserve">of 49 words or less </w:t>
      </w:r>
      <w:r w:rsidRPr="00AA0453">
        <w:rPr>
          <w:rStyle w:val="None"/>
        </w:rPr>
        <w:t xml:space="preserve">should be designated with </w:t>
      </w:r>
      <w:r w:rsidR="00ED6A7C">
        <w:rPr>
          <w:rStyle w:val="None"/>
        </w:rPr>
        <w:t xml:space="preserve">double quotation marks that open and close the quotation. </w:t>
      </w:r>
      <w:r w:rsidR="001B5ECE">
        <w:rPr>
          <w:rStyle w:val="None"/>
        </w:rPr>
        <w:t xml:space="preserve">Do not use quotation marks around </w:t>
      </w:r>
      <w:r w:rsidRPr="00AA0453">
        <w:rPr>
          <w:rStyle w:val="None"/>
        </w:rPr>
        <w:t xml:space="preserve">block </w:t>
      </w:r>
      <w:r w:rsidRPr="00CD0922">
        <w:t>quotations</w:t>
      </w:r>
      <w:r w:rsidR="008A24E4">
        <w:t xml:space="preserve"> (</w:t>
      </w:r>
      <w:r w:rsidR="00CD0922" w:rsidRPr="00CD0922">
        <w:t xml:space="preserve">see </w:t>
      </w:r>
      <w:r w:rsidR="00CD0922" w:rsidRPr="00CD0922">
        <w:rPr>
          <w:rStyle w:val="Rulereferencecharacterstyle"/>
        </w:rPr>
        <w:t>Rule R9</w:t>
      </w:r>
      <w:r w:rsidR="00CD0922" w:rsidRPr="00CD0922">
        <w:t xml:space="preserve"> for block quotations.)</w:t>
      </w:r>
    </w:p>
    <w:p w14:paraId="14DF2C88" w14:textId="2166C194" w:rsidR="00AF2EEE" w:rsidRPr="00F34925" w:rsidRDefault="00AF2EEE" w:rsidP="00F34925">
      <w:pPr>
        <w:pStyle w:val="Example"/>
        <w:rPr>
          <w:rStyle w:val="None"/>
          <w:b/>
          <w:bCs/>
        </w:rPr>
      </w:pPr>
      <w:r w:rsidRPr="00F34925">
        <w:rPr>
          <w:rStyle w:val="None"/>
          <w:b/>
          <w:bCs/>
        </w:rPr>
        <w:t>Examples:</w:t>
      </w:r>
    </w:p>
    <w:p w14:paraId="03AC050C" w14:textId="77777777" w:rsidR="00327D63" w:rsidRPr="00F34925" w:rsidRDefault="00877AD0" w:rsidP="00F34925">
      <w:pPr>
        <w:pStyle w:val="Example"/>
      </w:pPr>
      <w:r w:rsidRPr="00F34925">
        <w:rPr>
          <w:rStyle w:val="None"/>
        </w:rPr>
        <w:t xml:space="preserve">The Court of Appeals </w:t>
      </w:r>
      <w:r w:rsidR="00885DDE" w:rsidRPr="00F34925">
        <w:rPr>
          <w:rStyle w:val="None"/>
        </w:rPr>
        <w:t xml:space="preserve">affirmed the dismissal of </w:t>
      </w:r>
      <w:r w:rsidR="00AE0BBC" w:rsidRPr="00F34925">
        <w:rPr>
          <w:rStyle w:val="None"/>
        </w:rPr>
        <w:t xml:space="preserve">a consumer-deception claim against </w:t>
      </w:r>
      <w:r w:rsidR="000C53BB" w:rsidRPr="00F34925">
        <w:rPr>
          <w:rStyle w:val="None"/>
        </w:rPr>
        <w:t>a</w:t>
      </w:r>
      <w:r w:rsidR="00AE0BBC" w:rsidRPr="00F34925">
        <w:rPr>
          <w:rStyle w:val="None"/>
        </w:rPr>
        <w:t xml:space="preserve"> legal publisher</w:t>
      </w:r>
      <w:r w:rsidR="00C34999" w:rsidRPr="00F34925">
        <w:rPr>
          <w:rStyle w:val="None"/>
        </w:rPr>
        <w:t xml:space="preserve">: </w:t>
      </w:r>
      <w:r w:rsidR="00AE0BBC" w:rsidRPr="00F34925">
        <w:rPr>
          <w:rStyle w:val="None"/>
        </w:rPr>
        <w:t>“</w:t>
      </w:r>
      <w:r w:rsidR="00C34999" w:rsidRPr="00F34925">
        <w:t>U</w:t>
      </w:r>
      <w:r w:rsidR="00AE0BBC" w:rsidRPr="00F34925">
        <w:t>nder the circumstances, plaintiffs, or any reasonable consumer, could not have been materially misled to believe that defendant guaranteed Part III of the Tanbook was complete and accurate at any given time.”</w:t>
      </w:r>
    </w:p>
    <w:p w14:paraId="6CEAFFBD" w14:textId="0A29E111" w:rsidR="00327D63" w:rsidRPr="00F34925" w:rsidRDefault="00327D63" w:rsidP="00F34925">
      <w:pPr>
        <w:pStyle w:val="Example"/>
        <w:rPr>
          <w:rStyle w:val="None"/>
        </w:rPr>
      </w:pPr>
      <w:r w:rsidRPr="00F34925">
        <w:t>The court ruled that “a consumer acting reasonably under the circumstances here would not have believed that defendant represented that the section at issue, containing rent control statutes and regulations, was current and accurate for its one-year shelf life.”</w:t>
      </w:r>
    </w:p>
    <w:p w14:paraId="2CD92C3D" w14:textId="77777777" w:rsidR="00AF2EEE" w:rsidRPr="00AA0453" w:rsidRDefault="00AF2EEE" w:rsidP="00AE0BBC">
      <w:pPr>
        <w:pStyle w:val="Rule"/>
        <w:ind w:left="0"/>
        <w:rPr>
          <w:rStyle w:val="None"/>
        </w:rPr>
      </w:pPr>
    </w:p>
    <w:p w14:paraId="3676F344" w14:textId="6F7BF3F0" w:rsidR="00E9398D" w:rsidRPr="00AA0453" w:rsidRDefault="00F51A16" w:rsidP="003E757A">
      <w:pPr>
        <w:pStyle w:val="Heading5"/>
        <w:rPr>
          <w:rStyle w:val="None"/>
          <w:rFonts w:ascii="Georgia" w:hAnsi="Georgia"/>
        </w:rPr>
      </w:pPr>
      <w:r w:rsidRPr="00AA0453">
        <w:rPr>
          <w:rStyle w:val="None"/>
          <w:rFonts w:ascii="Georgia" w:hAnsi="Georgia"/>
        </w:rPr>
        <w:t>R8.1.</w:t>
      </w:r>
      <w:r w:rsidR="008B4E03">
        <w:rPr>
          <w:rStyle w:val="None"/>
          <w:rFonts w:ascii="Georgia" w:hAnsi="Georgia"/>
        </w:rPr>
        <w:t>2</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Punctuation with </w:t>
      </w:r>
      <w:r w:rsidR="00931951" w:rsidRPr="00AA0453">
        <w:rPr>
          <w:rStyle w:val="None"/>
          <w:rFonts w:ascii="Georgia" w:hAnsi="Georgia"/>
        </w:rPr>
        <w:t>q</w:t>
      </w:r>
      <w:r w:rsidR="00E9398D" w:rsidRPr="00AA0453">
        <w:rPr>
          <w:rStyle w:val="None"/>
          <w:rFonts w:ascii="Georgia" w:hAnsi="Georgia"/>
        </w:rPr>
        <w:t>uotations</w:t>
      </w:r>
    </w:p>
    <w:p w14:paraId="09571612" w14:textId="40955DDC" w:rsidR="00124906" w:rsidRDefault="00E9398D" w:rsidP="00124906">
      <w:pPr>
        <w:pStyle w:val="Rule"/>
        <w:rPr>
          <w:rStyle w:val="None"/>
        </w:rPr>
      </w:pPr>
      <w:r w:rsidRPr="00AA0453">
        <w:rPr>
          <w:rStyle w:val="None"/>
        </w:rPr>
        <w:t xml:space="preserve">Punctuation that is part of the quoted text should appear inside the quotation marks. </w:t>
      </w:r>
      <w:r w:rsidR="00777C41">
        <w:rPr>
          <w:rStyle w:val="None"/>
        </w:rPr>
        <w:t xml:space="preserve">When the quotation is embedded into the sentence using a comma or a period added by the writer </w:t>
      </w:r>
      <w:r w:rsidR="00F4172D">
        <w:rPr>
          <w:rStyle w:val="None"/>
        </w:rPr>
        <w:t xml:space="preserve">at the end of the quotation, that comma or period also appears inside the quotation marks (even though it is not part of the actual </w:t>
      </w:r>
      <w:r w:rsidR="00524661">
        <w:rPr>
          <w:rStyle w:val="None"/>
        </w:rPr>
        <w:t>quoted text from the source</w:t>
      </w:r>
      <w:r w:rsidR="00F4172D">
        <w:rPr>
          <w:rStyle w:val="None"/>
        </w:rPr>
        <w:t>). Punctuation added to a quotation anywhere other than at the end of the quoted material is an alteration that should be indicated with brackets.</w:t>
      </w:r>
    </w:p>
    <w:p w14:paraId="6BD40019" w14:textId="3BEA3D63" w:rsidR="00534BA1" w:rsidRDefault="00534BA1" w:rsidP="00124906">
      <w:pPr>
        <w:pStyle w:val="Rule"/>
        <w:rPr>
          <w:rStyle w:val="None"/>
          <w:b/>
          <w:bCs/>
        </w:rPr>
      </w:pPr>
      <w:r>
        <w:rPr>
          <w:rStyle w:val="None"/>
          <w:b/>
          <w:bCs/>
        </w:rPr>
        <w:t>Examples:</w:t>
      </w:r>
    </w:p>
    <w:p w14:paraId="29F190AF" w14:textId="5EA284DC" w:rsidR="004E6C18" w:rsidRDefault="004E6C18" w:rsidP="004E6C18">
      <w:pPr>
        <w:pStyle w:val="Example"/>
        <w:rPr>
          <w:rStyle w:val="None"/>
        </w:rPr>
      </w:pPr>
      <w:r>
        <w:rPr>
          <w:rStyle w:val="None"/>
        </w:rPr>
        <w:tab/>
      </w:r>
      <w:r w:rsidRPr="00AE0BBC">
        <w:rPr>
          <w:rStyle w:val="None"/>
        </w:rPr>
        <w:t xml:space="preserve">Legal professionals are “merely a subclass of consumers.” </w:t>
      </w:r>
    </w:p>
    <w:p w14:paraId="7A52A549" w14:textId="451F8A3E" w:rsidR="00534BA1" w:rsidRPr="00AC7431" w:rsidRDefault="00885DDE" w:rsidP="00AC7431">
      <w:pPr>
        <w:pStyle w:val="Rule"/>
        <w:ind w:left="1440"/>
        <w:rPr>
          <w:rStyle w:val="None"/>
        </w:rPr>
      </w:pPr>
      <w:r>
        <w:rPr>
          <w:rStyle w:val="None"/>
        </w:rPr>
        <w:t>Given that legal professionals are “merely a subclass of consumers,” New York’s consumer deception law does apply to them.</w:t>
      </w:r>
    </w:p>
    <w:p w14:paraId="3D02131D" w14:textId="6B0F3105" w:rsidR="00E9398D" w:rsidRPr="00AA0453" w:rsidRDefault="00124906" w:rsidP="00124906">
      <w:pPr>
        <w:pStyle w:val="Heading5"/>
        <w:rPr>
          <w:rStyle w:val="None"/>
          <w:rFonts w:ascii="Georgia" w:hAnsi="Georgia"/>
        </w:rPr>
      </w:pPr>
      <w:r w:rsidRPr="00AA0453">
        <w:rPr>
          <w:rStyle w:val="None"/>
          <w:rFonts w:ascii="Georgia" w:hAnsi="Georgia"/>
        </w:rPr>
        <w:t>R8.1.</w:t>
      </w:r>
      <w:r w:rsidR="008B4E03">
        <w:rPr>
          <w:rStyle w:val="None"/>
          <w:rFonts w:ascii="Georgia" w:hAnsi="Georgia"/>
        </w:rPr>
        <w:t>3</w:t>
      </w:r>
      <w:r w:rsidRPr="00AA0453">
        <w:rPr>
          <w:rStyle w:val="None"/>
          <w:rFonts w:ascii="Georgia" w:hAnsi="Georgia"/>
        </w:rPr>
        <w:tab/>
      </w:r>
      <w:r w:rsidRPr="00AA0453">
        <w:rPr>
          <w:rStyle w:val="None"/>
          <w:rFonts w:ascii="Georgia" w:hAnsi="Georgia"/>
        </w:rPr>
        <w:tab/>
        <w:t xml:space="preserve">Citation </w:t>
      </w:r>
      <w:r w:rsidR="00931951" w:rsidRPr="00AA0453">
        <w:rPr>
          <w:rStyle w:val="None"/>
          <w:rFonts w:ascii="Georgia" w:hAnsi="Georgia"/>
        </w:rPr>
        <w:t>p</w:t>
      </w:r>
      <w:r w:rsidRPr="00AA0453">
        <w:rPr>
          <w:rStyle w:val="None"/>
          <w:rFonts w:ascii="Georgia" w:hAnsi="Georgia"/>
        </w:rPr>
        <w:t>lacement</w:t>
      </w:r>
      <w:r w:rsidR="006A4770">
        <w:rPr>
          <w:rStyle w:val="None"/>
          <w:rFonts w:ascii="Georgia" w:hAnsi="Georgia"/>
        </w:rPr>
        <w:t xml:space="preserve"> </w:t>
      </w:r>
    </w:p>
    <w:p w14:paraId="13A40705" w14:textId="3218229C" w:rsidR="00E9398D" w:rsidRPr="00AA0453" w:rsidRDefault="00E9398D" w:rsidP="00124906">
      <w:pPr>
        <w:pStyle w:val="Rule"/>
        <w:rPr>
          <w:rStyle w:val="None"/>
        </w:rPr>
      </w:pPr>
      <w:r w:rsidRPr="00AA0453">
        <w:rPr>
          <w:rStyle w:val="None"/>
        </w:rPr>
        <w:t xml:space="preserve">Insert </w:t>
      </w:r>
      <w:r w:rsidR="006A4770">
        <w:rPr>
          <w:rStyle w:val="None"/>
        </w:rPr>
        <w:t>a</w:t>
      </w:r>
      <w:r w:rsidRPr="00AA0453">
        <w:rPr>
          <w:rStyle w:val="None"/>
        </w:rPr>
        <w:t xml:space="preserve"> citation sentence for the quoted material </w:t>
      </w:r>
      <w:r w:rsidR="008238FE">
        <w:rPr>
          <w:rStyle w:val="None"/>
        </w:rPr>
        <w:t xml:space="preserve">after the end of the sentence. Insert the citation as a clause if needed for clarity about which portion of the sentence is </w:t>
      </w:r>
      <w:r w:rsidR="006A4770">
        <w:rPr>
          <w:rStyle w:val="None"/>
        </w:rPr>
        <w:t>attributable to the source.</w:t>
      </w:r>
      <w:r w:rsidR="007B1236">
        <w:rPr>
          <w:rStyle w:val="None"/>
        </w:rPr>
        <w:t xml:space="preserve"> </w:t>
      </w:r>
      <w:r w:rsidR="00545067">
        <w:rPr>
          <w:rStyle w:val="None"/>
        </w:rPr>
        <w:t>Citations can be full citations or short citations, as appropriate to the surrounding context.</w:t>
      </w:r>
    </w:p>
    <w:p w14:paraId="0AD9FC96" w14:textId="77777777" w:rsidR="000923FD" w:rsidRDefault="00534BA1" w:rsidP="000923FD">
      <w:pPr>
        <w:pStyle w:val="ListParagraph"/>
        <w:spacing w:before="150" w:after="90"/>
        <w:ind w:left="1080"/>
        <w:rPr>
          <w:rFonts w:ascii="Georgia" w:hAnsi="Georgia"/>
          <w:b/>
          <w:bCs/>
        </w:rPr>
      </w:pPr>
      <w:r>
        <w:rPr>
          <w:rFonts w:ascii="Georgia" w:hAnsi="Georgia"/>
          <w:b/>
          <w:bCs/>
        </w:rPr>
        <w:t>Examples:</w:t>
      </w:r>
    </w:p>
    <w:p w14:paraId="2957B194" w14:textId="67BBABCE" w:rsidR="00534BA1" w:rsidRPr="00306866" w:rsidRDefault="00461C07" w:rsidP="001C27B4">
      <w:pPr>
        <w:pStyle w:val="Example"/>
        <w:ind w:left="1440"/>
        <w:rPr>
          <w:rStyle w:val="None"/>
          <w:rFonts w:ascii="Times New Roman" w:hAnsi="Times New Roman"/>
        </w:rPr>
      </w:pPr>
      <w:r w:rsidRPr="00306866">
        <w:rPr>
          <w:rFonts w:ascii="Times New Roman" w:hAnsi="Times New Roman"/>
        </w:rPr>
        <w:t>“[A]</w:t>
      </w:r>
      <w:r w:rsidRPr="00306866">
        <w:rPr>
          <w:rStyle w:val="None"/>
          <w:rFonts w:ascii="Times New Roman" w:hAnsi="Times New Roman"/>
        </w:rPr>
        <w:t xml:space="preserve">nnotations published by legislators alongside the statutory text fall within the work legislators perform in their capacity as legislators.” </w:t>
      </w:r>
      <w:r w:rsidRPr="00306866">
        <w:rPr>
          <w:rStyle w:val="None"/>
          <w:rFonts w:ascii="Times New Roman" w:hAnsi="Times New Roman"/>
          <w:i/>
          <w:iCs/>
        </w:rPr>
        <w:t>Georgia v. Public.Resource.org</w:t>
      </w:r>
      <w:r w:rsidRPr="00306866">
        <w:rPr>
          <w:rStyle w:val="None"/>
          <w:rFonts w:ascii="Times New Roman" w:hAnsi="Times New Roman"/>
        </w:rPr>
        <w:t>, 140 S. Ct. 1498, 1509 (2020).</w:t>
      </w:r>
    </w:p>
    <w:p w14:paraId="25BAE936" w14:textId="62F727B6" w:rsidR="000923FD" w:rsidRPr="00306866" w:rsidRDefault="0015702B" w:rsidP="001C27B4">
      <w:pPr>
        <w:pStyle w:val="Example"/>
        <w:ind w:left="1440"/>
        <w:rPr>
          <w:rStyle w:val="None"/>
          <w:rFonts w:ascii="Times New Roman" w:hAnsi="Times New Roman"/>
        </w:rPr>
      </w:pPr>
      <w:r>
        <w:rPr>
          <w:rStyle w:val="None"/>
          <w:rFonts w:ascii="Times New Roman" w:hAnsi="Times New Roman"/>
        </w:rPr>
        <w:t>The Supreme Court overruled prior precedent about online retailing in light of</w:t>
      </w:r>
      <w:r w:rsidR="008A24E4">
        <w:rPr>
          <w:rStyle w:val="None"/>
          <w:rFonts w:ascii="Times New Roman" w:hAnsi="Times New Roman"/>
        </w:rPr>
        <w:t xml:space="preserve"> </w:t>
      </w:r>
      <w:r w:rsidR="00306866" w:rsidRPr="00306866">
        <w:rPr>
          <w:rStyle w:val="None"/>
          <w:rFonts w:ascii="Times New Roman" w:hAnsi="Times New Roman"/>
        </w:rPr>
        <w:t>“</w:t>
      </w:r>
      <w:r w:rsidR="00306866" w:rsidRPr="00306866">
        <w:rPr>
          <w:rFonts w:ascii="Times New Roman" w:hAnsi="Times New Roman"/>
          <w:color w:val="3D3D3D"/>
          <w:sz w:val="25"/>
          <w:szCs w:val="25"/>
          <w:shd w:val="clear" w:color="auto" w:fill="FFFFFF"/>
        </w:rPr>
        <w:t xml:space="preserve">the day-to-day functions of marketing and distribution in the modern economy,” </w:t>
      </w:r>
      <w:r w:rsidR="00306866" w:rsidRPr="00306866">
        <w:rPr>
          <w:rFonts w:ascii="Times New Roman" w:hAnsi="Times New Roman"/>
          <w:i/>
          <w:iCs/>
          <w:color w:val="3D3D3D"/>
          <w:sz w:val="25"/>
          <w:szCs w:val="25"/>
          <w:shd w:val="clear" w:color="auto" w:fill="FFFFFF"/>
        </w:rPr>
        <w:t xml:space="preserve">Wayfair </w:t>
      </w:r>
      <w:r w:rsidR="00A367EF" w:rsidRPr="00306866">
        <w:rPr>
          <w:rStyle w:val="None"/>
          <w:rFonts w:ascii="Times New Roman" w:hAnsi="Times New Roman"/>
          <w:i/>
          <w:iCs/>
        </w:rPr>
        <w:t>v. South Dakota</w:t>
      </w:r>
      <w:r w:rsidR="00A367EF" w:rsidRPr="00306866">
        <w:rPr>
          <w:rStyle w:val="None"/>
          <w:rFonts w:ascii="Times New Roman" w:hAnsi="Times New Roman"/>
        </w:rPr>
        <w:t xml:space="preserve">, </w:t>
      </w:r>
      <w:r w:rsidR="009706A7" w:rsidRPr="00306866">
        <w:rPr>
          <w:rStyle w:val="None"/>
          <w:rFonts w:ascii="Times New Roman" w:hAnsi="Times New Roman"/>
        </w:rPr>
        <w:t xml:space="preserve">138 S. Ct. 2080, 2094 (2018), </w:t>
      </w:r>
      <w:r>
        <w:rPr>
          <w:rStyle w:val="None"/>
          <w:rFonts w:ascii="Times New Roman" w:hAnsi="Times New Roman"/>
        </w:rPr>
        <w:t xml:space="preserve">but </w:t>
      </w:r>
      <w:r w:rsidR="004066DE">
        <w:rPr>
          <w:rStyle w:val="None"/>
          <w:rFonts w:ascii="Times New Roman" w:hAnsi="Times New Roman"/>
        </w:rPr>
        <w:t xml:space="preserve">has not applied similar reasoning to </w:t>
      </w:r>
      <w:r w:rsidR="00545067">
        <w:rPr>
          <w:rStyle w:val="None"/>
          <w:rFonts w:ascii="Times New Roman" w:hAnsi="Times New Roman"/>
        </w:rPr>
        <w:t>jettison other precedent.</w:t>
      </w:r>
    </w:p>
    <w:p w14:paraId="378834BA" w14:textId="77777777" w:rsidR="000F0F48" w:rsidRDefault="000F0F48" w:rsidP="00461C07">
      <w:pPr>
        <w:spacing w:before="150" w:after="90"/>
        <w:ind w:left="1080"/>
        <w:rPr>
          <w:rStyle w:val="None"/>
        </w:rPr>
      </w:pPr>
    </w:p>
    <w:p w14:paraId="2E4BF8CC" w14:textId="5C81366B" w:rsidR="00E9398D" w:rsidRPr="00AA0453" w:rsidRDefault="00E9398D" w:rsidP="003E757A">
      <w:pPr>
        <w:pStyle w:val="Heading4"/>
        <w:rPr>
          <w:rStyle w:val="None"/>
          <w:rFonts w:ascii="Georgia" w:eastAsia="Georgia" w:hAnsi="Georgia" w:cs="Georgia"/>
          <w:b/>
          <w:bCs/>
          <w:sz w:val="26"/>
          <w:szCs w:val="26"/>
        </w:rPr>
      </w:pPr>
      <w:r w:rsidRPr="00AA0453">
        <w:rPr>
          <w:rStyle w:val="None"/>
          <w:rFonts w:ascii="Georgia" w:hAnsi="Georgia"/>
          <w:b/>
          <w:bCs/>
          <w:sz w:val="26"/>
          <w:szCs w:val="26"/>
        </w:rPr>
        <w:t>R8.2 Alterations of Quotations</w:t>
      </w:r>
    </w:p>
    <w:p w14:paraId="339488AC" w14:textId="298DF72D" w:rsidR="00E9398D" w:rsidRPr="00AA0453" w:rsidRDefault="00F51A16" w:rsidP="003E757A">
      <w:pPr>
        <w:pStyle w:val="Heading5"/>
        <w:rPr>
          <w:rStyle w:val="None"/>
          <w:rFonts w:ascii="Georgia" w:hAnsi="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8.2.1 </w:t>
      </w:r>
      <w:r w:rsidRPr="00AA0453">
        <w:rPr>
          <w:rStyle w:val="None"/>
          <w:rFonts w:ascii="Georgia" w:eastAsia="Georgia" w:hAnsi="Georgia" w:cs="Georgia"/>
        </w:rPr>
        <w:tab/>
      </w:r>
      <w:r w:rsidR="00E9398D" w:rsidRPr="00AA0453">
        <w:rPr>
          <w:rStyle w:val="None"/>
          <w:rFonts w:ascii="Georgia" w:hAnsi="Georgia"/>
        </w:rPr>
        <w:t xml:space="preserve">Omission of </w:t>
      </w:r>
      <w:r w:rsidR="00931951" w:rsidRPr="00AA0453">
        <w:rPr>
          <w:rStyle w:val="None"/>
          <w:rFonts w:ascii="Georgia" w:hAnsi="Georgia"/>
        </w:rPr>
        <w:t>l</w:t>
      </w:r>
      <w:r w:rsidR="00E9398D" w:rsidRPr="00AA0453">
        <w:rPr>
          <w:rStyle w:val="None"/>
          <w:rFonts w:ascii="Georgia" w:hAnsi="Georgia"/>
        </w:rPr>
        <w:t xml:space="preserve">etters </w:t>
      </w:r>
    </w:p>
    <w:p w14:paraId="644BEACD" w14:textId="08C43328" w:rsidR="00E9398D" w:rsidRPr="00AA0453" w:rsidRDefault="00E9398D" w:rsidP="003E757A">
      <w:pPr>
        <w:pStyle w:val="Rule"/>
        <w:rPr>
          <w:rStyle w:val="None"/>
        </w:rPr>
      </w:pPr>
      <w:r w:rsidRPr="00AA0453">
        <w:rPr>
          <w:rStyle w:val="None"/>
        </w:rPr>
        <w:t>Place an empty bracket at the end of a common root word to indicate the change.</w:t>
      </w:r>
    </w:p>
    <w:p w14:paraId="02B433D9" w14:textId="5FDB045E" w:rsidR="00F51A16" w:rsidRPr="00AA0453" w:rsidRDefault="00E9398D" w:rsidP="003E757A">
      <w:pPr>
        <w:pStyle w:val="Example"/>
        <w:ind w:left="1440"/>
        <w:rPr>
          <w:rStyle w:val="None"/>
          <w:b/>
          <w:bCs/>
        </w:rPr>
      </w:pPr>
      <w:r w:rsidRPr="00AA0453">
        <w:rPr>
          <w:rStyle w:val="None"/>
          <w:b/>
          <w:bCs/>
        </w:rPr>
        <w:t>Example:</w:t>
      </w:r>
    </w:p>
    <w:p w14:paraId="4F7B9CC7" w14:textId="5635B6C4" w:rsidR="00E9398D" w:rsidRPr="00AA0453" w:rsidRDefault="00E9398D" w:rsidP="003E757A">
      <w:pPr>
        <w:pStyle w:val="Example"/>
        <w:ind w:left="1440"/>
        <w:rPr>
          <w:rStyle w:val="None"/>
        </w:rPr>
      </w:pPr>
      <w:r w:rsidRPr="00AA0453">
        <w:rPr>
          <w:rStyle w:val="None"/>
        </w:rPr>
        <w:t>“The court dismissed the claim[].”</w:t>
      </w:r>
    </w:p>
    <w:p w14:paraId="543A641F" w14:textId="7AFC27A0" w:rsidR="00E9398D" w:rsidRPr="00AA0453" w:rsidRDefault="00F51A16"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8.2.2 </w:t>
      </w:r>
      <w:r w:rsidR="00E9398D" w:rsidRPr="00AA0453">
        <w:rPr>
          <w:rStyle w:val="None"/>
          <w:rFonts w:ascii="Georgia" w:hAnsi="Georgia"/>
        </w:rPr>
        <w:tab/>
        <w:t xml:space="preserve">Mistakes in the </w:t>
      </w:r>
      <w:r w:rsidR="00931951" w:rsidRPr="00AA0453">
        <w:rPr>
          <w:rStyle w:val="None"/>
          <w:rFonts w:ascii="Georgia" w:hAnsi="Georgia"/>
        </w:rPr>
        <w:t>o</w:t>
      </w:r>
      <w:r w:rsidR="00E9398D" w:rsidRPr="00AA0453">
        <w:rPr>
          <w:rStyle w:val="None"/>
          <w:rFonts w:ascii="Georgia" w:hAnsi="Georgia"/>
        </w:rPr>
        <w:t xml:space="preserve">riginal </w:t>
      </w:r>
      <w:r w:rsidR="00931951" w:rsidRPr="00AA0453">
        <w:rPr>
          <w:rStyle w:val="None"/>
          <w:rFonts w:ascii="Georgia" w:hAnsi="Georgia"/>
        </w:rPr>
        <w:t>q</w:t>
      </w:r>
      <w:r w:rsidR="00E9398D" w:rsidRPr="00AA0453">
        <w:rPr>
          <w:rStyle w:val="None"/>
          <w:rFonts w:ascii="Georgia" w:hAnsi="Georgia"/>
        </w:rPr>
        <w:t>uotation</w:t>
      </w:r>
    </w:p>
    <w:p w14:paraId="5F1FCD54" w14:textId="77777777" w:rsidR="00E9398D" w:rsidRPr="00AA0453" w:rsidRDefault="00E9398D" w:rsidP="003E757A">
      <w:pPr>
        <w:pStyle w:val="Rule"/>
        <w:rPr>
          <w:rStyle w:val="None"/>
          <w:rFonts w:eastAsia="Georgia" w:cs="Georgia"/>
        </w:rPr>
      </w:pPr>
      <w:r w:rsidRPr="00AA0453">
        <w:rPr>
          <w:rStyle w:val="None"/>
        </w:rPr>
        <w:t>To acknowledge a significant mistake in the original quotation, keep the problematic word or phrase and follow it with [sic] to indicate this to the reader.</w:t>
      </w:r>
    </w:p>
    <w:p w14:paraId="165150E1" w14:textId="77777777" w:rsidR="00F51A16" w:rsidRPr="00AA0453" w:rsidRDefault="00E9398D" w:rsidP="003E757A">
      <w:pPr>
        <w:pStyle w:val="Example"/>
        <w:ind w:left="1440"/>
        <w:rPr>
          <w:rStyle w:val="None"/>
        </w:rPr>
      </w:pPr>
      <w:r w:rsidRPr="00AA0453">
        <w:rPr>
          <w:rStyle w:val="None"/>
          <w:b/>
          <w:bCs/>
        </w:rPr>
        <w:t>Example:</w:t>
      </w:r>
      <w:r w:rsidRPr="00AA0453">
        <w:rPr>
          <w:rStyle w:val="None"/>
        </w:rPr>
        <w:t> </w:t>
      </w:r>
    </w:p>
    <w:p w14:paraId="5BE3A4B5" w14:textId="3756FE7A" w:rsidR="00E9398D" w:rsidRPr="00AA0453" w:rsidRDefault="00E9398D" w:rsidP="003E757A">
      <w:pPr>
        <w:pStyle w:val="Example"/>
        <w:ind w:left="1440"/>
      </w:pPr>
      <w:r w:rsidRPr="00AA0453">
        <w:rPr>
          <w:rStyle w:val="None"/>
        </w:rPr>
        <w:t>“The Copyright Office are [sic] a department of the Library of Congress.”</w:t>
      </w:r>
    </w:p>
    <w:p w14:paraId="47328B7F" w14:textId="0ECC4DEC" w:rsidR="00E9398D" w:rsidRPr="00AA0453" w:rsidRDefault="00F51A16" w:rsidP="003E757A">
      <w:pPr>
        <w:pStyle w:val="Heading5"/>
        <w:rPr>
          <w:rStyle w:val="None"/>
          <w:rFonts w:ascii="Georgia" w:eastAsia="Georgia" w:hAnsi="Georgia" w:cs="Georgia"/>
        </w:rPr>
      </w:pPr>
      <w:r w:rsidRPr="00AA0453">
        <w:rPr>
          <w:rFonts w:ascii="Georgia" w:hAnsi="Georgia"/>
        </w:rPr>
        <w:t>R</w:t>
      </w:r>
      <w:r w:rsidR="00E9398D" w:rsidRPr="00AA0453">
        <w:rPr>
          <w:rFonts w:ascii="Georgia" w:hAnsi="Georgia"/>
        </w:rPr>
        <w:t>8.2.3</w:t>
      </w:r>
      <w:r w:rsidRPr="00AA0453">
        <w:rPr>
          <w:rFonts w:ascii="Georgia" w:hAnsi="Georgia"/>
        </w:rPr>
        <w:tab/>
      </w:r>
      <w:r w:rsidR="00E9398D" w:rsidRPr="00AA0453">
        <w:rPr>
          <w:rFonts w:ascii="Georgia" w:hAnsi="Georgia"/>
        </w:rPr>
        <w:tab/>
      </w:r>
      <w:r w:rsidR="00E9398D" w:rsidRPr="00AA0453">
        <w:rPr>
          <w:rStyle w:val="None"/>
          <w:rFonts w:ascii="Georgia" w:hAnsi="Georgia"/>
        </w:rPr>
        <w:t xml:space="preserve">Substitution of </w:t>
      </w:r>
      <w:r w:rsidR="00931951" w:rsidRPr="00AA0453">
        <w:rPr>
          <w:rStyle w:val="None"/>
          <w:rFonts w:ascii="Georgia" w:hAnsi="Georgia"/>
        </w:rPr>
        <w:t>l</w:t>
      </w:r>
      <w:r w:rsidR="00E9398D" w:rsidRPr="00AA0453">
        <w:rPr>
          <w:rStyle w:val="None"/>
          <w:rFonts w:ascii="Georgia" w:hAnsi="Georgia"/>
        </w:rPr>
        <w:t xml:space="preserve">etters or </w:t>
      </w:r>
      <w:r w:rsidR="00931951" w:rsidRPr="00AA0453">
        <w:rPr>
          <w:rStyle w:val="None"/>
          <w:rFonts w:ascii="Georgia" w:hAnsi="Georgia"/>
        </w:rPr>
        <w:t>w</w:t>
      </w:r>
      <w:r w:rsidR="00E9398D" w:rsidRPr="00AA0453">
        <w:rPr>
          <w:rStyle w:val="None"/>
          <w:rFonts w:ascii="Georgia" w:hAnsi="Georgia"/>
        </w:rPr>
        <w:t>ords</w:t>
      </w:r>
    </w:p>
    <w:p w14:paraId="791E5582" w14:textId="77777777" w:rsidR="00E9398D" w:rsidRPr="00AA0453" w:rsidRDefault="00E9398D" w:rsidP="003E757A">
      <w:pPr>
        <w:pStyle w:val="Rule"/>
        <w:rPr>
          <w:rStyle w:val="None"/>
          <w:rFonts w:eastAsia="Georgia" w:cs="Georgia"/>
        </w:rPr>
      </w:pPr>
      <w:r w:rsidRPr="00AA0453">
        <w:rPr>
          <w:rStyle w:val="None"/>
        </w:rPr>
        <w:t>Any substitutions into quoted material should be bracketed. This includes words which might add clarity and context, and changes to the capitalization of letters</w:t>
      </w:r>
    </w:p>
    <w:p w14:paraId="6CC03E84" w14:textId="77777777" w:rsidR="00DB39A5" w:rsidRPr="00AA0453" w:rsidRDefault="00E9398D" w:rsidP="00DB39A5">
      <w:pPr>
        <w:pStyle w:val="Example"/>
        <w:ind w:left="1440"/>
        <w:rPr>
          <w:rStyle w:val="None"/>
        </w:rPr>
      </w:pPr>
      <w:r w:rsidRPr="00AA0453">
        <w:rPr>
          <w:rStyle w:val="None"/>
          <w:b/>
          <w:bCs/>
        </w:rPr>
        <w:t>Example:</w:t>
      </w:r>
      <w:r w:rsidRPr="00AA0453">
        <w:rPr>
          <w:rStyle w:val="None"/>
        </w:rPr>
        <w:t> </w:t>
      </w:r>
    </w:p>
    <w:p w14:paraId="1BC35C48" w14:textId="365818E8" w:rsidR="00E9398D" w:rsidRPr="00AA0453" w:rsidRDefault="00E9398D" w:rsidP="00DB39A5">
      <w:pPr>
        <w:pStyle w:val="Example"/>
        <w:ind w:left="1440"/>
      </w:pPr>
      <w:r w:rsidRPr="00AA0453">
        <w:rPr>
          <w:rStyle w:val="None"/>
        </w:rPr>
        <w:t>“[T]he [Copyright] Office is a department of the Library of Congress.”</w:t>
      </w:r>
    </w:p>
    <w:p w14:paraId="30B7F9F8" w14:textId="18861E81" w:rsidR="00E9398D" w:rsidRPr="00AA0453" w:rsidRDefault="00824283"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8.2.4</w:t>
      </w:r>
      <w:r w:rsidR="00E9398D" w:rsidRPr="00AA0453">
        <w:rPr>
          <w:rStyle w:val="None"/>
          <w:rFonts w:ascii="Georgia" w:hAnsi="Georgia"/>
        </w:rPr>
        <w:tab/>
      </w:r>
      <w:r w:rsidR="00225800" w:rsidRPr="00AA0453">
        <w:rPr>
          <w:rStyle w:val="None"/>
          <w:rFonts w:ascii="Georgia" w:hAnsi="Georgia"/>
        </w:rPr>
        <w:tab/>
      </w:r>
      <w:r w:rsidR="00E9398D" w:rsidRPr="00AA0453">
        <w:rPr>
          <w:rStyle w:val="None"/>
          <w:rFonts w:ascii="Georgia" w:hAnsi="Georgia"/>
        </w:rPr>
        <w:t xml:space="preserve">Use of </w:t>
      </w:r>
      <w:r w:rsidR="00931951" w:rsidRPr="00AA0453">
        <w:rPr>
          <w:rStyle w:val="None"/>
          <w:rFonts w:ascii="Georgia" w:hAnsi="Georgia"/>
        </w:rPr>
        <w:t>p</w:t>
      </w:r>
      <w:r w:rsidR="00E9398D" w:rsidRPr="00AA0453">
        <w:rPr>
          <w:rStyle w:val="None"/>
          <w:rFonts w:ascii="Georgia" w:hAnsi="Georgia"/>
        </w:rPr>
        <w:t xml:space="preserve">arenthetical </w:t>
      </w:r>
      <w:r w:rsidR="00931951" w:rsidRPr="00AA0453">
        <w:rPr>
          <w:rStyle w:val="None"/>
          <w:rFonts w:ascii="Georgia" w:hAnsi="Georgia"/>
        </w:rPr>
        <w:t>c</w:t>
      </w:r>
      <w:r w:rsidR="00E9398D" w:rsidRPr="00AA0453">
        <w:rPr>
          <w:rStyle w:val="None"/>
          <w:rFonts w:ascii="Georgia" w:hAnsi="Georgia"/>
        </w:rPr>
        <w:t xml:space="preserve">lauses to </w:t>
      </w:r>
      <w:r w:rsidR="00931951" w:rsidRPr="00AA0453">
        <w:rPr>
          <w:rStyle w:val="None"/>
          <w:rFonts w:ascii="Georgia" w:hAnsi="Georgia"/>
        </w:rPr>
        <w:t>i</w:t>
      </w:r>
      <w:r w:rsidR="00E9398D" w:rsidRPr="00AA0453">
        <w:rPr>
          <w:rStyle w:val="None"/>
          <w:rFonts w:ascii="Georgia" w:hAnsi="Georgia"/>
        </w:rPr>
        <w:t xml:space="preserve">ndicate </w:t>
      </w:r>
      <w:r w:rsidR="00931951" w:rsidRPr="00AA0453">
        <w:rPr>
          <w:rStyle w:val="None"/>
          <w:rFonts w:ascii="Georgia" w:hAnsi="Georgia"/>
        </w:rPr>
        <w:t>c</w:t>
      </w:r>
      <w:r w:rsidR="00E9398D" w:rsidRPr="00AA0453">
        <w:rPr>
          <w:rStyle w:val="None"/>
          <w:rFonts w:ascii="Georgia" w:hAnsi="Georgia"/>
        </w:rPr>
        <w:t xml:space="preserve">hanges to </w:t>
      </w:r>
      <w:r w:rsidR="00931951" w:rsidRPr="00AA0453">
        <w:rPr>
          <w:rStyle w:val="None"/>
          <w:rFonts w:ascii="Georgia" w:hAnsi="Georgia"/>
        </w:rPr>
        <w:t>q</w:t>
      </w:r>
      <w:r w:rsidR="00E9398D" w:rsidRPr="00AA0453">
        <w:rPr>
          <w:rStyle w:val="None"/>
          <w:rFonts w:ascii="Georgia" w:hAnsi="Georgia"/>
        </w:rPr>
        <w:t>uotation</w:t>
      </w:r>
    </w:p>
    <w:p w14:paraId="1CFD6155" w14:textId="6D276F80" w:rsidR="00E9398D" w:rsidRPr="00AA0453" w:rsidRDefault="00E9398D" w:rsidP="003E757A">
      <w:pPr>
        <w:pStyle w:val="Rule"/>
        <w:rPr>
          <w:rStyle w:val="None"/>
          <w:rFonts w:eastAsia="Georgia" w:cs="Georgia"/>
        </w:rPr>
      </w:pPr>
      <w:r w:rsidRPr="00AA0453">
        <w:rPr>
          <w:rStyle w:val="None"/>
          <w:rFonts w:eastAsia="Georgia" w:cs="Georgia"/>
        </w:rPr>
        <w:t>Use the following phrases attached to a legal citation following a quotation, to indicate changes made to that quotation:</w:t>
      </w:r>
    </w:p>
    <w:p w14:paraId="3F8BC33C" w14:textId="77777777" w:rsidR="00E9398D" w:rsidRPr="00AA0453" w:rsidRDefault="00E9398D" w:rsidP="00171F69">
      <w:pPr>
        <w:pStyle w:val="Rule"/>
        <w:numPr>
          <w:ilvl w:val="0"/>
          <w:numId w:val="102"/>
        </w:numPr>
      </w:pPr>
      <w:r w:rsidRPr="00AA0453">
        <w:rPr>
          <w:rStyle w:val="None"/>
        </w:rPr>
        <w:t>(emphasis added)</w:t>
      </w:r>
    </w:p>
    <w:p w14:paraId="6FCDA7F7" w14:textId="77777777" w:rsidR="00E9398D" w:rsidRPr="00AA0453" w:rsidRDefault="00E9398D" w:rsidP="00171F69">
      <w:pPr>
        <w:pStyle w:val="Rule"/>
        <w:numPr>
          <w:ilvl w:val="0"/>
          <w:numId w:val="102"/>
        </w:numPr>
      </w:pPr>
      <w:r w:rsidRPr="00AA0453">
        <w:rPr>
          <w:rStyle w:val="None"/>
        </w:rPr>
        <w:t>(alteration in original)</w:t>
      </w:r>
    </w:p>
    <w:p w14:paraId="3FB1A066" w14:textId="77777777" w:rsidR="00E9398D" w:rsidRPr="00AA0453" w:rsidRDefault="00E9398D" w:rsidP="00171F69">
      <w:pPr>
        <w:pStyle w:val="Rule"/>
        <w:numPr>
          <w:ilvl w:val="0"/>
          <w:numId w:val="102"/>
        </w:numPr>
      </w:pPr>
      <w:r w:rsidRPr="00AA0453">
        <w:rPr>
          <w:rStyle w:val="None"/>
        </w:rPr>
        <w:t>(citation omitted)</w:t>
      </w:r>
    </w:p>
    <w:p w14:paraId="1C6331AA" w14:textId="77777777" w:rsidR="00E9398D" w:rsidRPr="00AA0453" w:rsidRDefault="00E9398D" w:rsidP="00171F69">
      <w:pPr>
        <w:pStyle w:val="Rule"/>
        <w:numPr>
          <w:ilvl w:val="0"/>
          <w:numId w:val="102"/>
        </w:numPr>
      </w:pPr>
      <w:r w:rsidRPr="00AA0453">
        <w:rPr>
          <w:rStyle w:val="None"/>
        </w:rPr>
        <w:t>(emphasis omitted)</w:t>
      </w:r>
    </w:p>
    <w:p w14:paraId="2474FA9C" w14:textId="77777777" w:rsidR="00E9398D" w:rsidRPr="00AA0453" w:rsidRDefault="00E9398D" w:rsidP="00171F69">
      <w:pPr>
        <w:pStyle w:val="Rule"/>
        <w:numPr>
          <w:ilvl w:val="0"/>
          <w:numId w:val="102"/>
        </w:numPr>
      </w:pPr>
      <w:r w:rsidRPr="00AA0453">
        <w:rPr>
          <w:rStyle w:val="None"/>
        </w:rPr>
        <w:t>(internal quotation marks omitted)</w:t>
      </w:r>
    </w:p>
    <w:p w14:paraId="36BF00D3" w14:textId="77777777" w:rsidR="00E9398D" w:rsidRPr="00AA0453" w:rsidRDefault="00E9398D" w:rsidP="00171F69">
      <w:pPr>
        <w:pStyle w:val="Rule"/>
        <w:numPr>
          <w:ilvl w:val="0"/>
          <w:numId w:val="102"/>
        </w:numPr>
      </w:pPr>
      <w:r w:rsidRPr="00AA0453">
        <w:rPr>
          <w:rStyle w:val="None"/>
        </w:rPr>
        <w:t>(footnote omitted)</w:t>
      </w:r>
    </w:p>
    <w:p w14:paraId="588F636F" w14:textId="207DBAA6" w:rsidR="00E9398D" w:rsidRPr="00AA0453" w:rsidRDefault="00225800"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8.2.5</w:t>
      </w:r>
      <w:r w:rsidR="00E9398D" w:rsidRPr="00AA0453">
        <w:rPr>
          <w:rStyle w:val="None"/>
          <w:rFonts w:ascii="Georgia" w:eastAsia="Georgia" w:hAnsi="Georgia" w:cs="Georgia"/>
        </w:rPr>
        <w:tab/>
      </w:r>
      <w:r w:rsidRPr="00AA0453">
        <w:rPr>
          <w:rStyle w:val="None"/>
          <w:rFonts w:ascii="Georgia" w:eastAsia="Georgia" w:hAnsi="Georgia" w:cs="Georgia"/>
        </w:rPr>
        <w:tab/>
      </w:r>
      <w:r w:rsidR="00E9398D" w:rsidRPr="00AA0453">
        <w:rPr>
          <w:rStyle w:val="None"/>
          <w:rFonts w:ascii="Georgia" w:eastAsia="Georgia" w:hAnsi="Georgia" w:cs="Georgia"/>
        </w:rPr>
        <w:t xml:space="preserve">Parentheticals to </w:t>
      </w:r>
      <w:r w:rsidR="00931951" w:rsidRPr="00AA0453">
        <w:rPr>
          <w:rStyle w:val="None"/>
          <w:rFonts w:ascii="Georgia" w:eastAsia="Georgia" w:hAnsi="Georgia" w:cs="Georgia"/>
        </w:rPr>
        <w:t>i</w:t>
      </w:r>
      <w:r w:rsidR="00E9398D" w:rsidRPr="00AA0453">
        <w:rPr>
          <w:rStyle w:val="None"/>
          <w:rFonts w:ascii="Georgia" w:eastAsia="Georgia" w:hAnsi="Georgia" w:cs="Georgia"/>
        </w:rPr>
        <w:t xml:space="preserve">ndicate </w:t>
      </w:r>
      <w:r w:rsidR="00931951" w:rsidRPr="00AA0453">
        <w:rPr>
          <w:rStyle w:val="None"/>
          <w:rFonts w:ascii="Georgia" w:hAnsi="Georgia"/>
        </w:rPr>
        <w:t>q</w:t>
      </w:r>
      <w:r w:rsidR="00E9398D" w:rsidRPr="00AA0453">
        <w:rPr>
          <w:rStyle w:val="None"/>
          <w:rFonts w:ascii="Georgia" w:hAnsi="Georgia"/>
        </w:rPr>
        <w:t xml:space="preserve">uotations within </w:t>
      </w:r>
      <w:r w:rsidR="00931951" w:rsidRPr="00AA0453">
        <w:rPr>
          <w:rStyle w:val="None"/>
          <w:rFonts w:ascii="Georgia" w:hAnsi="Georgia"/>
        </w:rPr>
        <w:t>q</w:t>
      </w:r>
      <w:r w:rsidR="00E9398D" w:rsidRPr="00AA0453">
        <w:rPr>
          <w:rStyle w:val="None"/>
          <w:rFonts w:ascii="Georgia" w:hAnsi="Georgia"/>
        </w:rPr>
        <w:t>uotations</w:t>
      </w:r>
    </w:p>
    <w:p w14:paraId="0FE68FCA" w14:textId="77777777" w:rsidR="00E9398D" w:rsidRPr="00AA0453" w:rsidRDefault="00E9398D" w:rsidP="003E757A">
      <w:pPr>
        <w:pStyle w:val="Rule"/>
        <w:rPr>
          <w:rStyle w:val="None"/>
          <w:rFonts w:eastAsia="Georgia" w:cs="Georgia"/>
        </w:rPr>
      </w:pPr>
      <w:r w:rsidRPr="00AA0453">
        <w:rPr>
          <w:rStyle w:val="None"/>
        </w:rPr>
        <w:t>When using a quotation within a quotation, you can either (1) attribute it to the original source with a parenthetical, or (2) acknowledge it by signaling that its citation has been omitted.</w:t>
      </w:r>
    </w:p>
    <w:p w14:paraId="7B72D247" w14:textId="72206FE7" w:rsidR="00A125A3" w:rsidRPr="00AA0453" w:rsidRDefault="00051FA9" w:rsidP="003E757A">
      <w:pPr>
        <w:pStyle w:val="Example"/>
        <w:rPr>
          <w:rStyle w:val="None"/>
          <w:b/>
          <w:bCs/>
        </w:rPr>
      </w:pPr>
      <w:r w:rsidRPr="00AA0453">
        <w:rPr>
          <w:rStyle w:val="None"/>
        </w:rPr>
        <w:tab/>
      </w:r>
      <w:r w:rsidR="00A125A3" w:rsidRPr="00AA0453">
        <w:rPr>
          <w:rStyle w:val="None"/>
          <w:b/>
          <w:bCs/>
        </w:rPr>
        <w:t>Examples:</w:t>
      </w:r>
    </w:p>
    <w:p w14:paraId="010206EE" w14:textId="44A131F7" w:rsidR="00A125A3" w:rsidRPr="00AA0453" w:rsidRDefault="00A125A3" w:rsidP="003E757A">
      <w:pPr>
        <w:pStyle w:val="Example"/>
        <w:ind w:left="1440"/>
        <w:rPr>
          <w:rStyle w:val="None"/>
        </w:rPr>
      </w:pPr>
      <w:r w:rsidRPr="00AA0453">
        <w:rPr>
          <w:rStyle w:val="None"/>
        </w:rPr>
        <w:t xml:space="preserve">Just as the Supreme Court has held that an official statement of the case, syllabus, or headnote prepared by judges “fall within the ‘work they perform in their capacity as judges,’ so too annotations published by legislators alongside the statutory text fall within the work legislators perform in their capacity as legislators.” </w:t>
      </w:r>
      <w:r w:rsidRPr="00AA0453">
        <w:rPr>
          <w:rStyle w:val="None"/>
          <w:i/>
          <w:iCs/>
        </w:rPr>
        <w:t>Georgia v. Public.Resource.org</w:t>
      </w:r>
      <w:r w:rsidRPr="00AA0453">
        <w:rPr>
          <w:rStyle w:val="None"/>
        </w:rPr>
        <w:t xml:space="preserve">, </w:t>
      </w:r>
      <w:r w:rsidR="00743A61" w:rsidRPr="00AA0453">
        <w:rPr>
          <w:rStyle w:val="None"/>
        </w:rPr>
        <w:t>140</w:t>
      </w:r>
      <w:r w:rsidRPr="00AA0453">
        <w:rPr>
          <w:rStyle w:val="None"/>
        </w:rPr>
        <w:t xml:space="preserve"> S. Ct. </w:t>
      </w:r>
      <w:r w:rsidR="00743A61" w:rsidRPr="00AA0453">
        <w:rPr>
          <w:rStyle w:val="None"/>
        </w:rPr>
        <w:t>1498</w:t>
      </w:r>
      <w:r w:rsidR="00230614" w:rsidRPr="00AA0453">
        <w:rPr>
          <w:rStyle w:val="None"/>
        </w:rPr>
        <w:t>,</w:t>
      </w:r>
      <w:r w:rsidRPr="00AA0453">
        <w:rPr>
          <w:rStyle w:val="None"/>
        </w:rPr>
        <w:t xml:space="preserve"> </w:t>
      </w:r>
      <w:r w:rsidR="00743A61" w:rsidRPr="00AA0453">
        <w:rPr>
          <w:rStyle w:val="None"/>
        </w:rPr>
        <w:t>1509</w:t>
      </w:r>
      <w:r w:rsidRPr="00AA0453">
        <w:rPr>
          <w:rStyle w:val="None"/>
        </w:rPr>
        <w:t xml:space="preserve"> (2020) (</w:t>
      </w:r>
      <w:r w:rsidR="007B0DB1" w:rsidRPr="00AA0453">
        <w:rPr>
          <w:rStyle w:val="None"/>
        </w:rPr>
        <w:t>quoting</w:t>
      </w:r>
      <w:r w:rsidRPr="00AA0453">
        <w:rPr>
          <w:rStyle w:val="None"/>
        </w:rPr>
        <w:t xml:space="preserve"> </w:t>
      </w:r>
      <w:r w:rsidRPr="00AA0453">
        <w:rPr>
          <w:rStyle w:val="None"/>
          <w:i/>
          <w:iCs/>
        </w:rPr>
        <w:t>Bank</w:t>
      </w:r>
      <w:r w:rsidR="00743A61" w:rsidRPr="00AA0453">
        <w:rPr>
          <w:rStyle w:val="None"/>
          <w:i/>
          <w:iCs/>
        </w:rPr>
        <w:t>s v. Manchester</w:t>
      </w:r>
      <w:r w:rsidR="00743A61" w:rsidRPr="00AA0453">
        <w:rPr>
          <w:rStyle w:val="None"/>
        </w:rPr>
        <w:t xml:space="preserve">, </w:t>
      </w:r>
      <w:r w:rsidRPr="00AA0453">
        <w:rPr>
          <w:rStyle w:val="None"/>
        </w:rPr>
        <w:t xml:space="preserve">128 U.S. </w:t>
      </w:r>
      <w:r w:rsidR="00743A61" w:rsidRPr="00AA0453">
        <w:rPr>
          <w:rStyle w:val="None"/>
        </w:rPr>
        <w:t>244</w:t>
      </w:r>
      <w:r w:rsidRPr="00AA0453">
        <w:rPr>
          <w:rStyle w:val="None"/>
        </w:rPr>
        <w:t>, 253 (</w:t>
      </w:r>
      <w:r w:rsidR="00743A61" w:rsidRPr="00AA0453">
        <w:rPr>
          <w:rStyle w:val="None"/>
        </w:rPr>
        <w:t>1888</w:t>
      </w:r>
      <w:r w:rsidRPr="00AA0453">
        <w:rPr>
          <w:rStyle w:val="None"/>
        </w:rPr>
        <w:t>)).</w:t>
      </w:r>
    </w:p>
    <w:p w14:paraId="220F98F2" w14:textId="46F1058D" w:rsidR="00E9398D" w:rsidRPr="00AA0453" w:rsidRDefault="007B0DB1" w:rsidP="003E757A">
      <w:pPr>
        <w:pStyle w:val="Example"/>
        <w:ind w:left="1440"/>
        <w:rPr>
          <w:rStyle w:val="None"/>
          <w:rFonts w:eastAsia="Georgia" w:cs="Georgia"/>
          <w:b/>
          <w:bCs/>
        </w:rPr>
      </w:pPr>
      <w:r w:rsidRPr="00AA0453">
        <w:t>“Although the annotations are not enacted into law through bicameralism and presentment, the Commission's preparation of the annotations is under Georgia law an act of ‘legislative authority,’ and the annotations provide commentary and resources that the legislature has deemed relevant to understanding its laws.” </w:t>
      </w:r>
      <w:r w:rsidRPr="00AA0453">
        <w:rPr>
          <w:rStyle w:val="None"/>
          <w:i/>
          <w:iCs/>
        </w:rPr>
        <w:t>Id.</w:t>
      </w:r>
      <w:r w:rsidRPr="00AA0453">
        <w:rPr>
          <w:rStyle w:val="None"/>
        </w:rPr>
        <w:t xml:space="preserve"> (citation omitted).</w:t>
      </w:r>
    </w:p>
    <w:p w14:paraId="4B6B4139" w14:textId="77777777" w:rsidR="00E9398D" w:rsidRPr="00AA0453" w:rsidRDefault="00E9398D" w:rsidP="003E757A">
      <w:pPr>
        <w:pStyle w:val="Body"/>
        <w:tabs>
          <w:tab w:val="left" w:pos="1440"/>
        </w:tabs>
        <w:spacing w:before="150" w:after="90"/>
        <w:ind w:firstLine="360"/>
        <w:rPr>
          <w:rStyle w:val="None"/>
          <w:rFonts w:ascii="Georgia" w:eastAsia="Georgia" w:hAnsi="Georgia" w:cs="Georgia"/>
          <w:lang w:val="en-US"/>
        </w:rPr>
      </w:pPr>
    </w:p>
    <w:p w14:paraId="6CB20238" w14:textId="2AC84BFF" w:rsidR="00E9398D" w:rsidRPr="00AA0453" w:rsidRDefault="004D7C11"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8.2.6 </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Unnecessary </w:t>
      </w:r>
      <w:r w:rsidR="00931951" w:rsidRPr="00AA0453">
        <w:rPr>
          <w:rStyle w:val="None"/>
          <w:rFonts w:ascii="Georgia" w:hAnsi="Georgia"/>
        </w:rPr>
        <w:t>p</w:t>
      </w:r>
      <w:r w:rsidR="00E9398D" w:rsidRPr="00AA0453">
        <w:rPr>
          <w:rStyle w:val="None"/>
          <w:rFonts w:ascii="Georgia" w:hAnsi="Georgia"/>
        </w:rPr>
        <w:t>arentheticals</w:t>
      </w:r>
    </w:p>
    <w:p w14:paraId="040C085F" w14:textId="77777777" w:rsidR="00E9398D" w:rsidRPr="00AA0453" w:rsidRDefault="00E9398D" w:rsidP="003E757A">
      <w:pPr>
        <w:pStyle w:val="Rule"/>
        <w:rPr>
          <w:rStyle w:val="None"/>
          <w:rFonts w:eastAsia="Georgia" w:cs="Georgia"/>
        </w:rPr>
      </w:pPr>
      <w:r w:rsidRPr="00AA0453">
        <w:rPr>
          <w:rStyle w:val="None"/>
        </w:rPr>
        <w:t xml:space="preserve">The following should </w:t>
      </w:r>
      <w:r w:rsidRPr="00AA0453">
        <w:rPr>
          <w:rStyle w:val="None"/>
          <w:i/>
          <w:iCs/>
        </w:rPr>
        <w:t>not</w:t>
      </w:r>
      <w:r w:rsidRPr="00AA0453">
        <w:rPr>
          <w:rStyle w:val="None"/>
        </w:rPr>
        <w:t xml:space="preserve"> be indicated in a parenthetical:</w:t>
      </w:r>
    </w:p>
    <w:p w14:paraId="5CA9D8E3" w14:textId="00A47721" w:rsidR="00E9398D" w:rsidRPr="00AA0453" w:rsidRDefault="00E9398D" w:rsidP="00171F69">
      <w:pPr>
        <w:pStyle w:val="Rule"/>
        <w:numPr>
          <w:ilvl w:val="0"/>
          <w:numId w:val="103"/>
        </w:numPr>
        <w:rPr>
          <w:rStyle w:val="None"/>
        </w:rPr>
      </w:pPr>
      <w:r w:rsidRPr="00AA0453">
        <w:rPr>
          <w:rStyle w:val="None"/>
        </w:rPr>
        <w:t>(</w:t>
      </w:r>
      <w:r w:rsidR="003047AA">
        <w:rPr>
          <w:rStyle w:val="None"/>
        </w:rPr>
        <w:t>e</w:t>
      </w:r>
      <w:r w:rsidRPr="00AA0453">
        <w:rPr>
          <w:rStyle w:val="None"/>
        </w:rPr>
        <w:t xml:space="preserve">mphasis in original) </w:t>
      </w:r>
    </w:p>
    <w:p w14:paraId="7AF25507" w14:textId="77777777" w:rsidR="00E9398D" w:rsidRPr="00AA0453" w:rsidRDefault="00E9398D" w:rsidP="003E757A">
      <w:pPr>
        <w:pStyle w:val="Rule"/>
      </w:pPr>
      <w:r w:rsidRPr="00AA0453">
        <w:rPr>
          <w:rStyle w:val="None"/>
        </w:rPr>
        <w:t xml:space="preserve">No parenthetical is needed for a quotation that was copied verbatim, including italics or underlined emphasis, from the original source. </w:t>
      </w:r>
    </w:p>
    <w:p w14:paraId="3DB4E235" w14:textId="0EED78C7" w:rsidR="00E9398D" w:rsidRPr="00AA0453" w:rsidRDefault="00E9398D" w:rsidP="00171F69">
      <w:pPr>
        <w:pStyle w:val="Rule"/>
        <w:numPr>
          <w:ilvl w:val="0"/>
          <w:numId w:val="103"/>
        </w:numPr>
        <w:rPr>
          <w:rStyle w:val="None"/>
        </w:rPr>
      </w:pPr>
      <w:r w:rsidRPr="00AA0453">
        <w:rPr>
          <w:rStyle w:val="None"/>
        </w:rPr>
        <w:t>(</w:t>
      </w:r>
      <w:r w:rsidR="003047AA">
        <w:rPr>
          <w:rStyle w:val="None"/>
        </w:rPr>
        <w:t>c</w:t>
      </w:r>
      <w:r w:rsidRPr="00AA0453">
        <w:rPr>
          <w:rStyle w:val="None"/>
        </w:rPr>
        <w:t>itation omitted) or (</w:t>
      </w:r>
      <w:r w:rsidR="003047AA">
        <w:rPr>
          <w:rStyle w:val="None"/>
        </w:rPr>
        <w:t>f</w:t>
      </w:r>
      <w:r w:rsidRPr="00AA0453">
        <w:rPr>
          <w:rStyle w:val="None"/>
        </w:rPr>
        <w:t xml:space="preserve">ootnote omitted) </w:t>
      </w:r>
    </w:p>
    <w:p w14:paraId="5F56DE0C" w14:textId="18A442FE" w:rsidR="00E9398D" w:rsidRPr="00AA0453" w:rsidRDefault="00E9398D" w:rsidP="003E757A">
      <w:pPr>
        <w:pStyle w:val="Rule"/>
      </w:pPr>
      <w:r w:rsidRPr="00AA0453">
        <w:rPr>
          <w:rStyle w:val="None"/>
        </w:rPr>
        <w:t xml:space="preserve">No parenthetical is needed for a citation or footnote call number that follows the end of </w:t>
      </w:r>
      <w:r w:rsidR="00E255D8" w:rsidRPr="00AA0453">
        <w:rPr>
          <w:rStyle w:val="None"/>
        </w:rPr>
        <w:t>a sentence in</w:t>
      </w:r>
      <w:r w:rsidRPr="00AA0453">
        <w:rPr>
          <w:rStyle w:val="None"/>
        </w:rPr>
        <w:t xml:space="preserve"> the </w:t>
      </w:r>
      <w:r w:rsidR="00E255D8" w:rsidRPr="00AA0453">
        <w:rPr>
          <w:rStyle w:val="None"/>
        </w:rPr>
        <w:t>quoted text</w:t>
      </w:r>
      <w:r w:rsidRPr="00AA0453">
        <w:rPr>
          <w:rStyle w:val="None"/>
        </w:rPr>
        <w:t>.</w:t>
      </w:r>
      <w:r w:rsidR="007B0DB1" w:rsidRPr="00AA0453">
        <w:rPr>
          <w:rStyle w:val="None"/>
        </w:rPr>
        <w:t xml:space="preserve"> Citations omitted</w:t>
      </w:r>
      <w:r w:rsidR="00CC2E6E" w:rsidRPr="00AA0453">
        <w:rPr>
          <w:rStyle w:val="None"/>
        </w:rPr>
        <w:t xml:space="preserve"> from</w:t>
      </w:r>
      <w:r w:rsidR="007B0DB1" w:rsidRPr="00AA0453">
        <w:rPr>
          <w:rStyle w:val="None"/>
        </w:rPr>
        <w:t xml:space="preserve"> within </w:t>
      </w:r>
      <w:r w:rsidR="00E255D8" w:rsidRPr="00AA0453">
        <w:rPr>
          <w:rStyle w:val="None"/>
        </w:rPr>
        <w:t>a quoted sentence</w:t>
      </w:r>
      <w:r w:rsidR="007B0DB1" w:rsidRPr="00AA0453">
        <w:rPr>
          <w:rStyle w:val="None"/>
        </w:rPr>
        <w:t xml:space="preserve"> should, however, be indicated</w:t>
      </w:r>
      <w:r w:rsidR="00CC2E6E" w:rsidRPr="00AA0453">
        <w:rPr>
          <w:rStyle w:val="None"/>
        </w:rPr>
        <w:t xml:space="preserve"> parenthetically.</w:t>
      </w:r>
    </w:p>
    <w:p w14:paraId="2291678D" w14:textId="77777777" w:rsidR="00E9398D" w:rsidRPr="00AA0453" w:rsidRDefault="00E9398D" w:rsidP="003E757A">
      <w:pPr>
        <w:pStyle w:val="InklingTitle"/>
        <w:rPr>
          <w:rStyle w:val="None"/>
          <w:lang w:val="en-US"/>
        </w:rPr>
      </w:pPr>
    </w:p>
    <w:p w14:paraId="3F3E42FF" w14:textId="77777777" w:rsidR="00E9398D" w:rsidRPr="00AA0453" w:rsidRDefault="00E9398D" w:rsidP="003E757A">
      <w:pPr>
        <w:pStyle w:val="InklingTitle"/>
        <w:rPr>
          <w:rStyle w:val="None"/>
          <w:lang w:val="en-US"/>
        </w:rPr>
      </w:pPr>
      <w:r w:rsidRPr="00AA0453">
        <w:rPr>
          <w:rStyle w:val="None"/>
          <w:lang w:val="en-US"/>
        </w:rPr>
        <w:t>Indigo Inkling</w:t>
      </w:r>
    </w:p>
    <w:p w14:paraId="529D0202" w14:textId="77777777" w:rsidR="00E9398D" w:rsidRPr="00AA0453" w:rsidRDefault="00E9398D" w:rsidP="003E757A">
      <w:pPr>
        <w:pStyle w:val="Body"/>
        <w:rPr>
          <w:rStyle w:val="None"/>
          <w:lang w:val="en-US"/>
        </w:rPr>
      </w:pPr>
    </w:p>
    <w:p w14:paraId="0890ECB4" w14:textId="565A0396" w:rsidR="00AA0453" w:rsidRPr="00AA0453" w:rsidRDefault="00E9398D" w:rsidP="003E757A">
      <w:pPr>
        <w:pStyle w:val="Inkling"/>
        <w:rPr>
          <w:rStyle w:val="None"/>
          <w:lang w:val="en-US"/>
        </w:rPr>
      </w:pPr>
      <w:r w:rsidRPr="00AA0453">
        <w:rPr>
          <w:rStyle w:val="None"/>
          <w:lang w:val="en-US"/>
        </w:rPr>
        <w:t xml:space="preserve">Dealing with quoted material can be minutely technical, as with parentheticals such as (citation omitted, internal quotation marks removed, and second emphasis omitted). To simplify and streamline citations and replace the granular detail of such parentheticals, attorney Jack Metzler has proposed and promoted a shorter parenthetical to handle such situations: (cleaned up). The parenthetical (cleaned up) after a quotation and citation indicates essentially that the writer has adjusted the citation’s mechanics to the situation and will not list and elaborate on each mechanical modification, but is indicating to the reader that small tweaks have been made for clarity and convenience. </w:t>
      </w:r>
    </w:p>
    <w:p w14:paraId="021C21A8" w14:textId="77777777" w:rsidR="00FC138E" w:rsidRDefault="00FC138E" w:rsidP="003E757A">
      <w:pPr>
        <w:pStyle w:val="Inkling"/>
        <w:rPr>
          <w:rStyle w:val="None"/>
          <w:lang w:val="en-US"/>
        </w:rPr>
      </w:pPr>
    </w:p>
    <w:p w14:paraId="094C5913" w14:textId="6EB1B1AD" w:rsidR="00E9398D" w:rsidRPr="00AA0453" w:rsidRDefault="00FC138E" w:rsidP="005A5A45">
      <w:pPr>
        <w:pStyle w:val="Inkling"/>
        <w:rPr>
          <w:rStyle w:val="None"/>
          <w:lang w:val="en-US"/>
        </w:rPr>
      </w:pPr>
      <w:r>
        <w:rPr>
          <w:rStyle w:val="None"/>
          <w:lang w:val="en-US"/>
        </w:rPr>
        <w:t>The</w:t>
      </w:r>
      <w:r w:rsidR="00E9398D" w:rsidRPr="00AA0453">
        <w:rPr>
          <w:rStyle w:val="None"/>
          <w:lang w:val="en-US"/>
        </w:rPr>
        <w:t xml:space="preserve"> (cleaned up) parenthetical </w:t>
      </w:r>
      <w:r>
        <w:rPr>
          <w:rStyle w:val="None"/>
          <w:lang w:val="en-US"/>
        </w:rPr>
        <w:t>has not become part of the Uniform System of Citation—yet</w:t>
      </w:r>
      <w:r w:rsidR="00E9398D" w:rsidRPr="00AA0453">
        <w:rPr>
          <w:rStyle w:val="None"/>
          <w:lang w:val="en-US"/>
        </w:rPr>
        <w:t xml:space="preserve">. </w:t>
      </w:r>
      <w:r>
        <w:rPr>
          <w:rStyle w:val="None"/>
          <w:lang w:val="en-US"/>
        </w:rPr>
        <w:t xml:space="preserve">It has, however, actually </w:t>
      </w:r>
      <w:r w:rsidR="00E9398D" w:rsidRPr="00AA0453">
        <w:rPr>
          <w:rStyle w:val="None"/>
          <w:lang w:val="en-US"/>
        </w:rPr>
        <w:t xml:space="preserve">been used in thousands of federal and state judicial opinions. </w:t>
      </w:r>
      <w:r w:rsidR="00E9398D" w:rsidRPr="00FC138E">
        <w:rPr>
          <w:rStyle w:val="None"/>
          <w:i/>
          <w:iCs/>
          <w:lang w:val="en-US"/>
        </w:rPr>
        <w:t>See</w:t>
      </w:r>
      <w:r>
        <w:rPr>
          <w:rStyle w:val="None"/>
          <w:lang w:val="en-US"/>
        </w:rPr>
        <w:t xml:space="preserve"> </w:t>
      </w:r>
      <w:r w:rsidR="00E9398D" w:rsidRPr="00AA0453">
        <w:rPr>
          <w:rStyle w:val="None"/>
          <w:lang w:val="en-US"/>
        </w:rPr>
        <w:t xml:space="preserve">Jack Metzler, </w:t>
      </w:r>
      <w:r w:rsidR="00E9398D" w:rsidRPr="00AA0453">
        <w:rPr>
          <w:rStyle w:val="None"/>
          <w:i/>
          <w:iCs/>
          <w:lang w:val="en-US"/>
        </w:rPr>
        <w:t>Cleaning Up Citations</w:t>
      </w:r>
      <w:r w:rsidR="00E9398D" w:rsidRPr="00AA0453">
        <w:rPr>
          <w:rStyle w:val="None"/>
          <w:lang w:val="en-US"/>
        </w:rPr>
        <w:t>, 18 J. App. Prac. &amp; Process 142 (2017).</w:t>
      </w:r>
      <w:r w:rsidR="00E9398D" w:rsidRPr="00AA0453">
        <w:rPr>
          <w:lang w:val="en-US"/>
        </w:rPr>
        <w:t xml:space="preserve"> </w:t>
      </w:r>
      <w:r>
        <w:rPr>
          <w:rStyle w:val="None"/>
          <w:lang w:val="en-US"/>
        </w:rPr>
        <w:t>The (cleaned up) approach</w:t>
      </w:r>
      <w:r w:rsidR="00E9398D" w:rsidRPr="00AA0453">
        <w:rPr>
          <w:rStyle w:val="None"/>
          <w:lang w:val="en-US"/>
        </w:rPr>
        <w:t xml:space="preserve"> is not without its critics, though, who argue that transparently meticulous care with quotations enhances the writer’s credibility and does not unduly distract readers</w:t>
      </w:r>
      <w:r>
        <w:rPr>
          <w:rStyle w:val="None"/>
          <w:lang w:val="en-US"/>
        </w:rPr>
        <w:t>.</w:t>
      </w:r>
      <w:r w:rsidR="00F55224">
        <w:rPr>
          <w:rStyle w:val="None"/>
          <w:lang w:val="en-US"/>
        </w:rPr>
        <w:t xml:space="preserve"> Writers will </w:t>
      </w:r>
      <w:r w:rsidR="00DC1022">
        <w:rPr>
          <w:rStyle w:val="None"/>
          <w:lang w:val="en-US"/>
        </w:rPr>
        <w:t xml:space="preserve">need to make individual decisions whether to consider (cleaned up), depending on their role and their audience. Apart from these individual decisions, the (cleaned up) </w:t>
      </w:r>
      <w:r w:rsidR="00F55224">
        <w:rPr>
          <w:rStyle w:val="None"/>
          <w:lang w:val="en-US"/>
        </w:rPr>
        <w:t>parenthetical provides</w:t>
      </w:r>
      <w:r w:rsidR="005A5A45">
        <w:rPr>
          <w:rStyle w:val="None"/>
          <w:lang w:val="en-US"/>
        </w:rPr>
        <w:t xml:space="preserve"> yet more evidence that</w:t>
      </w:r>
      <w:r w:rsidR="00E9398D" w:rsidRPr="00AA0453">
        <w:rPr>
          <w:rStyle w:val="None"/>
          <w:lang w:val="en-US"/>
        </w:rPr>
        <w:t xml:space="preserve"> legal ci</w:t>
      </w:r>
      <w:r w:rsidR="0031765E">
        <w:rPr>
          <w:rStyle w:val="None"/>
          <w:lang w:val="en-US"/>
        </w:rPr>
        <w:t xml:space="preserve">tation </w:t>
      </w:r>
      <w:r w:rsidR="008360E9">
        <w:rPr>
          <w:rStyle w:val="None"/>
          <w:lang w:val="en-US"/>
        </w:rPr>
        <w:t xml:space="preserve">can and does evolve not just through the </w:t>
      </w:r>
      <w:r w:rsidR="001000B5">
        <w:rPr>
          <w:rStyle w:val="None"/>
          <w:lang w:val="en-US"/>
        </w:rPr>
        <w:t xml:space="preserve">periodic publication of citation </w:t>
      </w:r>
      <w:r w:rsidR="008360E9">
        <w:rPr>
          <w:rStyle w:val="None"/>
          <w:lang w:val="en-US"/>
        </w:rPr>
        <w:t>rule</w:t>
      </w:r>
      <w:r w:rsidR="00B6015D">
        <w:rPr>
          <w:rStyle w:val="None"/>
          <w:lang w:val="en-US"/>
        </w:rPr>
        <w:t xml:space="preserve">s but through practice and dialogue </w:t>
      </w:r>
      <w:r w:rsidR="0078655F">
        <w:rPr>
          <w:rStyle w:val="None"/>
          <w:lang w:val="en-US"/>
        </w:rPr>
        <w:t>with</w:t>
      </w:r>
      <w:r w:rsidR="00B6015D">
        <w:rPr>
          <w:rStyle w:val="None"/>
          <w:lang w:val="en-US"/>
        </w:rPr>
        <w:t>in the legal community.</w:t>
      </w:r>
      <w:r w:rsidR="008360E9">
        <w:rPr>
          <w:rStyle w:val="None"/>
          <w:lang w:val="en-US"/>
        </w:rPr>
        <w:t xml:space="preserve"> </w:t>
      </w:r>
    </w:p>
    <w:p w14:paraId="5101E19A" w14:textId="06A5AAC0" w:rsidR="00E9398D" w:rsidRPr="00AA0453" w:rsidRDefault="00E9398D" w:rsidP="003E757A">
      <w:pPr>
        <w:pStyle w:val="Body"/>
        <w:rPr>
          <w:rStyle w:val="None"/>
          <w:rFonts w:ascii="Franklin Gothic Book" w:eastAsia="Franklin Gothic Book" w:hAnsi="Franklin Gothic Book" w:cs="Franklin Gothic Book"/>
          <w:i/>
          <w:iCs/>
          <w:lang w:val="en-US"/>
        </w:rPr>
      </w:pPr>
    </w:p>
    <w:p w14:paraId="5038B785" w14:textId="3B64ABEE" w:rsidR="00E9398D" w:rsidRPr="00AA0453" w:rsidRDefault="007F4342" w:rsidP="003E757A">
      <w:pPr>
        <w:pStyle w:val="Heading4"/>
        <w:rPr>
          <w:rStyle w:val="None"/>
          <w:rFonts w:ascii="Georgia" w:eastAsia="Georgia" w:hAnsi="Georgia" w:cs="Georgia"/>
          <w:b/>
          <w:bCs/>
          <w:sz w:val="27"/>
          <w:szCs w:val="27"/>
        </w:rPr>
      </w:pPr>
      <w:r w:rsidRPr="00AA0453">
        <w:rPr>
          <w:rStyle w:val="None"/>
          <w:rFonts w:ascii="Georgia" w:hAnsi="Georgia"/>
          <w:b/>
          <w:bCs/>
          <w:sz w:val="27"/>
          <w:szCs w:val="27"/>
        </w:rPr>
        <w:t>R8.3</w:t>
      </w:r>
      <w:r w:rsidRPr="00AA0453">
        <w:rPr>
          <w:rStyle w:val="None"/>
          <w:rFonts w:ascii="Georgia" w:hAnsi="Georgia"/>
          <w:b/>
          <w:bCs/>
          <w:sz w:val="27"/>
          <w:szCs w:val="27"/>
        </w:rPr>
        <w:tab/>
      </w:r>
      <w:r w:rsidR="00E9398D" w:rsidRPr="00AA0453">
        <w:rPr>
          <w:rStyle w:val="None"/>
          <w:rFonts w:ascii="Georgia" w:hAnsi="Georgia"/>
          <w:b/>
          <w:bCs/>
          <w:sz w:val="27"/>
          <w:szCs w:val="27"/>
        </w:rPr>
        <w:t>Omissions in Quotations</w:t>
      </w:r>
    </w:p>
    <w:p w14:paraId="2AE55CB5" w14:textId="20EF6F7D" w:rsidR="00E9398D" w:rsidRPr="00AA0453" w:rsidRDefault="007F4342" w:rsidP="003E757A">
      <w:pPr>
        <w:pStyle w:val="Heading5"/>
      </w:pPr>
      <w:r w:rsidRPr="00AA0453">
        <w:rPr>
          <w:rStyle w:val="None"/>
          <w:rFonts w:ascii="Georgia" w:hAnsi="Georgia"/>
        </w:rPr>
        <w:t>R</w:t>
      </w:r>
      <w:r w:rsidR="00E9398D" w:rsidRPr="00AA0453">
        <w:rPr>
          <w:rStyle w:val="None"/>
          <w:rFonts w:ascii="Georgia" w:hAnsi="Georgia"/>
        </w:rPr>
        <w:t>8.3.1</w:t>
      </w:r>
      <w:r w:rsidR="00E9398D" w:rsidRPr="00AA0453">
        <w:rPr>
          <w:rStyle w:val="None"/>
          <w:rFonts w:ascii="Georgia" w:hAnsi="Georgia"/>
        </w:rPr>
        <w:tab/>
      </w:r>
      <w:r w:rsidRPr="00AA0453">
        <w:rPr>
          <w:rStyle w:val="None"/>
          <w:rFonts w:ascii="Georgia" w:hAnsi="Georgia"/>
        </w:rPr>
        <w:tab/>
      </w:r>
      <w:r w:rsidR="00931951" w:rsidRPr="00AA0453">
        <w:rPr>
          <w:rStyle w:val="None"/>
          <w:rFonts w:ascii="Georgia" w:hAnsi="Georgia"/>
        </w:rPr>
        <w:t>Ellips</w:t>
      </w:r>
      <w:r w:rsidR="00E5393B" w:rsidRPr="00AA0453">
        <w:rPr>
          <w:rStyle w:val="None"/>
          <w:rFonts w:ascii="Georgia" w:hAnsi="Georgia"/>
        </w:rPr>
        <w:t>e</w:t>
      </w:r>
      <w:r w:rsidR="00931951" w:rsidRPr="00AA0453">
        <w:rPr>
          <w:rStyle w:val="None"/>
          <w:rFonts w:ascii="Georgia" w:hAnsi="Georgia"/>
        </w:rPr>
        <w:t xml:space="preserve">s </w:t>
      </w:r>
      <w:r w:rsidR="005457BB" w:rsidRPr="00AA0453">
        <w:rPr>
          <w:rStyle w:val="None"/>
          <w:rFonts w:ascii="Georgia" w:hAnsi="Georgia"/>
        </w:rPr>
        <w:t>generally</w:t>
      </w:r>
    </w:p>
    <w:p w14:paraId="3C225B1B" w14:textId="7EC3080B" w:rsidR="00E9398D" w:rsidRPr="00AA0453" w:rsidRDefault="005457BB" w:rsidP="003E757A">
      <w:pPr>
        <w:pStyle w:val="Rule"/>
      </w:pPr>
      <w:r w:rsidRPr="00AA0453">
        <w:rPr>
          <w:rStyle w:val="None"/>
        </w:rPr>
        <w:t>An omission is</w:t>
      </w:r>
      <w:r w:rsidR="00E9398D" w:rsidRPr="00AA0453">
        <w:rPr>
          <w:rStyle w:val="None"/>
        </w:rPr>
        <w:t xml:space="preserve"> indicated by an ellipsis where the words are omitted:  . . .</w:t>
      </w:r>
    </w:p>
    <w:p w14:paraId="3084ED6A" w14:textId="77777777" w:rsidR="00E23AB6" w:rsidRPr="00AA0453" w:rsidRDefault="00E9398D" w:rsidP="003E757A">
      <w:pPr>
        <w:pStyle w:val="Rule"/>
        <w:rPr>
          <w:rStyle w:val="None"/>
        </w:rPr>
      </w:pPr>
      <w:r w:rsidRPr="00AA0453">
        <w:rPr>
          <w:rStyle w:val="None"/>
        </w:rPr>
        <w:t xml:space="preserve">The ellipsis in legal writing is represented by three periods and four spaces. </w:t>
      </w:r>
    </w:p>
    <w:p w14:paraId="0D0DDC00" w14:textId="2AC9B681" w:rsidR="00E9398D" w:rsidRPr="00AA0453" w:rsidRDefault="00E9398D" w:rsidP="003E757A">
      <w:pPr>
        <w:pStyle w:val="Rule"/>
        <w:rPr>
          <w:rStyle w:val="None"/>
        </w:rPr>
      </w:pPr>
      <w:r w:rsidRPr="00AA0453">
        <w:rPr>
          <w:rStyle w:val="None"/>
        </w:rPr>
        <w:t xml:space="preserve">Insert a space after the last letter of the preceding phrase, a space between each period, and a space before the first letter of the following phrase. </w:t>
      </w:r>
      <w:r w:rsidR="00E23AB6" w:rsidRPr="00AA0453">
        <w:rPr>
          <w:rStyle w:val="None"/>
        </w:rPr>
        <w:t xml:space="preserve">Rules </w:t>
      </w:r>
      <w:r w:rsidR="00B70C42">
        <w:rPr>
          <w:rStyle w:val="None"/>
        </w:rPr>
        <w:t>R</w:t>
      </w:r>
      <w:r w:rsidR="00E23AB6" w:rsidRPr="00AA0453">
        <w:rPr>
          <w:rStyle w:val="None"/>
        </w:rPr>
        <w:t>8.3.2-</w:t>
      </w:r>
      <w:r w:rsidR="00B70C42">
        <w:rPr>
          <w:rStyle w:val="None"/>
        </w:rPr>
        <w:t>R</w:t>
      </w:r>
      <w:r w:rsidR="00E23AB6" w:rsidRPr="00AA0453">
        <w:rPr>
          <w:rStyle w:val="None"/>
        </w:rPr>
        <w:t>8.3.</w:t>
      </w:r>
      <w:r w:rsidR="002C20CA" w:rsidRPr="00AA0453">
        <w:rPr>
          <w:rStyle w:val="None"/>
        </w:rPr>
        <w:t>7</w:t>
      </w:r>
      <w:r w:rsidR="00E23AB6" w:rsidRPr="00AA0453">
        <w:rPr>
          <w:rStyle w:val="None"/>
        </w:rPr>
        <w:t xml:space="preserve"> contain rules and examples for incorporating ellipses in various situations.</w:t>
      </w:r>
    </w:p>
    <w:p w14:paraId="377BAD3A" w14:textId="77777777" w:rsidR="007F4342" w:rsidRPr="00AA0453" w:rsidRDefault="007F4342" w:rsidP="003E757A">
      <w:pPr>
        <w:pStyle w:val="Rule"/>
      </w:pPr>
    </w:p>
    <w:p w14:paraId="67BDA086" w14:textId="165A8694" w:rsidR="00E9398D" w:rsidRPr="00AA0453" w:rsidRDefault="007F4342" w:rsidP="003E757A">
      <w:pPr>
        <w:pStyle w:val="Heading5"/>
        <w:rPr>
          <w:rStyle w:val="None"/>
          <w:rFonts w:ascii="Georgia" w:hAnsi="Georgia"/>
        </w:rPr>
      </w:pPr>
      <w:r w:rsidRPr="00AA0453">
        <w:rPr>
          <w:rStyle w:val="None"/>
          <w:rFonts w:ascii="Georgia" w:hAnsi="Georgia"/>
        </w:rPr>
        <w:t>R8.3.2</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w:t>
      </w:r>
      <w:r w:rsidR="00931951" w:rsidRPr="00AA0453">
        <w:rPr>
          <w:rStyle w:val="None"/>
          <w:rFonts w:ascii="Georgia" w:hAnsi="Georgia"/>
        </w:rPr>
        <w:t>from</w:t>
      </w:r>
      <w:r w:rsidR="00E9398D" w:rsidRPr="00AA0453">
        <w:rPr>
          <w:rStyle w:val="None"/>
          <w:rFonts w:ascii="Georgia" w:hAnsi="Georgia"/>
        </w:rPr>
        <w:t xml:space="preserve"> the </w:t>
      </w:r>
      <w:r w:rsidR="00931951" w:rsidRPr="00AA0453">
        <w:rPr>
          <w:rStyle w:val="None"/>
          <w:rFonts w:ascii="Georgia" w:hAnsi="Georgia"/>
        </w:rPr>
        <w:t>b</w:t>
      </w:r>
      <w:r w:rsidR="00E9398D" w:rsidRPr="00AA0453">
        <w:rPr>
          <w:rStyle w:val="None"/>
          <w:rFonts w:ascii="Georgia" w:hAnsi="Georgia"/>
        </w:rPr>
        <w:t xml:space="preserve">eginning of a </w:t>
      </w:r>
      <w:r w:rsidR="00931951" w:rsidRPr="00AA0453">
        <w:rPr>
          <w:rStyle w:val="None"/>
          <w:rFonts w:ascii="Georgia" w:hAnsi="Georgia"/>
        </w:rPr>
        <w:t>quoted s</w:t>
      </w:r>
      <w:r w:rsidR="00E9398D" w:rsidRPr="00AA0453">
        <w:rPr>
          <w:rStyle w:val="None"/>
          <w:rFonts w:ascii="Georgia" w:hAnsi="Georgia"/>
        </w:rPr>
        <w:t>entence</w:t>
      </w:r>
    </w:p>
    <w:p w14:paraId="70C41B2E" w14:textId="77777777" w:rsidR="00E9398D" w:rsidRPr="00AA0453" w:rsidRDefault="00E9398D" w:rsidP="003E757A">
      <w:pPr>
        <w:pStyle w:val="Rule"/>
      </w:pPr>
      <w:r w:rsidRPr="00AA0453">
        <w:rPr>
          <w:rStyle w:val="None"/>
        </w:rPr>
        <w:t xml:space="preserve">When omitting the beginning of a quoted sentence, do not use an ellipsis. Instead, capitalize the first letter and place it in brackets. If the first letter of the quoted material is already capitalized, no change is needed, but—as with all quotes—ensure that the quotation is accurate in context.  </w:t>
      </w:r>
    </w:p>
    <w:p w14:paraId="167251E6" w14:textId="77777777" w:rsidR="007F4342" w:rsidRPr="00AA0453" w:rsidRDefault="00E9398D" w:rsidP="003E757A">
      <w:pPr>
        <w:pStyle w:val="Example"/>
        <w:ind w:left="1440"/>
        <w:rPr>
          <w:rStyle w:val="None"/>
        </w:rPr>
      </w:pPr>
      <w:r w:rsidRPr="00AA0453">
        <w:rPr>
          <w:rStyle w:val="None"/>
          <w:b/>
          <w:bCs/>
        </w:rPr>
        <w:t>Example:</w:t>
      </w:r>
      <w:r w:rsidRPr="00AA0453">
        <w:rPr>
          <w:rStyle w:val="None"/>
        </w:rPr>
        <w:t> </w:t>
      </w:r>
    </w:p>
    <w:p w14:paraId="2E53A022" w14:textId="232480AB" w:rsidR="00E9398D" w:rsidRPr="00AA0453" w:rsidRDefault="00E9398D" w:rsidP="003E757A">
      <w:pPr>
        <w:pStyle w:val="Example"/>
        <w:ind w:left="1440"/>
      </w:pPr>
      <w:r w:rsidRPr="00AA0453">
        <w:rPr>
          <w:rStyle w:val="None"/>
        </w:rPr>
        <w:t>“[T]he actual knowledge provision turns on whether the provider actually or </w:t>
      </w:r>
      <w:r w:rsidRPr="00AA0453">
        <w:rPr>
          <w:rStyle w:val="None"/>
          <w:i/>
          <w:iCs/>
        </w:rPr>
        <w:t>subjectively</w:t>
      </w:r>
      <w:r w:rsidRPr="00AA0453">
        <w:rPr>
          <w:rStyle w:val="None"/>
        </w:rPr>
        <w:t> knew of specific infringement, while the red flag provision turns on whether the provider was subjectively aware of facts that would have made the specific infringement </w:t>
      </w:r>
      <w:r w:rsidRPr="00AA0453">
        <w:rPr>
          <w:rStyle w:val="None"/>
          <w:i/>
          <w:iCs/>
        </w:rPr>
        <w:t>objectively</w:t>
      </w:r>
      <w:r w:rsidRPr="00AA0453">
        <w:rPr>
          <w:rStyle w:val="None"/>
        </w:rPr>
        <w:t> obvious to a reasonable person.”</w:t>
      </w:r>
    </w:p>
    <w:p w14:paraId="59330BE5" w14:textId="52F45DFD" w:rsidR="00E9398D" w:rsidRPr="00AA0453" w:rsidRDefault="002C20CA" w:rsidP="003E757A">
      <w:pPr>
        <w:pStyle w:val="Heading5"/>
        <w:rPr>
          <w:rStyle w:val="None"/>
          <w:rFonts w:ascii="Georgia" w:hAnsi="Georgia"/>
        </w:rPr>
      </w:pPr>
      <w:r w:rsidRPr="00AA0453">
        <w:rPr>
          <w:rStyle w:val="None"/>
          <w:rFonts w:ascii="Georgia" w:hAnsi="Georgia"/>
        </w:rPr>
        <w:t>R8.3.3</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in the </w:t>
      </w:r>
      <w:r w:rsidR="00E5393B" w:rsidRPr="00AA0453">
        <w:rPr>
          <w:rStyle w:val="None"/>
          <w:rFonts w:ascii="Georgia" w:hAnsi="Georgia"/>
        </w:rPr>
        <w:t>m</w:t>
      </w:r>
      <w:r w:rsidR="00E9398D" w:rsidRPr="00AA0453">
        <w:rPr>
          <w:rStyle w:val="None"/>
          <w:rFonts w:ascii="Georgia" w:hAnsi="Georgia"/>
        </w:rPr>
        <w:t xml:space="preserve">iddle of a </w:t>
      </w:r>
      <w:r w:rsidR="00E5393B" w:rsidRPr="00AA0453">
        <w:rPr>
          <w:rStyle w:val="None"/>
          <w:rFonts w:ascii="Georgia" w:hAnsi="Georgia"/>
        </w:rPr>
        <w:t>s</w:t>
      </w:r>
      <w:r w:rsidR="00E9398D" w:rsidRPr="00AA0453">
        <w:rPr>
          <w:rStyle w:val="None"/>
          <w:rFonts w:ascii="Georgia" w:hAnsi="Georgia"/>
        </w:rPr>
        <w:t>entence</w:t>
      </w:r>
    </w:p>
    <w:p w14:paraId="165C3E57" w14:textId="7E3239E6" w:rsidR="00E9398D" w:rsidRPr="00AA0453" w:rsidRDefault="00E9398D" w:rsidP="003E757A">
      <w:pPr>
        <w:pStyle w:val="Rule"/>
      </w:pPr>
      <w:r w:rsidRPr="00AA0453">
        <w:rPr>
          <w:rStyle w:val="None"/>
        </w:rPr>
        <w:t>When omitting the middle of a quoted sentence, insert an ellipsis to indicate the omission</w:t>
      </w:r>
      <w:r w:rsidR="00A971DD" w:rsidRPr="00AA0453">
        <w:rPr>
          <w:rStyle w:val="None"/>
        </w:rPr>
        <w:t>.</w:t>
      </w:r>
    </w:p>
    <w:p w14:paraId="354B7A9B" w14:textId="77777777" w:rsidR="00A971DD" w:rsidRPr="00AA0453" w:rsidRDefault="00E9398D" w:rsidP="003E757A">
      <w:pPr>
        <w:pStyle w:val="Example"/>
        <w:ind w:left="1440"/>
        <w:rPr>
          <w:rStyle w:val="None"/>
        </w:rPr>
      </w:pPr>
      <w:r w:rsidRPr="00AA0453">
        <w:rPr>
          <w:rStyle w:val="None"/>
          <w:b/>
          <w:bCs/>
        </w:rPr>
        <w:t>Example:</w:t>
      </w:r>
      <w:r w:rsidRPr="00AA0453">
        <w:rPr>
          <w:rStyle w:val="None"/>
        </w:rPr>
        <w:t> </w:t>
      </w:r>
    </w:p>
    <w:p w14:paraId="6BD04387" w14:textId="67E41D78" w:rsidR="00E9398D" w:rsidRPr="00AA0453" w:rsidRDefault="00E9398D" w:rsidP="003E757A">
      <w:pPr>
        <w:pStyle w:val="Example"/>
        <w:ind w:left="1440"/>
      </w:pPr>
      <w:r w:rsidRPr="00AA0453">
        <w:rPr>
          <w:rStyle w:val="None"/>
        </w:rPr>
        <w:t>“The difference between actual and red flag knowledge is . . . between a subjective and an objective standard.”</w:t>
      </w:r>
    </w:p>
    <w:p w14:paraId="2FBB8D87" w14:textId="4E7EA662" w:rsidR="00E9398D" w:rsidRPr="00AA0453" w:rsidRDefault="00A971DD" w:rsidP="003E757A">
      <w:pPr>
        <w:pStyle w:val="Heading5"/>
        <w:rPr>
          <w:rStyle w:val="None"/>
          <w:rFonts w:ascii="Georgia" w:hAnsi="Georgia"/>
        </w:rPr>
      </w:pPr>
      <w:r w:rsidRPr="00AA0453">
        <w:rPr>
          <w:rStyle w:val="None"/>
          <w:rFonts w:ascii="Georgia" w:hAnsi="Georgia"/>
        </w:rPr>
        <w:t>R8.3.4</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Within a </w:t>
      </w:r>
      <w:r w:rsidR="00531553" w:rsidRPr="00AA0453">
        <w:rPr>
          <w:rStyle w:val="None"/>
          <w:rFonts w:ascii="Georgia" w:hAnsi="Georgia"/>
        </w:rPr>
        <w:t>q</w:t>
      </w:r>
      <w:r w:rsidR="00E9398D" w:rsidRPr="00AA0453">
        <w:rPr>
          <w:rStyle w:val="None"/>
          <w:rFonts w:ascii="Georgia" w:hAnsi="Georgia"/>
        </w:rPr>
        <w:t xml:space="preserve">uotation as a </w:t>
      </w:r>
      <w:r w:rsidR="00531553" w:rsidRPr="00AA0453">
        <w:rPr>
          <w:rStyle w:val="None"/>
          <w:rFonts w:ascii="Georgia" w:hAnsi="Georgia"/>
        </w:rPr>
        <w:t>p</w:t>
      </w:r>
      <w:r w:rsidR="00E9398D" w:rsidRPr="00AA0453">
        <w:rPr>
          <w:rStyle w:val="None"/>
          <w:rFonts w:ascii="Georgia" w:hAnsi="Georgia"/>
        </w:rPr>
        <w:t xml:space="preserve">hrase or </w:t>
      </w:r>
      <w:r w:rsidR="00531553" w:rsidRPr="00AA0453">
        <w:rPr>
          <w:rStyle w:val="None"/>
          <w:rFonts w:ascii="Georgia" w:hAnsi="Georgia"/>
        </w:rPr>
        <w:t>c</w:t>
      </w:r>
      <w:r w:rsidR="00E9398D" w:rsidRPr="00AA0453">
        <w:rPr>
          <w:rStyle w:val="None"/>
          <w:rFonts w:ascii="Georgia" w:hAnsi="Georgia"/>
        </w:rPr>
        <w:t>lause</w:t>
      </w:r>
    </w:p>
    <w:p w14:paraId="493134B5" w14:textId="77777777" w:rsidR="00E9398D" w:rsidRPr="00AA0453" w:rsidRDefault="00E9398D" w:rsidP="003E757A">
      <w:pPr>
        <w:pStyle w:val="Rule"/>
      </w:pPr>
      <w:r w:rsidRPr="00AA0453">
        <w:rPr>
          <w:rStyle w:val="None"/>
        </w:rPr>
        <w:t>If there is an omission within the quotation, mark the omission with an ellipsis.</w:t>
      </w:r>
    </w:p>
    <w:p w14:paraId="5B8E35F6" w14:textId="77777777" w:rsidR="00A971DD" w:rsidRPr="00AA0453" w:rsidRDefault="00E9398D" w:rsidP="003E757A">
      <w:pPr>
        <w:pStyle w:val="Body"/>
        <w:tabs>
          <w:tab w:val="left" w:pos="1440"/>
        </w:tabs>
        <w:spacing w:before="150" w:after="90"/>
        <w:ind w:left="1080"/>
        <w:rPr>
          <w:rStyle w:val="None"/>
          <w:rFonts w:ascii="Georgia" w:hAnsi="Georgia"/>
          <w:lang w:val="en-US"/>
        </w:rPr>
      </w:pPr>
      <w:r w:rsidRPr="00AA0453">
        <w:rPr>
          <w:rStyle w:val="None"/>
          <w:rFonts w:ascii="Georgia" w:hAnsi="Georgia"/>
          <w:b/>
          <w:bCs/>
          <w:lang w:val="en-US"/>
        </w:rPr>
        <w:t>Example:</w:t>
      </w:r>
      <w:r w:rsidRPr="00AA0453">
        <w:rPr>
          <w:rStyle w:val="None"/>
          <w:rFonts w:ascii="Georgia" w:hAnsi="Georgia"/>
          <w:lang w:val="en-US"/>
        </w:rPr>
        <w:t> </w:t>
      </w:r>
    </w:p>
    <w:p w14:paraId="7FBFD439" w14:textId="072618B3" w:rsidR="00E9398D" w:rsidRPr="00AA0453" w:rsidRDefault="00E9398D" w:rsidP="003E757A">
      <w:pPr>
        <w:pStyle w:val="Body"/>
        <w:tabs>
          <w:tab w:val="left" w:pos="1440"/>
        </w:tabs>
        <w:spacing w:before="150" w:after="90"/>
        <w:ind w:left="1080"/>
        <w:rPr>
          <w:rFonts w:ascii="Georgia" w:hAnsi="Georgia"/>
          <w:lang w:val="en-US"/>
        </w:rPr>
      </w:pPr>
      <w:r w:rsidRPr="00AA0453">
        <w:rPr>
          <w:rStyle w:val="None"/>
          <w:rFonts w:ascii="Georgia" w:hAnsi="Georgia"/>
          <w:i/>
          <w:iCs/>
          <w:lang w:val="en-US"/>
        </w:rPr>
        <w:t>Exxon Mobil Corp. v. Allapattah Servs., Inc.</w:t>
      </w:r>
      <w:r w:rsidRPr="00AA0453">
        <w:rPr>
          <w:rStyle w:val="None"/>
          <w:rFonts w:ascii="Georgia" w:hAnsi="Georgia"/>
          <w:lang w:val="en-US"/>
        </w:rPr>
        <w:t>, 545 U.S. 546, 571 (2005) (noting that “[t]he distinguished jurists who drafted the Subcommittee Working Paper . . . agree that this provision, on its face, overrules </w:t>
      </w:r>
      <w:r w:rsidRPr="00AA0453">
        <w:rPr>
          <w:rStyle w:val="None"/>
          <w:rFonts w:ascii="Georgia" w:hAnsi="Georgia"/>
          <w:i/>
          <w:iCs/>
          <w:lang w:val="en-US"/>
        </w:rPr>
        <w:t>Zahn</w:t>
      </w:r>
      <w:r w:rsidRPr="00AA0453">
        <w:rPr>
          <w:rStyle w:val="None"/>
          <w:rFonts w:ascii="Georgia" w:hAnsi="Georgia"/>
          <w:lang w:val="en-US"/>
        </w:rPr>
        <w:t>.”).</w:t>
      </w:r>
    </w:p>
    <w:p w14:paraId="7D3D920E" w14:textId="51A2789F" w:rsidR="00E9398D" w:rsidRPr="00AA0453" w:rsidRDefault="00A971DD" w:rsidP="003E757A">
      <w:pPr>
        <w:pStyle w:val="Heading5"/>
        <w:rPr>
          <w:rStyle w:val="None"/>
          <w:rFonts w:ascii="Georgia" w:hAnsi="Georgia"/>
        </w:rPr>
      </w:pPr>
      <w:r w:rsidRPr="00AA0453">
        <w:rPr>
          <w:rStyle w:val="None"/>
          <w:rFonts w:ascii="Georgia" w:hAnsi="Georgia"/>
        </w:rPr>
        <w:t>R8.3.5</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at the </w:t>
      </w:r>
      <w:r w:rsidR="00531553" w:rsidRPr="00AA0453">
        <w:rPr>
          <w:rStyle w:val="None"/>
          <w:rFonts w:ascii="Georgia" w:hAnsi="Georgia"/>
        </w:rPr>
        <w:t>e</w:t>
      </w:r>
      <w:r w:rsidR="00E9398D" w:rsidRPr="00AA0453">
        <w:rPr>
          <w:rStyle w:val="None"/>
          <w:rFonts w:ascii="Georgia" w:hAnsi="Georgia"/>
        </w:rPr>
        <w:t xml:space="preserve">nd of a </w:t>
      </w:r>
      <w:r w:rsidR="00531553" w:rsidRPr="00AA0453">
        <w:rPr>
          <w:rStyle w:val="None"/>
          <w:rFonts w:ascii="Georgia" w:hAnsi="Georgia"/>
        </w:rPr>
        <w:t>s</w:t>
      </w:r>
      <w:r w:rsidR="00E9398D" w:rsidRPr="00AA0453">
        <w:rPr>
          <w:rStyle w:val="None"/>
          <w:rFonts w:ascii="Georgia" w:hAnsi="Georgia"/>
        </w:rPr>
        <w:t>entence</w:t>
      </w:r>
    </w:p>
    <w:p w14:paraId="3E190CF6" w14:textId="77777777" w:rsidR="00E9398D" w:rsidRPr="00AA0453" w:rsidRDefault="00E9398D" w:rsidP="003E757A">
      <w:pPr>
        <w:pStyle w:val="Rule"/>
      </w:pPr>
      <w:r w:rsidRPr="00AA0453">
        <w:rPr>
          <w:rStyle w:val="None"/>
        </w:rPr>
        <w:t>When omitting the end of a quoted sentence, insert an ellipsis between the last letter quoted and the punctuation mark of the original quote.</w:t>
      </w:r>
    </w:p>
    <w:p w14:paraId="19196AF9" w14:textId="77777777" w:rsidR="00A971DD" w:rsidRPr="00AA0453" w:rsidRDefault="00E9398D" w:rsidP="003E757A">
      <w:pPr>
        <w:pStyle w:val="Example"/>
        <w:ind w:left="1440"/>
        <w:rPr>
          <w:rStyle w:val="None"/>
        </w:rPr>
      </w:pPr>
      <w:r w:rsidRPr="00AA0453">
        <w:rPr>
          <w:rStyle w:val="None"/>
          <w:b/>
          <w:bCs/>
        </w:rPr>
        <w:t>Example:</w:t>
      </w:r>
      <w:r w:rsidRPr="00AA0453">
        <w:rPr>
          <w:rStyle w:val="None"/>
        </w:rPr>
        <w:t> </w:t>
      </w:r>
    </w:p>
    <w:p w14:paraId="6213062B" w14:textId="242E23A0" w:rsidR="00E9398D" w:rsidRPr="00AA0453" w:rsidRDefault="00E9398D" w:rsidP="003E757A">
      <w:pPr>
        <w:pStyle w:val="Example"/>
        <w:ind w:left="1440"/>
        <w:rPr>
          <w:rStyle w:val="None"/>
        </w:rPr>
      </w:pPr>
      <w:r w:rsidRPr="00AA0453">
        <w:rPr>
          <w:rStyle w:val="None"/>
        </w:rPr>
        <w:t>“The difference between actual and red flag knowledge is thus not between specific and generalized knowledge . . . .”</w:t>
      </w:r>
    </w:p>
    <w:p w14:paraId="0EE0806F" w14:textId="77777777" w:rsidR="00E9398D" w:rsidRPr="00AA0453" w:rsidRDefault="00E9398D" w:rsidP="003E757A">
      <w:pPr>
        <w:pStyle w:val="Rule"/>
      </w:pPr>
      <w:r w:rsidRPr="00AA0453">
        <w:rPr>
          <w:rStyle w:val="None"/>
        </w:rPr>
        <w:t>When omitting material at the end of one sentence and the beginning of the next sentence, use one ellipsis to mark the omission but include the final punctuation mark of the first sentence as well as bracket and capitalize the first letter of the following sentence.</w:t>
      </w:r>
    </w:p>
    <w:p w14:paraId="658923FE" w14:textId="5936A89B" w:rsidR="00A971DD" w:rsidRPr="00AA0453" w:rsidRDefault="00E9398D" w:rsidP="003E757A">
      <w:pPr>
        <w:pStyle w:val="Example"/>
        <w:ind w:left="1440"/>
        <w:rPr>
          <w:rStyle w:val="None"/>
          <w:b/>
          <w:bCs/>
        </w:rPr>
      </w:pPr>
      <w:r w:rsidRPr="00AA0453">
        <w:rPr>
          <w:rStyle w:val="None"/>
          <w:b/>
          <w:bCs/>
        </w:rPr>
        <w:t>Example: </w:t>
      </w:r>
    </w:p>
    <w:p w14:paraId="55ABC983" w14:textId="7851647E" w:rsidR="00E9398D" w:rsidRPr="00AA0453" w:rsidRDefault="00E9398D" w:rsidP="003E757A">
      <w:pPr>
        <w:pStyle w:val="Example"/>
        <w:ind w:left="1440"/>
      </w:pPr>
      <w:r w:rsidRPr="00AA0453">
        <w:rPr>
          <w:rStyle w:val="None"/>
        </w:rPr>
        <w:t>“The difference between actual and red flag knowledge is thus not between specific and generalized knowledge . . . . [T]he red flag provision turns on whether the provider was subjectively aware of facts that would have made the specific infringement objectively obvious to a reasonable person.”</w:t>
      </w:r>
    </w:p>
    <w:p w14:paraId="3A5E805B" w14:textId="0BF8B244" w:rsidR="00E9398D" w:rsidRPr="00AA0453" w:rsidRDefault="00A971DD" w:rsidP="003E757A">
      <w:pPr>
        <w:pStyle w:val="Heading5"/>
        <w:rPr>
          <w:rStyle w:val="None"/>
          <w:rFonts w:ascii="Georgia" w:hAnsi="Georgia"/>
        </w:rPr>
      </w:pPr>
      <w:r w:rsidRPr="00AA0453">
        <w:rPr>
          <w:rStyle w:val="None"/>
          <w:rFonts w:ascii="Georgia" w:hAnsi="Georgia"/>
        </w:rPr>
        <w:t>R8.3.6</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of a </w:t>
      </w:r>
      <w:r w:rsidR="00531553" w:rsidRPr="00AA0453">
        <w:rPr>
          <w:rStyle w:val="None"/>
          <w:rFonts w:ascii="Georgia" w:hAnsi="Georgia"/>
        </w:rPr>
        <w:t>f</w:t>
      </w:r>
      <w:r w:rsidR="00E9398D" w:rsidRPr="00AA0453">
        <w:rPr>
          <w:rStyle w:val="None"/>
          <w:rFonts w:ascii="Georgia" w:hAnsi="Georgia"/>
        </w:rPr>
        <w:t xml:space="preserve">ootnote or </w:t>
      </w:r>
      <w:r w:rsidR="00531553" w:rsidRPr="00AA0453">
        <w:rPr>
          <w:rStyle w:val="None"/>
          <w:rFonts w:ascii="Georgia" w:hAnsi="Georgia"/>
        </w:rPr>
        <w:t>c</w:t>
      </w:r>
      <w:r w:rsidR="00E9398D" w:rsidRPr="00AA0453">
        <w:rPr>
          <w:rStyle w:val="None"/>
          <w:rFonts w:ascii="Georgia" w:hAnsi="Georgia"/>
        </w:rPr>
        <w:t>itation</w:t>
      </w:r>
    </w:p>
    <w:p w14:paraId="566EEDC3" w14:textId="1538427C" w:rsidR="00E9398D" w:rsidRPr="00AA0453" w:rsidRDefault="00E9398D" w:rsidP="003E757A">
      <w:pPr>
        <w:pStyle w:val="Rule"/>
      </w:pPr>
      <w:r w:rsidRPr="00AA0453">
        <w:t>When omitting a footnote or citation from quoted material, do not insert an ellips</w:t>
      </w:r>
      <w:r w:rsidR="00531553" w:rsidRPr="00AA0453">
        <w:t>i</w:t>
      </w:r>
      <w:r w:rsidRPr="00AA0453">
        <w:t>s</w:t>
      </w:r>
      <w:r w:rsidR="00913D36">
        <w:t>. D</w:t>
      </w:r>
      <w:r w:rsidRPr="00AA0453">
        <w:t xml:space="preserve">o insert a parenthetical indicating the omission immediately after the citation to the quoted source. </w:t>
      </w:r>
      <w:r w:rsidRPr="00AA0453">
        <w:rPr>
          <w:i/>
          <w:iCs/>
        </w:rPr>
        <w:t>See</w:t>
      </w:r>
      <w:r w:rsidRPr="00AA0453">
        <w:t xml:space="preserve"> </w:t>
      </w:r>
      <w:r w:rsidRPr="00641CF8">
        <w:rPr>
          <w:rStyle w:val="Rulereferencecharacterstyle"/>
        </w:rPr>
        <w:t xml:space="preserve">Rule </w:t>
      </w:r>
      <w:r w:rsidR="00FC138E" w:rsidRPr="00641CF8">
        <w:rPr>
          <w:rStyle w:val="Rulereferencecharacterstyle"/>
        </w:rPr>
        <w:t>R</w:t>
      </w:r>
      <w:r w:rsidR="00A971DD" w:rsidRPr="00641CF8">
        <w:rPr>
          <w:rStyle w:val="Rulereferencecharacterstyle"/>
        </w:rPr>
        <w:t>8.2.6</w:t>
      </w:r>
      <w:r w:rsidR="00A971DD" w:rsidRPr="00AA0453">
        <w:t>.</w:t>
      </w:r>
    </w:p>
    <w:p w14:paraId="78A42F59" w14:textId="5DB03579" w:rsidR="00E9398D" w:rsidRPr="00AA0453" w:rsidRDefault="00A971DD" w:rsidP="003E757A">
      <w:pPr>
        <w:pStyle w:val="Heading5"/>
        <w:rPr>
          <w:rStyle w:val="None"/>
          <w:rFonts w:ascii="Georgia" w:hAnsi="Georgia"/>
        </w:rPr>
      </w:pPr>
      <w:r w:rsidRPr="00AA0453">
        <w:rPr>
          <w:rStyle w:val="None"/>
          <w:rFonts w:ascii="Georgia" w:hAnsi="Georgia"/>
        </w:rPr>
        <w:t>R8.3.7</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of </w:t>
      </w:r>
      <w:r w:rsidR="00E255D8" w:rsidRPr="00AA0453">
        <w:rPr>
          <w:rStyle w:val="None"/>
          <w:rFonts w:ascii="Georgia" w:hAnsi="Georgia"/>
        </w:rPr>
        <w:t>f</w:t>
      </w:r>
      <w:r w:rsidR="00E9398D" w:rsidRPr="00AA0453">
        <w:rPr>
          <w:rStyle w:val="None"/>
          <w:rFonts w:ascii="Georgia" w:hAnsi="Georgia"/>
        </w:rPr>
        <w:t xml:space="preserve">ull </w:t>
      </w:r>
      <w:r w:rsidR="00E255D8" w:rsidRPr="00AA0453">
        <w:rPr>
          <w:rStyle w:val="None"/>
          <w:rFonts w:ascii="Georgia" w:hAnsi="Georgia"/>
        </w:rPr>
        <w:t>s</w:t>
      </w:r>
      <w:r w:rsidR="00E9398D" w:rsidRPr="00AA0453">
        <w:rPr>
          <w:rStyle w:val="None"/>
          <w:rFonts w:ascii="Georgia" w:hAnsi="Georgia"/>
        </w:rPr>
        <w:t xml:space="preserve">entences </w:t>
      </w:r>
      <w:r w:rsidR="00E255D8" w:rsidRPr="00AA0453">
        <w:rPr>
          <w:rStyle w:val="None"/>
          <w:rFonts w:ascii="Georgia" w:hAnsi="Georgia"/>
        </w:rPr>
        <w:t>f</w:t>
      </w:r>
      <w:r w:rsidR="00E9398D" w:rsidRPr="00AA0453">
        <w:rPr>
          <w:rStyle w:val="None"/>
          <w:rFonts w:ascii="Georgia" w:hAnsi="Georgia"/>
        </w:rPr>
        <w:t xml:space="preserve">ollowing the </w:t>
      </w:r>
      <w:r w:rsidR="00E255D8" w:rsidRPr="00AA0453">
        <w:rPr>
          <w:rStyle w:val="None"/>
          <w:rFonts w:ascii="Georgia" w:hAnsi="Georgia"/>
        </w:rPr>
        <w:t>q</w:t>
      </w:r>
      <w:r w:rsidR="00E9398D" w:rsidRPr="00AA0453">
        <w:rPr>
          <w:rStyle w:val="None"/>
          <w:rFonts w:ascii="Georgia" w:hAnsi="Georgia"/>
        </w:rPr>
        <w:t xml:space="preserve">uoted </w:t>
      </w:r>
      <w:r w:rsidR="00E255D8" w:rsidRPr="00AA0453">
        <w:rPr>
          <w:rStyle w:val="None"/>
          <w:rFonts w:ascii="Georgia" w:hAnsi="Georgia"/>
        </w:rPr>
        <w:t>m</w:t>
      </w:r>
      <w:r w:rsidR="00E9398D" w:rsidRPr="00AA0453">
        <w:rPr>
          <w:rStyle w:val="None"/>
          <w:rFonts w:ascii="Georgia" w:hAnsi="Georgia"/>
        </w:rPr>
        <w:t xml:space="preserve">aterial </w:t>
      </w:r>
    </w:p>
    <w:p w14:paraId="4DB95D8C" w14:textId="77777777" w:rsidR="00E9398D" w:rsidRPr="00AA0453" w:rsidRDefault="00E9398D" w:rsidP="00A971DD">
      <w:pPr>
        <w:pStyle w:val="Rule"/>
      </w:pPr>
      <w:r w:rsidRPr="00AA0453">
        <w:rPr>
          <w:rStyle w:val="None"/>
        </w:rPr>
        <w:t>When omitting material following a final punctuation mark, do not use an ellipsis.</w:t>
      </w:r>
    </w:p>
    <w:p w14:paraId="08AF8DCE" w14:textId="77777777" w:rsidR="00A971DD" w:rsidRPr="00AA0453" w:rsidRDefault="00E9398D" w:rsidP="00A971DD">
      <w:pPr>
        <w:pStyle w:val="Example"/>
        <w:ind w:left="1440"/>
        <w:rPr>
          <w:rStyle w:val="None"/>
        </w:rPr>
      </w:pPr>
      <w:r w:rsidRPr="00AA0453">
        <w:rPr>
          <w:rStyle w:val="None"/>
          <w:b/>
          <w:bCs/>
        </w:rPr>
        <w:t>Example:</w:t>
      </w:r>
      <w:r w:rsidRPr="00AA0453">
        <w:rPr>
          <w:rStyle w:val="None"/>
        </w:rPr>
        <w:t> </w:t>
      </w:r>
    </w:p>
    <w:p w14:paraId="5B469335" w14:textId="27F54D9F" w:rsidR="00E9398D" w:rsidRPr="00AA0453" w:rsidRDefault="00E9398D" w:rsidP="00A971DD">
      <w:pPr>
        <w:pStyle w:val="Example"/>
        <w:ind w:left="1440"/>
        <w:rPr>
          <w:rStyle w:val="None"/>
        </w:rPr>
      </w:pPr>
      <w:r w:rsidRPr="00AA0453">
        <w:rPr>
          <w:rStyle w:val="None"/>
        </w:rPr>
        <w:t>“The difference between actual and red flag knowledge is thus not between specific and generalized knowledge, but instead between a subjective and an objective standard.”</w:t>
      </w:r>
    </w:p>
    <w:p w14:paraId="3D8A3FCE" w14:textId="77777777" w:rsidR="00E9398D" w:rsidRPr="00AA0453" w:rsidRDefault="00E9398D" w:rsidP="00E9398D">
      <w:pPr>
        <w:pStyle w:val="Body"/>
        <w:spacing w:before="150" w:after="90"/>
        <w:rPr>
          <w:rStyle w:val="None"/>
          <w:rFonts w:ascii="Georgia" w:eastAsia="Georgia" w:hAnsi="Georgia" w:cs="Georgia"/>
          <w:lang w:val="en-US"/>
        </w:rPr>
      </w:pPr>
      <w:r w:rsidRPr="00AA0453">
        <w:rPr>
          <w:rStyle w:val="None"/>
          <w:rFonts w:ascii="Georgia" w:eastAsia="Georgia" w:hAnsi="Georgia" w:cs="Georgia"/>
          <w:lang w:val="en-US"/>
        </w:rPr>
        <w:tab/>
      </w:r>
    </w:p>
    <w:p w14:paraId="7BBE9CB8" w14:textId="77777777" w:rsidR="00E9398D" w:rsidRPr="00AA0453" w:rsidRDefault="00E9398D" w:rsidP="00A971DD">
      <w:pPr>
        <w:pStyle w:val="InklingTitle"/>
        <w:rPr>
          <w:rStyle w:val="IntenseReference"/>
          <w:smallCaps/>
          <w:lang w:val="en-US"/>
        </w:rPr>
      </w:pPr>
      <w:r w:rsidRPr="00AA0453">
        <w:rPr>
          <w:rStyle w:val="IntenseReference"/>
          <w:smallCaps/>
          <w:lang w:val="en-US"/>
        </w:rPr>
        <w:t>Indigo Inkling</w:t>
      </w:r>
    </w:p>
    <w:p w14:paraId="0EF522E6" w14:textId="77777777" w:rsidR="00A971DD" w:rsidRPr="00AA0453" w:rsidRDefault="00E9398D" w:rsidP="00A971DD">
      <w:pPr>
        <w:pStyle w:val="Inkling"/>
        <w:rPr>
          <w:rStyle w:val="None"/>
          <w:lang w:val="en-US"/>
        </w:rPr>
      </w:pPr>
      <w:r w:rsidRPr="00AA0453">
        <w:rPr>
          <w:rStyle w:val="None"/>
          <w:lang w:val="en-US"/>
        </w:rPr>
        <w:t xml:space="preserve">The ellipsis is traditionally made with four spaces and three periods . . . but computers have keyboard shortcuts to produce an ellipsis that constitutes one single character. For example, option-semicolon on an Apple keyboard produces … as its ellipsis shortcut.  While the ellipsis shortcut character is not officially sanctioned in any citation manual, some practitioners use it freely in court filings. </w:t>
      </w:r>
    </w:p>
    <w:p w14:paraId="144F1C9F" w14:textId="77777777" w:rsidR="00A971DD" w:rsidRPr="00AA0453" w:rsidRDefault="00A971DD" w:rsidP="00A971DD">
      <w:pPr>
        <w:pStyle w:val="Inkling"/>
        <w:rPr>
          <w:rStyle w:val="None"/>
          <w:lang w:val="en-US"/>
        </w:rPr>
      </w:pPr>
    </w:p>
    <w:p w14:paraId="5A8F4BB5" w14:textId="441EC312" w:rsidR="00E9398D" w:rsidRDefault="00A971DD" w:rsidP="00A971DD">
      <w:pPr>
        <w:pStyle w:val="Inkling"/>
        <w:rPr>
          <w:rStyle w:val="None"/>
          <w:lang w:val="en-US"/>
        </w:rPr>
      </w:pPr>
      <w:r w:rsidRPr="00AA0453">
        <w:rPr>
          <w:rStyle w:val="None"/>
          <w:lang w:val="en-US"/>
        </w:rPr>
        <w:t xml:space="preserve">Non-substantive tweaks to citations to meet a word count appear to be a modest but burgeoning trend. </w:t>
      </w:r>
      <w:r w:rsidR="00E9398D" w:rsidRPr="00AA0453">
        <w:rPr>
          <w:rStyle w:val="None"/>
          <w:lang w:val="en-US"/>
        </w:rPr>
        <w:t xml:space="preserve">The 21st edition of </w:t>
      </w:r>
      <w:r w:rsidR="00E9398D" w:rsidRPr="00AA0453">
        <w:rPr>
          <w:rStyle w:val="None"/>
          <w:i/>
          <w:iCs/>
          <w:lang w:val="en-US"/>
        </w:rPr>
        <w:t>The Bluebook</w:t>
      </w:r>
      <w:r w:rsidR="00E9398D" w:rsidRPr="00AA0453">
        <w:rPr>
          <w:rStyle w:val="None"/>
          <w:lang w:val="en-US"/>
        </w:rPr>
        <w:t xml:space="preserve"> </w:t>
      </w:r>
      <w:r w:rsidRPr="00AA0453">
        <w:rPr>
          <w:rStyle w:val="None"/>
          <w:lang w:val="en-US"/>
        </w:rPr>
        <w:t>breaks with tradition in allowing writers to omit previously</w:t>
      </w:r>
      <w:r w:rsidR="00E9398D" w:rsidRPr="00AA0453">
        <w:rPr>
          <w:rStyle w:val="None"/>
          <w:lang w:val="en-US"/>
        </w:rPr>
        <w:t xml:space="preserve"> required spaces in a citation such as 123 F. Supp. 2d 456, turning it into 123 F.Supp.2d 456. </w:t>
      </w:r>
      <w:r w:rsidRPr="00AA0453">
        <w:rPr>
          <w:rStyle w:val="None"/>
          <w:lang w:val="en-US"/>
        </w:rPr>
        <w:t>This unspaced citation may look incorrect to many legal readers. But if a legal writer is making choices to meet a difficult word count, we</w:t>
      </w:r>
      <w:r w:rsidR="00E9398D" w:rsidRPr="00AA0453">
        <w:rPr>
          <w:rStyle w:val="None"/>
          <w:lang w:val="en-US"/>
        </w:rPr>
        <w:t xml:space="preserve"> submit that the ellipsis shortcut key may be a worthwhile tradeoff as well. </w:t>
      </w:r>
    </w:p>
    <w:p w14:paraId="6B2E743C" w14:textId="77777777" w:rsidR="00FC138E" w:rsidRPr="00AA0453" w:rsidRDefault="00FC138E" w:rsidP="00A971DD">
      <w:pPr>
        <w:pStyle w:val="Inkling"/>
        <w:rPr>
          <w:rStyle w:val="None"/>
          <w:lang w:val="en-US"/>
        </w:rPr>
      </w:pPr>
    </w:p>
    <w:p w14:paraId="4448D0D1" w14:textId="6C848C61" w:rsidR="00E9398D" w:rsidRPr="00AA0453" w:rsidRDefault="00A971DD" w:rsidP="003E757A">
      <w:pPr>
        <w:pStyle w:val="Heading3"/>
        <w:rPr>
          <w:rStyle w:val="None"/>
          <w:rFonts w:ascii="Georgia" w:eastAsia="Georgia" w:hAnsi="Georgia" w:cs="Georgia"/>
          <w:b/>
          <w:bCs/>
        </w:rPr>
      </w:pPr>
      <w:r w:rsidRPr="00AA0453">
        <w:rPr>
          <w:rStyle w:val="None"/>
          <w:rFonts w:ascii="Georgia" w:hAnsi="Georgia"/>
          <w:b/>
          <w:bCs/>
        </w:rPr>
        <w:t>R9</w:t>
      </w:r>
      <w:r w:rsidR="00E9398D" w:rsidRPr="00AA0453">
        <w:rPr>
          <w:rStyle w:val="None"/>
          <w:rFonts w:ascii="Georgia" w:hAnsi="Georgia"/>
          <w:b/>
          <w:bCs/>
        </w:rPr>
        <w:t xml:space="preserve"> </w:t>
      </w:r>
      <w:r w:rsidRPr="00AA0453">
        <w:rPr>
          <w:rStyle w:val="None"/>
          <w:rFonts w:ascii="Georgia" w:hAnsi="Georgia"/>
          <w:b/>
          <w:bCs/>
        </w:rPr>
        <w:tab/>
      </w:r>
      <w:r w:rsidR="00E9398D" w:rsidRPr="00AA0453">
        <w:rPr>
          <w:rStyle w:val="None"/>
          <w:rFonts w:ascii="Georgia" w:hAnsi="Georgia"/>
          <w:b/>
          <w:bCs/>
        </w:rPr>
        <w:t>Block Quotations</w:t>
      </w:r>
    </w:p>
    <w:p w14:paraId="387FC91A" w14:textId="573A4798" w:rsidR="00E9398D" w:rsidRPr="00AA0453" w:rsidRDefault="00A971DD" w:rsidP="003E757A">
      <w:pPr>
        <w:pStyle w:val="Heading4"/>
      </w:pPr>
      <w:r w:rsidRPr="00AA0453">
        <w:rPr>
          <w:rStyle w:val="None"/>
          <w:rFonts w:ascii="Georgia" w:hAnsi="Georgia"/>
          <w:b/>
          <w:bCs/>
        </w:rPr>
        <w:t>R9.1</w:t>
      </w:r>
      <w:r w:rsidRPr="00AA0453">
        <w:rPr>
          <w:rStyle w:val="None"/>
          <w:rFonts w:ascii="Georgia" w:hAnsi="Georgia"/>
          <w:b/>
          <w:bCs/>
        </w:rPr>
        <w:tab/>
      </w:r>
      <w:r w:rsidR="00E9398D" w:rsidRPr="00AA0453">
        <w:rPr>
          <w:rStyle w:val="None"/>
          <w:rFonts w:ascii="Georgia" w:hAnsi="Georgia"/>
          <w:b/>
          <w:bCs/>
        </w:rPr>
        <w:t xml:space="preserve">Basic </w:t>
      </w:r>
      <w:r w:rsidR="00A24DA4">
        <w:rPr>
          <w:rStyle w:val="None"/>
          <w:rFonts w:ascii="Georgia" w:hAnsi="Georgia"/>
          <w:b/>
          <w:bCs/>
        </w:rPr>
        <w:t>F</w:t>
      </w:r>
      <w:r w:rsidR="00E9398D" w:rsidRPr="00AA0453">
        <w:rPr>
          <w:rStyle w:val="None"/>
          <w:rFonts w:ascii="Georgia" w:hAnsi="Georgia"/>
          <w:b/>
          <w:bCs/>
        </w:rPr>
        <w:t xml:space="preserve">orm of a </w:t>
      </w:r>
      <w:r w:rsidR="00A24DA4">
        <w:rPr>
          <w:rStyle w:val="None"/>
          <w:rFonts w:ascii="Georgia" w:hAnsi="Georgia"/>
          <w:b/>
          <w:bCs/>
        </w:rPr>
        <w:t>B</w:t>
      </w:r>
      <w:r w:rsidR="00E9398D" w:rsidRPr="00AA0453">
        <w:rPr>
          <w:rStyle w:val="None"/>
          <w:rFonts w:ascii="Georgia" w:hAnsi="Georgia"/>
          <w:b/>
          <w:bCs/>
        </w:rPr>
        <w:t xml:space="preserve">lock </w:t>
      </w:r>
      <w:r w:rsidR="00A24DA4">
        <w:rPr>
          <w:rStyle w:val="None"/>
          <w:rFonts w:ascii="Georgia" w:hAnsi="Georgia"/>
          <w:b/>
          <w:bCs/>
        </w:rPr>
        <w:t>Q</w:t>
      </w:r>
      <w:r w:rsidR="00E9398D" w:rsidRPr="00AA0453">
        <w:rPr>
          <w:rStyle w:val="None"/>
          <w:rFonts w:ascii="Georgia" w:hAnsi="Georgia"/>
          <w:b/>
          <w:bCs/>
        </w:rPr>
        <w:t>uotation</w:t>
      </w:r>
    </w:p>
    <w:p w14:paraId="1952C8DC" w14:textId="1636F623" w:rsidR="00E9398D" w:rsidRPr="00AA0453" w:rsidRDefault="00E9398D" w:rsidP="003E757A">
      <w:pPr>
        <w:pStyle w:val="Body"/>
        <w:spacing w:before="150" w:after="90"/>
        <w:ind w:left="840"/>
        <w:rPr>
          <w:rStyle w:val="None"/>
          <w:rFonts w:ascii="Georgia" w:hAnsi="Georgia"/>
          <w:lang w:val="en-US"/>
        </w:rPr>
      </w:pPr>
      <w:r w:rsidRPr="00AA0453">
        <w:rPr>
          <w:rStyle w:val="None"/>
          <w:rFonts w:ascii="Georgia" w:hAnsi="Georgia"/>
          <w:lang w:val="en-US"/>
        </w:rPr>
        <w:t>Set off quotations consisting of 50+ words into a block quotation</w:t>
      </w:r>
      <w:r w:rsidR="00C66C6E" w:rsidRPr="00AA0453">
        <w:rPr>
          <w:rStyle w:val="None"/>
          <w:rFonts w:ascii="Georgia" w:hAnsi="Georgia"/>
          <w:lang w:val="en-US"/>
        </w:rPr>
        <w:t>, followed by the citation if not apparent from the introduction to the block quotation:</w:t>
      </w:r>
    </w:p>
    <w:p w14:paraId="50DEFB32" w14:textId="60A4DB03" w:rsidR="00C66C6E" w:rsidRPr="00AA0453" w:rsidRDefault="00C66C6E" w:rsidP="003E757A">
      <w:pPr>
        <w:pStyle w:val="Example"/>
        <w:rPr>
          <w:rStyle w:val="None"/>
          <w:rFonts w:cs="Arial Unicode MS"/>
          <w:b/>
          <w:bCs/>
        </w:rPr>
      </w:pPr>
      <w:r w:rsidRPr="00AA0453">
        <w:rPr>
          <w:rStyle w:val="None"/>
          <w:b/>
          <w:bCs/>
        </w:rPr>
        <w:tab/>
        <w:t>Example:</w:t>
      </w:r>
    </w:p>
    <w:p w14:paraId="3EFA5400" w14:textId="1A69D922" w:rsidR="00C66C6E" w:rsidRPr="00AA0453" w:rsidRDefault="00C66C6E" w:rsidP="00503ECC">
      <w:pPr>
        <w:pStyle w:val="Example"/>
        <w:tabs>
          <w:tab w:val="clear" w:pos="1440"/>
          <w:tab w:val="left" w:pos="2160"/>
        </w:tabs>
        <w:ind w:left="2160" w:right="2022"/>
        <w:jc w:val="both"/>
      </w:pPr>
      <w:r w:rsidRPr="00AA0453">
        <w:t>Georgia minimizes the OCGA annotations as non-binding and non-authoritative, but that description undersells their practical significance. Imagine a Georgia citizen interested in learning his legal rights and duties. If he reads the economy-class version of the Georgia Code available online, he will see laws requiring political candidates to pay hefty qualification fees (with no indigency exception), criminalizing broad categories of consensual sexual conduct, and exempting certain key evidence in criminal trials from standard evidentiary limitations—with no hint that important aspects of those laws have been held unconstitutional by the Georgia Supreme Court. See OCGA §§ 21-2-131, 16-6-2, 16-6-18, 16-15-9 (available at www.legis.ga.gov). Meanwhile, first-class readers with access to the annotations will be assured that these laws are, in crucial respects, unenforceable relics that the legislature has not bothered to narrow or repeal. See §§ 21-2-131, 16-6-2, 16-6-18, 16-15-9 (available at https://store.lexisnexis.com/products/official-code-of-georgia-annotated-skuSKU6647 for $412.00).</w:t>
      </w:r>
    </w:p>
    <w:p w14:paraId="69BBB9B4" w14:textId="2DD83E94" w:rsidR="00C66C6E" w:rsidRPr="00AA0453" w:rsidRDefault="00C66C6E" w:rsidP="003E757A">
      <w:pPr>
        <w:pStyle w:val="Example"/>
        <w:tabs>
          <w:tab w:val="clear" w:pos="1440"/>
        </w:tabs>
        <w:ind w:left="1440" w:right="720"/>
        <w:jc w:val="both"/>
      </w:pPr>
      <w:r w:rsidRPr="00AA0453">
        <w:rPr>
          <w:i/>
          <w:iCs/>
        </w:rPr>
        <w:t>Georgia v. Public.Resource.org</w:t>
      </w:r>
      <w:r w:rsidRPr="00AA0453">
        <w:t>, 140 S. Ct. 1498, 1512 (2020).</w:t>
      </w:r>
    </w:p>
    <w:p w14:paraId="2B99A61D" w14:textId="7A834E90" w:rsidR="00C66C6E" w:rsidRPr="00AA0453" w:rsidRDefault="00C66C6E" w:rsidP="003E757A">
      <w:pPr>
        <w:pStyle w:val="Example"/>
        <w:tabs>
          <w:tab w:val="clear" w:pos="1440"/>
          <w:tab w:val="left" w:pos="2160"/>
        </w:tabs>
        <w:ind w:right="720"/>
        <w:jc w:val="both"/>
      </w:pPr>
    </w:p>
    <w:p w14:paraId="78F8CA84" w14:textId="548C5EB1" w:rsidR="00E9398D" w:rsidRPr="00AA0453" w:rsidRDefault="00C66C6E" w:rsidP="003E757A">
      <w:pPr>
        <w:pStyle w:val="Heading4"/>
        <w:rPr>
          <w:rFonts w:ascii="Georgia" w:hAnsi="Georgia"/>
          <w:b/>
          <w:bCs/>
        </w:rPr>
      </w:pPr>
      <w:r w:rsidRPr="00AA0453">
        <w:rPr>
          <w:rFonts w:ascii="Georgia" w:hAnsi="Georgia" w:cs="Times New Roman"/>
          <w:b/>
          <w:bCs/>
          <w:color w:val="auto"/>
        </w:rPr>
        <w:t>R9.2</w:t>
      </w:r>
      <w:r w:rsidRPr="00AA0453">
        <w:rPr>
          <w:rFonts w:ascii="Georgia" w:hAnsi="Georgia" w:cs="Times New Roman"/>
          <w:b/>
          <w:bCs/>
          <w:color w:val="auto"/>
        </w:rPr>
        <w:tab/>
      </w:r>
      <w:r w:rsidR="00E9398D" w:rsidRPr="00AA0453">
        <w:rPr>
          <w:rStyle w:val="None"/>
          <w:rFonts w:ascii="Georgia" w:hAnsi="Georgia"/>
          <w:b/>
          <w:bCs/>
        </w:rPr>
        <w:t xml:space="preserve">Formatting of </w:t>
      </w:r>
      <w:r w:rsidR="00E255D8" w:rsidRPr="00AA0453">
        <w:rPr>
          <w:rStyle w:val="None"/>
          <w:rFonts w:ascii="Georgia" w:hAnsi="Georgia"/>
          <w:b/>
          <w:bCs/>
        </w:rPr>
        <w:t>B</w:t>
      </w:r>
      <w:r w:rsidR="00E9398D" w:rsidRPr="00AA0453">
        <w:rPr>
          <w:rStyle w:val="None"/>
          <w:rFonts w:ascii="Georgia" w:hAnsi="Georgia"/>
          <w:b/>
          <w:bCs/>
        </w:rPr>
        <w:t xml:space="preserve">lock </w:t>
      </w:r>
      <w:r w:rsidR="00E255D8" w:rsidRPr="00AA0453">
        <w:rPr>
          <w:rStyle w:val="None"/>
          <w:rFonts w:ascii="Georgia" w:hAnsi="Georgia"/>
          <w:b/>
          <w:bCs/>
        </w:rPr>
        <w:t>Q</w:t>
      </w:r>
      <w:r w:rsidR="00E9398D" w:rsidRPr="00AA0453">
        <w:rPr>
          <w:rStyle w:val="None"/>
          <w:rFonts w:ascii="Georgia" w:hAnsi="Georgia"/>
          <w:b/>
          <w:bCs/>
        </w:rPr>
        <w:t>uotations</w:t>
      </w:r>
    </w:p>
    <w:p w14:paraId="78F53CE3" w14:textId="77777777" w:rsidR="00C66C6E" w:rsidRPr="00AA0453" w:rsidRDefault="00E9398D" w:rsidP="00171F69">
      <w:pPr>
        <w:pStyle w:val="Rule"/>
        <w:numPr>
          <w:ilvl w:val="0"/>
          <w:numId w:val="103"/>
        </w:numPr>
      </w:pPr>
      <w:r w:rsidRPr="00AA0453">
        <w:rPr>
          <w:rStyle w:val="None"/>
        </w:rPr>
        <w:t>Block quotations are single spaced.</w:t>
      </w:r>
    </w:p>
    <w:p w14:paraId="3AE810C5" w14:textId="77777777" w:rsidR="00C66C6E" w:rsidRPr="00AA0453" w:rsidRDefault="00E9398D" w:rsidP="00171F69">
      <w:pPr>
        <w:pStyle w:val="Rule"/>
        <w:numPr>
          <w:ilvl w:val="0"/>
          <w:numId w:val="103"/>
        </w:numPr>
      </w:pPr>
      <w:r w:rsidRPr="00AA0453">
        <w:rPr>
          <w:rStyle w:val="None"/>
        </w:rPr>
        <w:t>Include a single line space after the block quotation, and resume the spacing convention in the surrounding document text.</w:t>
      </w:r>
    </w:p>
    <w:p w14:paraId="01489011" w14:textId="77777777" w:rsidR="00C66C6E" w:rsidRPr="00AA0453" w:rsidRDefault="00E9398D" w:rsidP="00171F69">
      <w:pPr>
        <w:pStyle w:val="Rule"/>
        <w:numPr>
          <w:ilvl w:val="0"/>
          <w:numId w:val="103"/>
        </w:numPr>
      </w:pPr>
      <w:r w:rsidRPr="00AA0453">
        <w:rPr>
          <w:rStyle w:val="None"/>
        </w:rPr>
        <w:t>Indent both left and right.</w:t>
      </w:r>
    </w:p>
    <w:p w14:paraId="6B5E9B1B" w14:textId="77777777" w:rsidR="00C66C6E" w:rsidRPr="00AA0453" w:rsidRDefault="00E9398D" w:rsidP="00171F69">
      <w:pPr>
        <w:pStyle w:val="Rule"/>
        <w:numPr>
          <w:ilvl w:val="0"/>
          <w:numId w:val="103"/>
        </w:numPr>
      </w:pPr>
      <w:r w:rsidRPr="00AA0453">
        <w:rPr>
          <w:rStyle w:val="None"/>
        </w:rPr>
        <w:t>Block quotations should be formatted with “full justification.” The right and left margins of the block quotation are fully justified, meaning aligned on the left margin and on the right margin. The aligned left and right margins give the block quotation its appearance as a rectangular “block” of text on the page.</w:t>
      </w:r>
    </w:p>
    <w:p w14:paraId="312FBE2A" w14:textId="11F14C0F" w:rsidR="00C66C6E" w:rsidRPr="00AA0453" w:rsidRDefault="00E9398D" w:rsidP="00171F69">
      <w:pPr>
        <w:pStyle w:val="Rule"/>
        <w:numPr>
          <w:ilvl w:val="0"/>
          <w:numId w:val="103"/>
        </w:numPr>
      </w:pPr>
      <w:r w:rsidRPr="00AA0453">
        <w:rPr>
          <w:rStyle w:val="None"/>
        </w:rPr>
        <w:t>Do not use quotation marks surrounding the block quotation.</w:t>
      </w:r>
      <w:r w:rsidR="00900A21">
        <w:rPr>
          <w:rStyle w:val="None"/>
        </w:rPr>
        <w:t xml:space="preserve"> The block format itself indicates that the material is a quotation, and quotation marks around a block would be redundant. (Exception: Use</w:t>
      </w:r>
      <w:r w:rsidR="00900A21" w:rsidRPr="00AA0453">
        <w:rPr>
          <w:rStyle w:val="None"/>
        </w:rPr>
        <w:t xml:space="preserve"> quotation marks if the entire block quotation is itself a quotation within the source being quoted, and indicate the </w:t>
      </w:r>
      <w:r w:rsidR="00900A21">
        <w:rPr>
          <w:rStyle w:val="None"/>
        </w:rPr>
        <w:t>internal quotation and source</w:t>
      </w:r>
      <w:r w:rsidR="00900A21" w:rsidRPr="00AA0453">
        <w:rPr>
          <w:rStyle w:val="None"/>
        </w:rPr>
        <w:t xml:space="preserve"> parenthetically after the block.</w:t>
      </w:r>
      <w:r w:rsidR="00900A21">
        <w:rPr>
          <w:rStyle w:val="None"/>
        </w:rPr>
        <w:t>)</w:t>
      </w:r>
      <w:r w:rsidR="00C66C6E" w:rsidRPr="00AA0453">
        <w:rPr>
          <w:rStyle w:val="None"/>
        </w:rPr>
        <w:t xml:space="preserve"> </w:t>
      </w:r>
    </w:p>
    <w:p w14:paraId="28F612A7" w14:textId="04CFC299" w:rsidR="00C66C6E" w:rsidRPr="00AA0453" w:rsidRDefault="001948C8" w:rsidP="00171F69">
      <w:pPr>
        <w:pStyle w:val="Rule"/>
        <w:numPr>
          <w:ilvl w:val="0"/>
          <w:numId w:val="103"/>
        </w:numPr>
      </w:pPr>
      <w:r>
        <w:rPr>
          <w:rStyle w:val="None"/>
        </w:rPr>
        <w:t>In general, internal</w:t>
      </w:r>
      <w:r w:rsidR="00E9398D" w:rsidRPr="00AA0453">
        <w:rPr>
          <w:rStyle w:val="None"/>
        </w:rPr>
        <w:t> quotation marks should appear as in the original.</w:t>
      </w:r>
      <w:r w:rsidR="00D85501">
        <w:rPr>
          <w:rStyle w:val="None"/>
        </w:rPr>
        <w:t xml:space="preserve"> </w:t>
      </w:r>
      <w:r w:rsidR="00C66C6E" w:rsidRPr="00AA0453">
        <w:rPr>
          <w:rStyle w:val="None"/>
        </w:rPr>
        <w:t xml:space="preserve"> </w:t>
      </w:r>
    </w:p>
    <w:p w14:paraId="1E12E0BA" w14:textId="6B827178" w:rsidR="00E9398D" w:rsidRPr="00AA0453" w:rsidRDefault="00E9398D" w:rsidP="00171F69">
      <w:pPr>
        <w:pStyle w:val="Rule"/>
        <w:numPr>
          <w:ilvl w:val="0"/>
          <w:numId w:val="103"/>
        </w:numPr>
        <w:rPr>
          <w:rStyle w:val="None"/>
        </w:rPr>
      </w:pPr>
      <w:r w:rsidRPr="00AA0453">
        <w:rPr>
          <w:rStyle w:val="None"/>
        </w:rPr>
        <w:t>The citation following a block quotation should start at the line’s left margin, without any indentation. This citation can be a full citation or a short citation, as the circumstances dictate. It should include a pincite to the page or pages where the quoted material is found.</w:t>
      </w:r>
    </w:p>
    <w:p w14:paraId="0647EA4E" w14:textId="77777777" w:rsidR="00C66C6E" w:rsidRPr="00AA0453" w:rsidRDefault="00C66C6E" w:rsidP="00C66C6E">
      <w:pPr>
        <w:pStyle w:val="Rule"/>
        <w:ind w:left="1560"/>
        <w:rPr>
          <w:rStyle w:val="None"/>
        </w:rPr>
      </w:pPr>
    </w:p>
    <w:p w14:paraId="5543FF42" w14:textId="70FF9105"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t xml:space="preserve">R10 </w:t>
      </w:r>
      <w:r w:rsidR="00900A21">
        <w:rPr>
          <w:rStyle w:val="None"/>
          <w:rFonts w:ascii="Georgia" w:hAnsi="Georgia"/>
          <w:b/>
          <w:bCs/>
        </w:rPr>
        <w:tab/>
      </w:r>
      <w:r w:rsidRPr="00AA0453">
        <w:rPr>
          <w:rStyle w:val="None"/>
          <w:rFonts w:ascii="Georgia" w:hAnsi="Georgia"/>
          <w:b/>
          <w:bCs/>
        </w:rPr>
        <w:t>Explanatory Parentheticals</w:t>
      </w:r>
    </w:p>
    <w:p w14:paraId="2CA46FF4" w14:textId="7F8150E3" w:rsidR="00E9398D" w:rsidRPr="00AA0453" w:rsidRDefault="00E9398D" w:rsidP="003E757A">
      <w:pPr>
        <w:pStyle w:val="Rule"/>
        <w:rPr>
          <w:rStyle w:val="None"/>
          <w:rFonts w:eastAsia="Georgia" w:cs="Georgia"/>
        </w:rPr>
      </w:pPr>
      <w:r w:rsidRPr="00AA0453">
        <w:rPr>
          <w:rStyle w:val="None"/>
        </w:rPr>
        <w:t>Sometimes, it is helpful to include extra information to explain the relevance of certain citations. Explanatory parentheticals may consist of </w:t>
      </w:r>
      <w:r w:rsidR="006D1F19" w:rsidRPr="00AA0453">
        <w:rPr>
          <w:rStyle w:val="None"/>
        </w:rPr>
        <w:t xml:space="preserve">phrases typically started with a </w:t>
      </w:r>
      <w:r w:rsidRPr="00AA0453">
        <w:rPr>
          <w:rStyle w:val="None"/>
        </w:rPr>
        <w:t>present p</w:t>
      </w:r>
      <w:r w:rsidR="00AC6336" w:rsidRPr="00AA0453">
        <w:rPr>
          <w:rStyle w:val="None"/>
        </w:rPr>
        <w:t>articiple such as (holding . . . )</w:t>
      </w:r>
      <w:r w:rsidRPr="00AA0453">
        <w:rPr>
          <w:rStyle w:val="None"/>
        </w:rPr>
        <w:t>, direct quotations</w:t>
      </w:r>
      <w:r w:rsidR="00AC6336" w:rsidRPr="00AA0453">
        <w:rPr>
          <w:rStyle w:val="None"/>
        </w:rPr>
        <w:t xml:space="preserve"> from the source</w:t>
      </w:r>
      <w:r w:rsidRPr="00AA0453">
        <w:rPr>
          <w:rStyle w:val="None"/>
        </w:rPr>
        <w:t>, or short statements. Parentheticals also provide information about the weig</w:t>
      </w:r>
      <w:r w:rsidR="00AC6336" w:rsidRPr="00AA0453">
        <w:rPr>
          <w:rStyle w:val="None"/>
        </w:rPr>
        <w:t>ht</w:t>
      </w:r>
      <w:r w:rsidRPr="00AA0453">
        <w:rPr>
          <w:rStyle w:val="None"/>
        </w:rPr>
        <w:t xml:space="preserve"> of the authority cited, particularly with cases.</w:t>
      </w:r>
    </w:p>
    <w:p w14:paraId="3B67A979" w14:textId="635365E5" w:rsidR="00E9398D" w:rsidRPr="00AA0453" w:rsidRDefault="00E9398D" w:rsidP="003E757A">
      <w:pPr>
        <w:pStyle w:val="Heading4"/>
        <w:rPr>
          <w:rStyle w:val="None"/>
          <w:rFonts w:ascii="Georgia" w:hAnsi="Georgia"/>
        </w:rPr>
      </w:pPr>
      <w:r w:rsidRPr="00AA0453">
        <w:rPr>
          <w:rStyle w:val="None"/>
          <w:rFonts w:ascii="Georgia" w:hAnsi="Georgia"/>
        </w:rPr>
        <w:t>R10.1</w:t>
      </w:r>
      <w:r w:rsidRPr="00AA0453">
        <w:rPr>
          <w:rStyle w:val="None"/>
          <w:rFonts w:ascii="Georgia" w:hAnsi="Georgia"/>
        </w:rPr>
        <w:tab/>
        <w:t>Capitalization</w:t>
      </w:r>
      <w:r w:rsidR="00C66C6E" w:rsidRPr="00AA0453">
        <w:rPr>
          <w:rStyle w:val="None"/>
          <w:rFonts w:ascii="Georgia" w:hAnsi="Georgia"/>
        </w:rPr>
        <w:t xml:space="preserve"> in Parentheticals</w:t>
      </w:r>
    </w:p>
    <w:p w14:paraId="297974C6" w14:textId="328ECE22" w:rsidR="00C66C6E" w:rsidRPr="00AA0453" w:rsidRDefault="00C66C6E" w:rsidP="003E757A">
      <w:pPr>
        <w:pStyle w:val="Heading5"/>
        <w:rPr>
          <w:rStyle w:val="None"/>
          <w:rFonts w:ascii="Georgia" w:hAnsi="Georgia"/>
        </w:rPr>
      </w:pPr>
      <w:r w:rsidRPr="00AA0453">
        <w:rPr>
          <w:rStyle w:val="None"/>
          <w:rFonts w:ascii="Georgia" w:hAnsi="Georgia"/>
        </w:rPr>
        <w:t>R</w:t>
      </w:r>
      <w:r w:rsidR="00E9398D" w:rsidRPr="00AA0453">
        <w:rPr>
          <w:rStyle w:val="None"/>
          <w:rFonts w:ascii="Georgia" w:hAnsi="Georgia"/>
        </w:rPr>
        <w:t>10.1.1</w:t>
      </w:r>
      <w:r w:rsidR="00E9398D" w:rsidRPr="00AA0453">
        <w:rPr>
          <w:rStyle w:val="None"/>
          <w:rFonts w:ascii="Georgia" w:hAnsi="Georgia"/>
        </w:rPr>
        <w:tab/>
      </w:r>
      <w:r w:rsidRPr="00AA0453">
        <w:rPr>
          <w:rStyle w:val="None"/>
          <w:rFonts w:ascii="Georgia" w:hAnsi="Georgia"/>
        </w:rPr>
        <w:t xml:space="preserve">Paraphrases and </w:t>
      </w:r>
      <w:r w:rsidR="00E255D8" w:rsidRPr="00AA0453">
        <w:rPr>
          <w:rStyle w:val="None"/>
          <w:rFonts w:ascii="Georgia" w:hAnsi="Georgia"/>
        </w:rPr>
        <w:t>o</w:t>
      </w:r>
      <w:r w:rsidRPr="00AA0453">
        <w:rPr>
          <w:rStyle w:val="None"/>
          <w:rFonts w:ascii="Georgia" w:hAnsi="Georgia"/>
        </w:rPr>
        <w:t xml:space="preserve">ther </w:t>
      </w:r>
      <w:r w:rsidR="00E255D8" w:rsidRPr="00AA0453">
        <w:rPr>
          <w:rStyle w:val="None"/>
          <w:rFonts w:ascii="Georgia" w:hAnsi="Georgia"/>
        </w:rPr>
        <w:t>o</w:t>
      </w:r>
      <w:r w:rsidRPr="00AA0453">
        <w:rPr>
          <w:rStyle w:val="None"/>
          <w:rFonts w:ascii="Georgia" w:hAnsi="Georgia"/>
        </w:rPr>
        <w:t xml:space="preserve">riginal </w:t>
      </w:r>
      <w:r w:rsidR="00E255D8" w:rsidRPr="00AA0453">
        <w:rPr>
          <w:rStyle w:val="None"/>
          <w:rFonts w:ascii="Georgia" w:hAnsi="Georgia"/>
        </w:rPr>
        <w:t>p</w:t>
      </w:r>
      <w:r w:rsidRPr="00AA0453">
        <w:rPr>
          <w:rStyle w:val="None"/>
          <w:rFonts w:ascii="Georgia" w:hAnsi="Georgia"/>
        </w:rPr>
        <w:t>arentheticals</w:t>
      </w:r>
    </w:p>
    <w:p w14:paraId="12DD6BE3" w14:textId="671EF3BD" w:rsidR="00E9398D" w:rsidRPr="00AA0453" w:rsidRDefault="00E9398D" w:rsidP="003E757A">
      <w:pPr>
        <w:pStyle w:val="Rule"/>
      </w:pPr>
      <w:r w:rsidRPr="00AA0453">
        <w:rPr>
          <w:rStyle w:val="None"/>
        </w:rPr>
        <w:t>If not quoting the authority, do not begin an explanatory parenthetical with capital letter.</w:t>
      </w:r>
    </w:p>
    <w:p w14:paraId="19C0976E" w14:textId="77777777" w:rsidR="00C66C6E" w:rsidRPr="00AA0453" w:rsidRDefault="00E9398D" w:rsidP="003E757A">
      <w:pPr>
        <w:pStyle w:val="Example"/>
        <w:ind w:left="1440"/>
        <w:rPr>
          <w:rStyle w:val="None"/>
        </w:rPr>
      </w:pPr>
      <w:r w:rsidRPr="00AA0453">
        <w:rPr>
          <w:rStyle w:val="None"/>
          <w:b/>
          <w:bCs/>
        </w:rPr>
        <w:t>Example:</w:t>
      </w:r>
      <w:r w:rsidRPr="00AA0453">
        <w:rPr>
          <w:rStyle w:val="None"/>
        </w:rPr>
        <w:t> </w:t>
      </w:r>
    </w:p>
    <w:p w14:paraId="5380B0A4" w14:textId="649ECBF9" w:rsidR="00E9398D" w:rsidRPr="00AA0453" w:rsidRDefault="00E9398D" w:rsidP="003E757A">
      <w:pPr>
        <w:pStyle w:val="Example"/>
        <w:ind w:left="1440"/>
      </w:pPr>
      <w:r w:rsidRPr="00AA0453">
        <w:rPr>
          <w:rStyle w:val="None"/>
          <w:i/>
          <w:iCs/>
        </w:rPr>
        <w:t>Dr. Seuss Enters., L.P. v. Penguin Books USA, Inc.</w:t>
      </w:r>
      <w:r w:rsidRPr="00AA0453">
        <w:rPr>
          <w:rStyle w:val="None"/>
        </w:rPr>
        <w:t xml:space="preserve">, 109 F.3d 1394 (9th Cir. 1997) (holding that publisher’s </w:t>
      </w:r>
      <w:r w:rsidR="00C66C6E" w:rsidRPr="00AA0453">
        <w:rPr>
          <w:rStyle w:val="None"/>
        </w:rPr>
        <w:t xml:space="preserve">asserted </w:t>
      </w:r>
      <w:r w:rsidRPr="00AA0453">
        <w:rPr>
          <w:rStyle w:val="None"/>
        </w:rPr>
        <w:t>parody of O.J. Simpson murder trial was substantially similar to copyrighted work).</w:t>
      </w:r>
    </w:p>
    <w:p w14:paraId="23E56E92" w14:textId="6A174FDD" w:rsidR="00C66C6E" w:rsidRPr="00AA0453" w:rsidRDefault="00C66C6E" w:rsidP="003E757A">
      <w:pPr>
        <w:pStyle w:val="Heading5"/>
        <w:rPr>
          <w:rStyle w:val="None"/>
          <w:rFonts w:ascii="Georgia" w:hAnsi="Georgia"/>
        </w:rPr>
      </w:pPr>
      <w:r w:rsidRPr="00AA0453">
        <w:rPr>
          <w:rStyle w:val="None"/>
          <w:rFonts w:ascii="Georgia" w:hAnsi="Georgia"/>
        </w:rPr>
        <w:t>R</w:t>
      </w:r>
      <w:r w:rsidR="00E9398D" w:rsidRPr="00AA0453">
        <w:rPr>
          <w:rStyle w:val="None"/>
          <w:rFonts w:ascii="Georgia" w:hAnsi="Georgia"/>
        </w:rPr>
        <w:t>10.1.2</w:t>
      </w:r>
      <w:r w:rsidR="00E9398D" w:rsidRPr="00AA0453">
        <w:rPr>
          <w:rStyle w:val="None"/>
          <w:rFonts w:ascii="Georgia" w:hAnsi="Georgia"/>
        </w:rPr>
        <w:tab/>
      </w:r>
      <w:r w:rsidRPr="00AA0453">
        <w:rPr>
          <w:rStyle w:val="None"/>
          <w:rFonts w:ascii="Georgia" w:hAnsi="Georgia"/>
        </w:rPr>
        <w:t xml:space="preserve">Quotations in </w:t>
      </w:r>
      <w:r w:rsidR="00E255D8" w:rsidRPr="00AA0453">
        <w:rPr>
          <w:rStyle w:val="None"/>
          <w:rFonts w:ascii="Georgia" w:hAnsi="Georgia"/>
        </w:rPr>
        <w:t>p</w:t>
      </w:r>
      <w:r w:rsidRPr="00AA0453">
        <w:rPr>
          <w:rStyle w:val="None"/>
          <w:rFonts w:ascii="Georgia" w:hAnsi="Georgia"/>
        </w:rPr>
        <w:t>arentheticals</w:t>
      </w:r>
    </w:p>
    <w:p w14:paraId="0B0560DE" w14:textId="3B04029F" w:rsidR="00E9398D" w:rsidRPr="00AA0453" w:rsidRDefault="00E9398D" w:rsidP="003E757A">
      <w:pPr>
        <w:pStyle w:val="Rule"/>
      </w:pPr>
      <w:r w:rsidRPr="00AA0453">
        <w:rPr>
          <w:rStyle w:val="None"/>
        </w:rPr>
        <w:t>If quoting the authority, only begin parenthetical with capital letter and end with a period when the parenthetical quoted is or reads as a complete sentence.</w:t>
      </w:r>
    </w:p>
    <w:p w14:paraId="01F7E293" w14:textId="77777777" w:rsidR="002458E2" w:rsidRPr="00AA0453" w:rsidRDefault="00E9398D" w:rsidP="003E757A">
      <w:pPr>
        <w:pStyle w:val="Example"/>
        <w:ind w:left="1440"/>
        <w:rPr>
          <w:rStyle w:val="None"/>
        </w:rPr>
      </w:pPr>
      <w:r w:rsidRPr="00AA0453">
        <w:rPr>
          <w:rStyle w:val="None"/>
          <w:b/>
          <w:bCs/>
        </w:rPr>
        <w:t>Example:</w:t>
      </w:r>
      <w:r w:rsidRPr="00AA0453">
        <w:rPr>
          <w:rStyle w:val="None"/>
        </w:rPr>
        <w:t> </w:t>
      </w:r>
    </w:p>
    <w:p w14:paraId="6861DD98" w14:textId="25FD5022" w:rsidR="00E9398D" w:rsidRPr="00AA0453" w:rsidRDefault="00E9398D" w:rsidP="003E757A">
      <w:pPr>
        <w:pStyle w:val="Example"/>
        <w:ind w:left="1440"/>
      </w:pPr>
      <w:r w:rsidRPr="00AA0453">
        <w:rPr>
          <w:rStyle w:val="None"/>
          <w:i/>
          <w:iCs/>
        </w:rPr>
        <w:t>See</w:t>
      </w:r>
      <w:r w:rsidRPr="00AA0453">
        <w:rPr>
          <w:rStyle w:val="None"/>
        </w:rPr>
        <w:t> </w:t>
      </w:r>
      <w:r w:rsidRPr="00AA0453">
        <w:rPr>
          <w:rStyle w:val="None"/>
          <w:i/>
          <w:iCs/>
        </w:rPr>
        <w:t>Ty, Inc. v. Publ’ns Int’l Ltd.</w:t>
      </w:r>
      <w:r w:rsidRPr="00AA0453">
        <w:rPr>
          <w:rStyle w:val="None"/>
        </w:rPr>
        <w:t>, 292 F.3d 512, 520 (7th Cir. 2002) (“[T]he shortage that creates the secondary market stampedes children into nagging their parents to buy them the latest Beanie Babies, lest they be humiliated by not possessing the Beanie Babies that their peers possess.”).</w:t>
      </w:r>
    </w:p>
    <w:p w14:paraId="0D7EEBDC" w14:textId="77777777" w:rsidR="00E9398D" w:rsidRPr="00AA0453" w:rsidRDefault="00E9398D" w:rsidP="003E757A">
      <w:pPr>
        <w:pStyle w:val="Body"/>
        <w:spacing w:before="150" w:after="90"/>
        <w:ind w:left="1080"/>
        <w:rPr>
          <w:rStyle w:val="None"/>
          <w:rFonts w:ascii="Georgia" w:eastAsia="Georgia" w:hAnsi="Georgia" w:cs="Georgia"/>
          <w:b/>
          <w:bCs/>
          <w:lang w:val="en-US"/>
        </w:rPr>
      </w:pPr>
    </w:p>
    <w:p w14:paraId="4AA8E47D" w14:textId="65A94300" w:rsidR="002458E2" w:rsidRPr="00AA0453" w:rsidRDefault="00E9398D" w:rsidP="003E757A">
      <w:pPr>
        <w:pStyle w:val="Heading4"/>
        <w:rPr>
          <w:rStyle w:val="None"/>
          <w:rFonts w:ascii="Georgia" w:hAnsi="Georgia"/>
        </w:rPr>
      </w:pPr>
      <w:r w:rsidRPr="00AA0453">
        <w:rPr>
          <w:rStyle w:val="None"/>
          <w:rFonts w:ascii="Georgia" w:hAnsi="Georgia"/>
        </w:rPr>
        <w:t>R10.2</w:t>
      </w:r>
      <w:r w:rsidRPr="00AA0453">
        <w:rPr>
          <w:rStyle w:val="None"/>
          <w:rFonts w:ascii="Georgia" w:hAnsi="Georgia"/>
        </w:rPr>
        <w:tab/>
        <w:t>Format and Order of Parentheticals Showing the Weight of Authority</w:t>
      </w:r>
      <w:r w:rsidRPr="00AA0453">
        <w:rPr>
          <w:rStyle w:val="None"/>
          <w:rFonts w:ascii="Georgia" w:hAnsi="Georgia"/>
        </w:rPr>
        <w:tab/>
      </w:r>
    </w:p>
    <w:p w14:paraId="64125306" w14:textId="1DBBDA0D" w:rsidR="00E9398D" w:rsidRPr="00AA0453" w:rsidRDefault="00E9398D" w:rsidP="002458E2">
      <w:pPr>
        <w:pStyle w:val="Rule"/>
        <w:rPr>
          <w:rStyle w:val="None"/>
        </w:rPr>
      </w:pPr>
      <w:r w:rsidRPr="00AA0453">
        <w:rPr>
          <w:rStyle w:val="None"/>
        </w:rPr>
        <w:t xml:space="preserve">Some citations need to provide other types of parentheticals about the source itself, and these source-related parentheticals are given before explanatory parentheticals. </w:t>
      </w:r>
    </w:p>
    <w:p w14:paraId="6AED459F" w14:textId="18EA90D0" w:rsidR="002458E2" w:rsidRPr="00AA0453" w:rsidRDefault="00E9398D" w:rsidP="002458E2">
      <w:pPr>
        <w:pStyle w:val="Rule"/>
      </w:pPr>
      <w:r w:rsidRPr="00AA0453">
        <w:rPr>
          <w:rStyle w:val="None"/>
        </w:rPr>
        <w:t xml:space="preserve">Examples of source-related parentheticals include information about a judicial opinion’s weight of authority as (per curiam) or (en banc), information about the source as a quote such as information being omitted or emphasis added, information about a source being quoted within the source, and bracketed definitions of the source as a short-form citation, such as [hereinafter “Color of Creatorship”]. </w:t>
      </w:r>
    </w:p>
    <w:p w14:paraId="05919ECE" w14:textId="686A57E5" w:rsidR="00E9398D" w:rsidRPr="00AA0453" w:rsidRDefault="00E9398D" w:rsidP="002458E2">
      <w:pPr>
        <w:pStyle w:val="Rule"/>
        <w:rPr>
          <w:rStyle w:val="None"/>
          <w:rFonts w:eastAsia="Georgia" w:cs="Georgia"/>
        </w:rPr>
      </w:pPr>
      <w:r w:rsidRPr="00AA0453">
        <w:rPr>
          <w:rStyle w:val="None"/>
        </w:rPr>
        <w:t xml:space="preserve">The source-related parentheticals are followed by the explanatory parenthetical, if any; and last, the prior or subsequent </w:t>
      </w:r>
      <w:r w:rsidRPr="00FC138E">
        <w:rPr>
          <w:rStyle w:val="None"/>
        </w:rPr>
        <w:t>history</w:t>
      </w:r>
      <w:r w:rsidR="00FC138E">
        <w:rPr>
          <w:rStyle w:val="None"/>
        </w:rPr>
        <w:t xml:space="preserve"> (</w:t>
      </w:r>
      <w:r w:rsidR="00FC138E">
        <w:rPr>
          <w:rStyle w:val="None"/>
          <w:i/>
          <w:iCs/>
        </w:rPr>
        <w:t>see</w:t>
      </w:r>
      <w:r w:rsidR="00FC138E">
        <w:rPr>
          <w:rStyle w:val="None"/>
        </w:rPr>
        <w:t xml:space="preserve"> </w:t>
      </w:r>
      <w:r w:rsidR="00FC138E" w:rsidRPr="00104DAB">
        <w:rPr>
          <w:rStyle w:val="Rulereferencecharacterstyle"/>
        </w:rPr>
        <w:t>Rule R14</w:t>
      </w:r>
      <w:r w:rsidR="00FC138E">
        <w:rPr>
          <w:rStyle w:val="None"/>
        </w:rPr>
        <w:t xml:space="preserve">) </w:t>
      </w:r>
      <w:r w:rsidRPr="00FC138E">
        <w:rPr>
          <w:rStyle w:val="None"/>
        </w:rPr>
        <w:t>as</w:t>
      </w:r>
      <w:r w:rsidRPr="00AA0453">
        <w:rPr>
          <w:rStyle w:val="None"/>
        </w:rPr>
        <w:t xml:space="preserve"> shown in this order of parenthetical types:</w:t>
      </w:r>
    </w:p>
    <w:p w14:paraId="3E85EEA5" w14:textId="77777777" w:rsidR="00E9398D" w:rsidRPr="00AA0453" w:rsidRDefault="00E9398D" w:rsidP="002458E2">
      <w:pPr>
        <w:pStyle w:val="ListParagraph"/>
        <w:spacing w:before="150" w:after="90"/>
        <w:ind w:left="2160" w:right="720"/>
        <w:jc w:val="both"/>
        <w:rPr>
          <w:rStyle w:val="None"/>
          <w:rFonts w:ascii="Georgia" w:eastAsia="Georgia" w:hAnsi="Georgia" w:cs="Georgia"/>
        </w:rPr>
      </w:pPr>
      <w:r w:rsidRPr="00AA0453">
        <w:rPr>
          <w:rStyle w:val="None"/>
          <w:rFonts w:ascii="Georgia" w:hAnsi="Georgia"/>
        </w:rPr>
        <w:t>(date) [hereinafter </w:t>
      </w:r>
      <w:r w:rsidRPr="00AA0453">
        <w:rPr>
          <w:rStyle w:val="None"/>
          <w:rFonts w:ascii="Monaco" w:hAnsi="Monaco"/>
          <w:color w:val="4B0082"/>
          <w:u w:color="4B0082"/>
        </w:rPr>
        <w:t>&lt;short name&gt;</w:t>
      </w:r>
      <w:r w:rsidRPr="00AA0453">
        <w:rPr>
          <w:rStyle w:val="None"/>
          <w:rFonts w:ascii="Georgia" w:hAnsi="Georgia"/>
        </w:rPr>
        <w:t>] (en banc) (</w:t>
      </w:r>
      <w:r w:rsidRPr="00AA0453">
        <w:rPr>
          <w:rStyle w:val="None"/>
          <w:rFonts w:ascii="Monaco" w:hAnsi="Monaco"/>
          <w:color w:val="4B0082"/>
          <w:u w:color="4B0082"/>
        </w:rPr>
        <w:t>&lt;Lastname, J.&gt;</w:t>
      </w:r>
      <w:r w:rsidRPr="00AA0453">
        <w:rPr>
          <w:rStyle w:val="None"/>
          <w:rFonts w:ascii="Georgia" w:hAnsi="Georgia"/>
        </w:rPr>
        <w:t>, concurring) (plurality opinion) (per curiam) (alteration in original) (emphasis added) (footnote omitted) (citations omitted) (quoting </w:t>
      </w:r>
      <w:r w:rsidRPr="00AA0453">
        <w:rPr>
          <w:rStyle w:val="None"/>
          <w:rFonts w:ascii="Monaco" w:hAnsi="Monaco"/>
          <w:color w:val="4B0082"/>
          <w:u w:color="4B0082"/>
        </w:rPr>
        <w:t>&lt;another source&gt;</w:t>
      </w:r>
      <w:r w:rsidRPr="00AA0453">
        <w:rPr>
          <w:rStyle w:val="None"/>
          <w:rFonts w:ascii="Georgia" w:hAnsi="Georgia"/>
        </w:rPr>
        <w:t>) (internal quotation marks omitted) (citing </w:t>
      </w:r>
      <w:r w:rsidRPr="00AA0453">
        <w:rPr>
          <w:rStyle w:val="None"/>
          <w:rFonts w:ascii="Monaco" w:hAnsi="Monaco"/>
          <w:color w:val="4B0082"/>
          <w:u w:color="4B0082"/>
        </w:rPr>
        <w:t>&lt;another source&gt;</w:t>
      </w:r>
      <w:r w:rsidRPr="00AA0453">
        <w:rPr>
          <w:rStyle w:val="None"/>
          <w:rFonts w:ascii="Georgia" w:hAnsi="Georgia"/>
        </w:rPr>
        <w:t>), http://www.domainname.com (explanatory parenthetical), prior or subsequent history.</w:t>
      </w:r>
    </w:p>
    <w:p w14:paraId="3321176B" w14:textId="77777777" w:rsidR="00E9398D" w:rsidRPr="00AA0453" w:rsidRDefault="00E9398D" w:rsidP="00E9398D">
      <w:pPr>
        <w:pStyle w:val="Body"/>
        <w:spacing w:before="150" w:after="90"/>
        <w:rPr>
          <w:rStyle w:val="None"/>
          <w:rFonts w:ascii="Georgia" w:eastAsia="Georgia" w:hAnsi="Georgia" w:cs="Georgia"/>
          <w:lang w:val="en-US"/>
        </w:rPr>
      </w:pPr>
    </w:p>
    <w:p w14:paraId="26A0E7FE" w14:textId="77777777" w:rsidR="00E66143" w:rsidRPr="00AA0453" w:rsidRDefault="00E66143" w:rsidP="00E9398D"/>
    <w:sectPr w:rsidR="00E66143" w:rsidRPr="00AA0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E2901" w14:textId="77777777" w:rsidR="00F619FF" w:rsidRDefault="00F619FF" w:rsidP="00FA58FE">
      <w:r>
        <w:separator/>
      </w:r>
    </w:p>
  </w:endnote>
  <w:endnote w:type="continuationSeparator" w:id="0">
    <w:p w14:paraId="7B3B2DF0" w14:textId="77777777" w:rsidR="00F619FF" w:rsidRDefault="00F619FF" w:rsidP="00FA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Helvetica Neue"/>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Monaco">
    <w:altName w:val="Courier New"/>
    <w:charset w:val="4D"/>
    <w:family w:val="auto"/>
    <w:pitch w:val="variable"/>
    <w:sig w:usb0="A00002FF" w:usb1="500039FB" w:usb2="00000000" w:usb3="00000000" w:csb0="00000197"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A31A1" w14:textId="77777777" w:rsidR="00F619FF" w:rsidRDefault="00F619FF" w:rsidP="00FA58FE">
      <w:r>
        <w:separator/>
      </w:r>
    </w:p>
  </w:footnote>
  <w:footnote w:type="continuationSeparator" w:id="0">
    <w:p w14:paraId="0A55F458" w14:textId="77777777" w:rsidR="00F619FF" w:rsidRDefault="00F619FF" w:rsidP="00FA58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9BD"/>
    <w:multiLevelType w:val="hybridMultilevel"/>
    <w:tmpl w:val="939C2FE2"/>
    <w:styleLink w:val="ImportedStyle290"/>
    <w:lvl w:ilvl="0" w:tplc="3642D8E0">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CBA5CD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BD25D7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566398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0105BE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246CA1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8BEE3F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056514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74EA55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02D140E1"/>
    <w:multiLevelType w:val="hybridMultilevel"/>
    <w:tmpl w:val="5A5C0F8A"/>
    <w:styleLink w:val="ImportedStyle170"/>
    <w:lvl w:ilvl="0" w:tplc="91CCBB9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2E2740">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BE412F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A1A58C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90C2AE8">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CC86C5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47E746A">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6C4AED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4673E8">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053E4E21"/>
    <w:multiLevelType w:val="hybridMultilevel"/>
    <w:tmpl w:val="63F876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05BB0749"/>
    <w:multiLevelType w:val="hybridMultilevel"/>
    <w:tmpl w:val="5B36C434"/>
    <w:styleLink w:val="ImportedStyle25"/>
    <w:lvl w:ilvl="0" w:tplc="7578FFA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87EEDE8">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DF6C18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D164086">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9C661BA">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E64DFF8">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EFC090A">
      <w:start w:val="1"/>
      <w:numFmt w:val="bullet"/>
      <w:lvlText w:val="•"/>
      <w:lvlJc w:val="left"/>
      <w:pPr>
        <w:ind w:left="8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EEEF648">
      <w:start w:val="1"/>
      <w:numFmt w:val="bullet"/>
      <w:lvlText w:val="o"/>
      <w:lvlJc w:val="left"/>
      <w:pPr>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B34767C">
      <w:start w:val="1"/>
      <w:numFmt w:val="bullet"/>
      <w:lvlText w:val="▪"/>
      <w:lvlJc w:val="left"/>
      <w:pPr>
        <w:ind w:left="9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6982806"/>
    <w:multiLevelType w:val="hybridMultilevel"/>
    <w:tmpl w:val="4364A504"/>
    <w:styleLink w:val="ImportedStyle12"/>
    <w:lvl w:ilvl="0" w:tplc="0082B5E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908D8CC">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18518A">
      <w:start w:val="1"/>
      <w:numFmt w:val="lowerRoman"/>
      <w:lvlText w:val="%3."/>
      <w:lvlJc w:val="left"/>
      <w:pPr>
        <w:ind w:left="2520" w:hanging="314"/>
      </w:pPr>
      <w:rPr>
        <w:rFonts w:hAnsi="Arial Unicode MS"/>
        <w:caps w:val="0"/>
        <w:smallCaps w:val="0"/>
        <w:strike w:val="0"/>
        <w:dstrike w:val="0"/>
        <w:outline w:val="0"/>
        <w:emboss w:val="0"/>
        <w:imprint w:val="0"/>
        <w:spacing w:val="0"/>
        <w:w w:val="100"/>
        <w:kern w:val="0"/>
        <w:position w:val="0"/>
        <w:highlight w:val="none"/>
        <w:vertAlign w:val="baseline"/>
      </w:rPr>
    </w:lvl>
    <w:lvl w:ilvl="3" w:tplc="9CF4C446">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EFC547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741D84">
      <w:start w:val="1"/>
      <w:numFmt w:val="lowerRoman"/>
      <w:lvlText w:val="%6."/>
      <w:lvlJc w:val="left"/>
      <w:pPr>
        <w:ind w:left="4680" w:hanging="314"/>
      </w:pPr>
      <w:rPr>
        <w:rFonts w:hAnsi="Arial Unicode MS"/>
        <w:caps w:val="0"/>
        <w:smallCaps w:val="0"/>
        <w:strike w:val="0"/>
        <w:dstrike w:val="0"/>
        <w:outline w:val="0"/>
        <w:emboss w:val="0"/>
        <w:imprint w:val="0"/>
        <w:spacing w:val="0"/>
        <w:w w:val="100"/>
        <w:kern w:val="0"/>
        <w:position w:val="0"/>
        <w:highlight w:val="none"/>
        <w:vertAlign w:val="baseline"/>
      </w:rPr>
    </w:lvl>
    <w:lvl w:ilvl="6" w:tplc="A6DA6E4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74F000">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0A653C">
      <w:start w:val="1"/>
      <w:numFmt w:val="lowerRoman"/>
      <w:lvlText w:val="%9."/>
      <w:lvlJc w:val="left"/>
      <w:pPr>
        <w:ind w:left="6840" w:hanging="3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84C78EE"/>
    <w:multiLevelType w:val="hybridMultilevel"/>
    <w:tmpl w:val="40F8E2E6"/>
    <w:styleLink w:val="ImportedStyle320"/>
    <w:lvl w:ilvl="0" w:tplc="2B34B8F4">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53CF2F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E48AEF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3BAB05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4F6921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AC8147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712FFE8">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E525CA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8360DCE">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15:restartNumberingAfterBreak="0">
    <w:nsid w:val="08EC71CE"/>
    <w:multiLevelType w:val="hybridMultilevel"/>
    <w:tmpl w:val="715C696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15:restartNumberingAfterBreak="0">
    <w:nsid w:val="0A8949E0"/>
    <w:multiLevelType w:val="hybridMultilevel"/>
    <w:tmpl w:val="C14027D4"/>
    <w:styleLink w:val="ImportedStyle54"/>
    <w:lvl w:ilvl="0" w:tplc="4512248E">
      <w:start w:val="1"/>
      <w:numFmt w:val="bullet"/>
      <w:lvlText w:val="o"/>
      <w:lvlJc w:val="left"/>
      <w:pPr>
        <w:tabs>
          <w:tab w:val="left" w:pos="1440"/>
        </w:tabs>
        <w:ind w:left="300" w:hanging="300"/>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1" w:tplc="AEC2E39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742A218">
      <w:start w:val="1"/>
      <w:numFmt w:val="bullet"/>
      <w:lvlText w:val="o"/>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B2AB73E">
      <w:start w:val="1"/>
      <w:numFmt w:val="bullet"/>
      <w:lvlText w:val="o"/>
      <w:lvlJc w:val="left"/>
      <w:pPr>
        <w:tabs>
          <w:tab w:val="left" w:pos="1440"/>
        </w:tabs>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C0E9CE6">
      <w:start w:val="1"/>
      <w:numFmt w:val="bullet"/>
      <w:lvlText w:val="o"/>
      <w:lvlJc w:val="left"/>
      <w:pPr>
        <w:tabs>
          <w:tab w:val="left" w:pos="144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F48598">
      <w:start w:val="1"/>
      <w:numFmt w:val="bullet"/>
      <w:lvlText w:val="o"/>
      <w:lvlJc w:val="left"/>
      <w:pPr>
        <w:tabs>
          <w:tab w:val="left" w:pos="1440"/>
        </w:tabs>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5DE1210">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25C2224">
      <w:start w:val="1"/>
      <w:numFmt w:val="bullet"/>
      <w:lvlText w:val="o"/>
      <w:lvlJc w:val="left"/>
      <w:pPr>
        <w:tabs>
          <w:tab w:val="left" w:pos="1440"/>
        </w:tabs>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FE8853E">
      <w:start w:val="1"/>
      <w:numFmt w:val="bullet"/>
      <w:lvlText w:val="o"/>
      <w:lvlJc w:val="left"/>
      <w:pPr>
        <w:tabs>
          <w:tab w:val="left" w:pos="1440"/>
        </w:tabs>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0BBF5EA0"/>
    <w:multiLevelType w:val="hybridMultilevel"/>
    <w:tmpl w:val="BF3A838E"/>
    <w:styleLink w:val="ImportedStyle70"/>
    <w:lvl w:ilvl="0" w:tplc="6A0A982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7E7E282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87655B8">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D5A80B32">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BCA106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4DA28DE">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CE6025A">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C9444A8">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FBEABA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0C426718"/>
    <w:multiLevelType w:val="hybridMultilevel"/>
    <w:tmpl w:val="B7CA5764"/>
    <w:styleLink w:val="ImportedStyle27"/>
    <w:lvl w:ilvl="0" w:tplc="01D6ECC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EF0AEBE8">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BC7EDE8A">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3E078A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9E8A756">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DE8C13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5D42302A">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32E280CA">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6A1E9DDE">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0D6C229E"/>
    <w:multiLevelType w:val="hybridMultilevel"/>
    <w:tmpl w:val="7608A114"/>
    <w:styleLink w:val="ImportedStyle49"/>
    <w:lvl w:ilvl="0" w:tplc="EFE4C224">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E1A9274">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E3A2829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CF050AA">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23A49DA">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EFEC2BC">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A681AC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78A92F2">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65A1742">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 w15:restartNumberingAfterBreak="0">
    <w:nsid w:val="116E50B3"/>
    <w:multiLevelType w:val="hybridMultilevel"/>
    <w:tmpl w:val="2F202C64"/>
    <w:styleLink w:val="ImportedStyle61"/>
    <w:lvl w:ilvl="0" w:tplc="6322931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6CA6A34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B48C5E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71A79CE">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6D8493E">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56EF9D6">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D7C387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688D206">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E80B01C">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15:restartNumberingAfterBreak="0">
    <w:nsid w:val="12230B97"/>
    <w:multiLevelType w:val="hybridMultilevel"/>
    <w:tmpl w:val="8DA8ED00"/>
    <w:styleLink w:val="ImportedStyle13"/>
    <w:lvl w:ilvl="0" w:tplc="A9B2981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EFF41AF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7986106">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B3261C4">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D08144E">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2F01934">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29CA054">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ABC6416">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C623866">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 w15:restartNumberingAfterBreak="0">
    <w:nsid w:val="1312500A"/>
    <w:multiLevelType w:val="hybridMultilevel"/>
    <w:tmpl w:val="8A28A1E6"/>
    <w:styleLink w:val="ImportedStyle51"/>
    <w:lvl w:ilvl="0" w:tplc="A6E08510">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888464C">
      <w:start w:val="1"/>
      <w:numFmt w:val="bullet"/>
      <w:lvlText w:val="o"/>
      <w:lvlJc w:val="left"/>
      <w:pPr>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27EE40F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2788560">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F82B162">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D3295CA">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8E0522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4A2465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E50DA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15:restartNumberingAfterBreak="0">
    <w:nsid w:val="13A543AF"/>
    <w:multiLevelType w:val="hybridMultilevel"/>
    <w:tmpl w:val="C02CEF56"/>
    <w:styleLink w:val="ImportedStyle44"/>
    <w:lvl w:ilvl="0" w:tplc="5A46C1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E4EE86">
      <w:start w:val="1"/>
      <w:numFmt w:val="bullet"/>
      <w:lvlText w:val="o"/>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E9A99CA">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10097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E2748E">
      <w:start w:val="1"/>
      <w:numFmt w:val="bullet"/>
      <w:lvlText w:val="o"/>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53C141A">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A2C86B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9E6A3A0">
      <w:start w:val="1"/>
      <w:numFmt w:val="bullet"/>
      <w:lvlText w:val="o"/>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82E3AA0">
      <w:start w:val="1"/>
      <w:numFmt w:val="bullet"/>
      <w:lvlText w:val="▪"/>
      <w:lvlJc w:val="left"/>
      <w:pPr>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15004F05"/>
    <w:multiLevelType w:val="hybridMultilevel"/>
    <w:tmpl w:val="6714EBE6"/>
    <w:styleLink w:val="ImportedStyle72"/>
    <w:lvl w:ilvl="0" w:tplc="82C8CB2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9E5474B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F7D6863A">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1B0037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BB62B00">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116FDC6">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5342A4C4">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B00378E">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A8C4652">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1762471E"/>
    <w:multiLevelType w:val="hybridMultilevel"/>
    <w:tmpl w:val="0AC81522"/>
    <w:styleLink w:val="ImportedStyle60"/>
    <w:lvl w:ilvl="0" w:tplc="FD88F45A">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A4885FB8">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882ECA3C">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8DE754A">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9CE0DDA">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D60B3AA">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3DE5898">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C40A260">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3EAA488">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 w15:restartNumberingAfterBreak="0">
    <w:nsid w:val="1BA84016"/>
    <w:multiLevelType w:val="hybridMultilevel"/>
    <w:tmpl w:val="84CE37AA"/>
    <w:styleLink w:val="ImportedStyle73"/>
    <w:lvl w:ilvl="0" w:tplc="C30EA40A">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3361F20">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9EE7660">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06B4DC">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8C00072">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966C514">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E7E46FC">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70A084A">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7D027E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15:restartNumberingAfterBreak="0">
    <w:nsid w:val="1D212DC4"/>
    <w:multiLevelType w:val="hybridMultilevel"/>
    <w:tmpl w:val="F5BA941C"/>
    <w:styleLink w:val="ImportedStyle790"/>
    <w:lvl w:ilvl="0" w:tplc="91CE0E86">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F2E5B72">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8EB2E03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976075C">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9468E52">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81881D0">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AD2D6E8">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23258E4">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03C6E66">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9" w15:restartNumberingAfterBreak="0">
    <w:nsid w:val="1D767148"/>
    <w:multiLevelType w:val="hybridMultilevel"/>
    <w:tmpl w:val="70F85658"/>
    <w:styleLink w:val="ImportedStyle7"/>
    <w:lvl w:ilvl="0" w:tplc="C302C97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3CBB4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26C5E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0207CFC">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24A9DE6">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87C94C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716143A">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AAC55F6">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E945C06">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1DBC7A2A"/>
    <w:multiLevelType w:val="hybridMultilevel"/>
    <w:tmpl w:val="DC880280"/>
    <w:styleLink w:val="ImportedStyle38"/>
    <w:lvl w:ilvl="0" w:tplc="41B8A0F4">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4F0F35A">
      <w:start w:val="1"/>
      <w:numFmt w:val="bullet"/>
      <w:lvlText w:val="o"/>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ED0BE64">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9344606">
      <w:start w:val="1"/>
      <w:numFmt w:val="bullet"/>
      <w:lvlText w:val="•"/>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471C">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1585C7E">
      <w:start w:val="1"/>
      <w:numFmt w:val="bullet"/>
      <w:lvlText w:val="▪"/>
      <w:lvlJc w:val="left"/>
      <w:pPr>
        <w:ind w:left="55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3E2E544">
      <w:start w:val="1"/>
      <w:numFmt w:val="bullet"/>
      <w:lvlText w:val="•"/>
      <w:lvlJc w:val="left"/>
      <w:pPr>
        <w:ind w:left="63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0A2E6C">
      <w:start w:val="1"/>
      <w:numFmt w:val="bullet"/>
      <w:lvlText w:val="o"/>
      <w:lvlJc w:val="left"/>
      <w:pPr>
        <w:ind w:left="70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B30F956">
      <w:start w:val="1"/>
      <w:numFmt w:val="bullet"/>
      <w:lvlText w:val="▪"/>
      <w:lvlJc w:val="left"/>
      <w:pPr>
        <w:ind w:left="77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1DE636CD"/>
    <w:multiLevelType w:val="hybridMultilevel"/>
    <w:tmpl w:val="22A457AE"/>
    <w:styleLink w:val="ImportedStyle24"/>
    <w:lvl w:ilvl="0" w:tplc="24D8D3A0">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790BCEA">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0A6B86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D403BC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D2407AE">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94A4DBC">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8244678">
      <w:start w:val="1"/>
      <w:numFmt w:val="bullet"/>
      <w:lvlText w:val="•"/>
      <w:lvlJc w:val="left"/>
      <w:pPr>
        <w:ind w:left="8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88A3D36">
      <w:start w:val="1"/>
      <w:numFmt w:val="bullet"/>
      <w:lvlText w:val="o"/>
      <w:lvlJc w:val="left"/>
      <w:pPr>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3CE74B2">
      <w:start w:val="1"/>
      <w:numFmt w:val="bullet"/>
      <w:lvlText w:val="▪"/>
      <w:lvlJc w:val="left"/>
      <w:pPr>
        <w:ind w:left="9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1ECC1F8C"/>
    <w:multiLevelType w:val="hybridMultilevel"/>
    <w:tmpl w:val="E440EBEE"/>
    <w:styleLink w:val="ImportedStyle14"/>
    <w:lvl w:ilvl="0" w:tplc="A9D60C6C">
      <w:start w:val="1"/>
      <w:numFmt w:val="bullet"/>
      <w:lvlText w:val="o"/>
      <w:lvlJc w:val="left"/>
      <w:pPr>
        <w:ind w:left="15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46A84B4">
      <w:start w:val="1"/>
      <w:numFmt w:val="bullet"/>
      <w:lvlText w:val="o"/>
      <w:lvlJc w:val="left"/>
      <w:pPr>
        <w:ind w:left="22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168FB48">
      <w:start w:val="1"/>
      <w:numFmt w:val="bullet"/>
      <w:lvlText w:val="▪"/>
      <w:lvlJc w:val="left"/>
      <w:pPr>
        <w:ind w:left="29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E2654C8">
      <w:start w:val="1"/>
      <w:numFmt w:val="bullet"/>
      <w:lvlText w:val="•"/>
      <w:lvlJc w:val="left"/>
      <w:pPr>
        <w:ind w:left="36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D286CDE">
      <w:start w:val="1"/>
      <w:numFmt w:val="bullet"/>
      <w:lvlText w:val="o"/>
      <w:lvlJc w:val="left"/>
      <w:pPr>
        <w:ind w:left="44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4449F3A">
      <w:start w:val="1"/>
      <w:numFmt w:val="bullet"/>
      <w:lvlText w:val="▪"/>
      <w:lvlJc w:val="left"/>
      <w:pPr>
        <w:ind w:left="51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9B6504E">
      <w:start w:val="1"/>
      <w:numFmt w:val="bullet"/>
      <w:lvlText w:val="•"/>
      <w:lvlJc w:val="left"/>
      <w:pPr>
        <w:ind w:left="58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C027CC2">
      <w:start w:val="1"/>
      <w:numFmt w:val="bullet"/>
      <w:lvlText w:val="o"/>
      <w:lvlJc w:val="left"/>
      <w:pPr>
        <w:ind w:left="65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E929F5A">
      <w:start w:val="1"/>
      <w:numFmt w:val="bullet"/>
      <w:lvlText w:val="▪"/>
      <w:lvlJc w:val="left"/>
      <w:pPr>
        <w:ind w:left="72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1EEE4CE8"/>
    <w:multiLevelType w:val="hybridMultilevel"/>
    <w:tmpl w:val="5FBE5F64"/>
    <w:styleLink w:val="ImportedStyle18"/>
    <w:lvl w:ilvl="0" w:tplc="FEE2B3D8">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1196F1B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43CCE3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6B5E936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FECE560">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35289C70">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280CA3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3B24B44">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6B6CBD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209A6352"/>
    <w:multiLevelType w:val="hybridMultilevel"/>
    <w:tmpl w:val="0B32D072"/>
    <w:styleLink w:val="ImportedStyle69"/>
    <w:lvl w:ilvl="0" w:tplc="5D46BDD6">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10A3EF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95E963A">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4248BD4">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446AF30">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5783DC4">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412A03E">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036058E">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332B8BA">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5" w15:restartNumberingAfterBreak="0">
    <w:nsid w:val="21987678"/>
    <w:multiLevelType w:val="hybridMultilevel"/>
    <w:tmpl w:val="7BA4A958"/>
    <w:styleLink w:val="ImportedStyle74"/>
    <w:lvl w:ilvl="0" w:tplc="1D6AF10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5D6E3C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10681A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722E2AC">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144D4E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8F6AB5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82C0A76">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33EEAE8">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272DC8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15:restartNumberingAfterBreak="0">
    <w:nsid w:val="240E5A7B"/>
    <w:multiLevelType w:val="hybridMultilevel"/>
    <w:tmpl w:val="AED471D2"/>
    <w:styleLink w:val="ImportedStyle45"/>
    <w:lvl w:ilvl="0" w:tplc="120A63D2">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B58581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C66AD5C">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6004A02">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F44F80A">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443282">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DE4DF58">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B6A48D8">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BA286F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7" w15:restartNumberingAfterBreak="0">
    <w:nsid w:val="24336B98"/>
    <w:multiLevelType w:val="hybridMultilevel"/>
    <w:tmpl w:val="EF8C932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8" w15:restartNumberingAfterBreak="0">
    <w:nsid w:val="25491A79"/>
    <w:multiLevelType w:val="hybridMultilevel"/>
    <w:tmpl w:val="B44ECB20"/>
    <w:styleLink w:val="ImportedStyle610"/>
    <w:lvl w:ilvl="0" w:tplc="1EAE3B2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0F2A213C">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122E47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20CA5550">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5B0453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F34AEBF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262017E">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89AC3670">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3E2502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25F02582"/>
    <w:multiLevelType w:val="hybridMultilevel"/>
    <w:tmpl w:val="4EDCD174"/>
    <w:styleLink w:val="ImportedStyle3"/>
    <w:lvl w:ilvl="0" w:tplc="C4CC7674">
      <w:start w:val="1"/>
      <w:numFmt w:val="lowerRoman"/>
      <w:lvlText w:val="(%1)"/>
      <w:lvlJc w:val="left"/>
      <w:pPr>
        <w:ind w:left="150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75C7CAC">
      <w:start w:val="1"/>
      <w:numFmt w:val="lowerLetter"/>
      <w:lvlText w:val="%2."/>
      <w:lvlJc w:val="left"/>
      <w:pPr>
        <w:ind w:left="18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CEA6058">
      <w:start w:val="1"/>
      <w:numFmt w:val="lowerRoman"/>
      <w:lvlText w:val="%3."/>
      <w:lvlJc w:val="left"/>
      <w:pPr>
        <w:ind w:left="2580" w:hanging="314"/>
      </w:pPr>
      <w:rPr>
        <w:rFonts w:hAnsi="Arial Unicode MS"/>
        <w:caps w:val="0"/>
        <w:smallCaps w:val="0"/>
        <w:strike w:val="0"/>
        <w:dstrike w:val="0"/>
        <w:outline w:val="0"/>
        <w:emboss w:val="0"/>
        <w:imprint w:val="0"/>
        <w:spacing w:val="0"/>
        <w:w w:val="100"/>
        <w:kern w:val="0"/>
        <w:position w:val="0"/>
        <w:highlight w:val="none"/>
        <w:vertAlign w:val="baseline"/>
      </w:rPr>
    </w:lvl>
    <w:lvl w:ilvl="3" w:tplc="8BC80C1C">
      <w:start w:val="1"/>
      <w:numFmt w:val="decimal"/>
      <w:lvlText w:val="%4."/>
      <w:lvlJc w:val="left"/>
      <w:pPr>
        <w:ind w:left="33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F041CA">
      <w:start w:val="1"/>
      <w:numFmt w:val="lowerLetter"/>
      <w:lvlText w:val="%5."/>
      <w:lvlJc w:val="left"/>
      <w:pPr>
        <w:ind w:left="40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B420EA">
      <w:start w:val="1"/>
      <w:numFmt w:val="lowerRoman"/>
      <w:lvlText w:val="%6."/>
      <w:lvlJc w:val="left"/>
      <w:pPr>
        <w:ind w:left="4740" w:hanging="314"/>
      </w:pPr>
      <w:rPr>
        <w:rFonts w:hAnsi="Arial Unicode MS"/>
        <w:caps w:val="0"/>
        <w:smallCaps w:val="0"/>
        <w:strike w:val="0"/>
        <w:dstrike w:val="0"/>
        <w:outline w:val="0"/>
        <w:emboss w:val="0"/>
        <w:imprint w:val="0"/>
        <w:spacing w:val="0"/>
        <w:w w:val="100"/>
        <w:kern w:val="0"/>
        <w:position w:val="0"/>
        <w:highlight w:val="none"/>
        <w:vertAlign w:val="baseline"/>
      </w:rPr>
    </w:lvl>
    <w:lvl w:ilvl="6" w:tplc="2D46422C">
      <w:start w:val="1"/>
      <w:numFmt w:val="decimal"/>
      <w:lvlText w:val="%7."/>
      <w:lvlJc w:val="left"/>
      <w:pPr>
        <w:ind w:left="54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347262">
      <w:start w:val="1"/>
      <w:numFmt w:val="lowerLetter"/>
      <w:lvlText w:val="%8."/>
      <w:lvlJc w:val="left"/>
      <w:pPr>
        <w:ind w:left="61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6E2327E">
      <w:start w:val="1"/>
      <w:numFmt w:val="lowerRoman"/>
      <w:lvlText w:val="%9."/>
      <w:lvlJc w:val="left"/>
      <w:pPr>
        <w:ind w:left="6900" w:hanging="3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264562B1"/>
    <w:multiLevelType w:val="hybridMultilevel"/>
    <w:tmpl w:val="E8B4FECA"/>
    <w:styleLink w:val="ImportedStyle63"/>
    <w:lvl w:ilvl="0" w:tplc="58A88EF4">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B7E0A51C">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EECCBA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1D48B19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15E9FD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BA62B41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31F8747C">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6F21D54">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5FF83D28">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26CC196B"/>
    <w:multiLevelType w:val="hybridMultilevel"/>
    <w:tmpl w:val="B400FEF6"/>
    <w:styleLink w:val="ImportedStyle360"/>
    <w:lvl w:ilvl="0" w:tplc="F22C0ACC">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9630597C">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36C942E">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30348396">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312CEBA">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4FC9AFE">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E1C6DE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BA27406">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1AE626E">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28707A63"/>
    <w:multiLevelType w:val="hybridMultilevel"/>
    <w:tmpl w:val="EEB4F42C"/>
    <w:styleLink w:val="ImportedStyle460"/>
    <w:lvl w:ilvl="0" w:tplc="FEAA8B9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73A59C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A60666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D821C4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526D46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866451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50AEFB8">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44AB424">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48826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3" w15:restartNumberingAfterBreak="0">
    <w:nsid w:val="2A0B303D"/>
    <w:multiLevelType w:val="hybridMultilevel"/>
    <w:tmpl w:val="B37C34B0"/>
    <w:styleLink w:val="ImportedStyle47"/>
    <w:lvl w:ilvl="0" w:tplc="A118A288">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B770E0CA">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349A77C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F4541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0DEAE5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F61124">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CC260B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A1EC054">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50E772">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4" w15:restartNumberingAfterBreak="0">
    <w:nsid w:val="2CF1625F"/>
    <w:multiLevelType w:val="hybridMultilevel"/>
    <w:tmpl w:val="6A90A8C6"/>
    <w:styleLink w:val="ImportedStyle4"/>
    <w:lvl w:ilvl="0" w:tplc="3166A594">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2361846">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9B89354">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31C5C0A">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6D0B9CA">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C38CE22">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E404F8E">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3E41FFE">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834716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5" w15:restartNumberingAfterBreak="0">
    <w:nsid w:val="2D7A54E8"/>
    <w:multiLevelType w:val="hybridMultilevel"/>
    <w:tmpl w:val="16E6BB7C"/>
    <w:styleLink w:val="ImportedStyle19"/>
    <w:lvl w:ilvl="0" w:tplc="F65A852C">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56B4ABAA">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10584CA0">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7643F6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8C2328">
      <w:start w:val="1"/>
      <w:numFmt w:val="decimal"/>
      <w:lvlText w:val="%5."/>
      <w:lvlJc w:val="left"/>
      <w:pPr>
        <w:tabs>
          <w:tab w:val="left" w:pos="288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F382100">
      <w:start w:val="1"/>
      <w:numFmt w:val="decimal"/>
      <w:lvlText w:val="%6."/>
      <w:lvlJc w:val="left"/>
      <w:pPr>
        <w:tabs>
          <w:tab w:val="left" w:pos="288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72E925A">
      <w:start w:val="1"/>
      <w:numFmt w:val="decimal"/>
      <w:lvlText w:val="%7."/>
      <w:lvlJc w:val="left"/>
      <w:pPr>
        <w:tabs>
          <w:tab w:val="left" w:pos="288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9AFD88">
      <w:start w:val="1"/>
      <w:numFmt w:val="decimal"/>
      <w:lvlText w:val="%8."/>
      <w:lvlJc w:val="left"/>
      <w:pPr>
        <w:tabs>
          <w:tab w:val="left" w:pos="288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809AE4">
      <w:start w:val="1"/>
      <w:numFmt w:val="decimal"/>
      <w:lvlText w:val="%9."/>
      <w:lvlJc w:val="left"/>
      <w:pPr>
        <w:tabs>
          <w:tab w:val="left" w:pos="288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2D7C2179"/>
    <w:multiLevelType w:val="hybridMultilevel"/>
    <w:tmpl w:val="BBF8B1A6"/>
    <w:styleLink w:val="ImportedStyle20"/>
    <w:lvl w:ilvl="0" w:tplc="B84488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06413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CCE51E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728285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0A2168">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50859E">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5C485F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7CA176">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64060D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2DE43F76"/>
    <w:multiLevelType w:val="hybridMultilevel"/>
    <w:tmpl w:val="84589D8C"/>
    <w:styleLink w:val="ImportedStyle59"/>
    <w:lvl w:ilvl="0" w:tplc="9FF05B7A">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3342598">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C0921EF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DAEE538">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D92E0B0">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298983C">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9861018">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F209382">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70062BE">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8" w15:restartNumberingAfterBreak="0">
    <w:nsid w:val="2F7B36ED"/>
    <w:multiLevelType w:val="hybridMultilevel"/>
    <w:tmpl w:val="E3F4AC02"/>
    <w:styleLink w:val="ImportedStyle37"/>
    <w:lvl w:ilvl="0" w:tplc="69F8E578">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DE20ABC">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EA40CE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B3E6422">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08A0A3E">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01E98AE">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86CE4D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F900FB4">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7CA6C2C">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9" w15:restartNumberingAfterBreak="0">
    <w:nsid w:val="2FB31DDE"/>
    <w:multiLevelType w:val="hybridMultilevel"/>
    <w:tmpl w:val="0F5696A0"/>
    <w:styleLink w:val="ImportedStyle160"/>
    <w:lvl w:ilvl="0" w:tplc="ECCCD46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AF8B33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278595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8CC99A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996346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2489B3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B34E02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25672A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16A609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0" w15:restartNumberingAfterBreak="0">
    <w:nsid w:val="30240225"/>
    <w:multiLevelType w:val="hybridMultilevel"/>
    <w:tmpl w:val="CA7EE216"/>
    <w:styleLink w:val="ImportedStyle29"/>
    <w:lvl w:ilvl="0" w:tplc="1764D0BE">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0D41C8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FBAA1C0">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ADECAF9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0C089A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86E0A7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374E28A6">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3C49986">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070CB7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31220F27"/>
    <w:multiLevelType w:val="hybridMultilevel"/>
    <w:tmpl w:val="FCBA04E2"/>
    <w:styleLink w:val="ImportedStyle43"/>
    <w:lvl w:ilvl="0" w:tplc="9BB015C0">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B8868C">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804713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B027F4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934A1D8">
      <w:start w:val="1"/>
      <w:numFmt w:val="bullet"/>
      <w:lvlText w:val="▪"/>
      <w:lvlJc w:val="left"/>
      <w:pPr>
        <w:ind w:left="3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A86C64A">
      <w:start w:val="1"/>
      <w:numFmt w:val="bullet"/>
      <w:lvlText w:val="▪"/>
      <w:lvlJc w:val="left"/>
      <w:pPr>
        <w:ind w:left="4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6EA45C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780CA0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80D794">
      <w:start w:val="1"/>
      <w:numFmt w:val="bullet"/>
      <w:lvlText w:val="▪"/>
      <w:lvlJc w:val="left"/>
      <w:pPr>
        <w:ind w:left="7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2" w15:restartNumberingAfterBreak="0">
    <w:nsid w:val="32471546"/>
    <w:multiLevelType w:val="hybridMultilevel"/>
    <w:tmpl w:val="9F06113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3" w15:restartNumberingAfterBreak="0">
    <w:nsid w:val="35400476"/>
    <w:multiLevelType w:val="hybridMultilevel"/>
    <w:tmpl w:val="8DBCE16A"/>
    <w:styleLink w:val="ImportedStyle76"/>
    <w:lvl w:ilvl="0" w:tplc="419678D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BDC3A8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9E4DA1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A74B84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B885F7A">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5BA9AF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BB8B56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B667C3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040D65C">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4" w15:restartNumberingAfterBreak="0">
    <w:nsid w:val="38A25A07"/>
    <w:multiLevelType w:val="hybridMultilevel"/>
    <w:tmpl w:val="1DEE9998"/>
    <w:styleLink w:val="ImportedStyle78"/>
    <w:lvl w:ilvl="0" w:tplc="D6146040">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F89C0CA0">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D812B8E6">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DF042B7A">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5170A85C">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59DE2F2A">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C0803F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928D114">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BAEE30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38CF2947"/>
    <w:multiLevelType w:val="hybridMultilevel"/>
    <w:tmpl w:val="6FA0C622"/>
    <w:styleLink w:val="ImportedStyle31"/>
    <w:lvl w:ilvl="0" w:tplc="8E82A4C4">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93547C66">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EA8470D8">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72CDDB2">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D5E94E8">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CFE8B48">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D58021A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F640E54">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2521E02">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38E1531A"/>
    <w:multiLevelType w:val="hybridMultilevel"/>
    <w:tmpl w:val="B2224DAE"/>
    <w:styleLink w:val="ImportedStyle26"/>
    <w:lvl w:ilvl="0" w:tplc="641273E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53EB49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2CE5B36">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83D285E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5930F898">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FA4EE80">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3FA0A5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74C5D86">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A3C647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390E7E18"/>
    <w:multiLevelType w:val="hybridMultilevel"/>
    <w:tmpl w:val="651E937C"/>
    <w:styleLink w:val="ImportedStyle79"/>
    <w:lvl w:ilvl="0" w:tplc="8DD80B5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F24E55FA">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FB6556A">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E4C50BE">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D1AD3E8">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EB4ECAC8">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04C53E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92C2DD0">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EA009FB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3AB325D3"/>
    <w:multiLevelType w:val="hybridMultilevel"/>
    <w:tmpl w:val="A4C0DF42"/>
    <w:styleLink w:val="ImportedStyle32"/>
    <w:lvl w:ilvl="0" w:tplc="A2CCE28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AA38DB9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7BE36FE">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9EC5A2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8C2F04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F38CCE2">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3D00546">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CC30CEA8">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378F59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3AB74D9F"/>
    <w:multiLevelType w:val="hybridMultilevel"/>
    <w:tmpl w:val="341202C8"/>
    <w:styleLink w:val="ImportedStyle33"/>
    <w:lvl w:ilvl="0" w:tplc="074C739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18253E0">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CB0B0F4">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8CA1E0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1CA20D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2F491A2">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EF257DA">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D2C218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6D292C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0" w15:restartNumberingAfterBreak="0">
    <w:nsid w:val="3AFF7A6B"/>
    <w:multiLevelType w:val="hybridMultilevel"/>
    <w:tmpl w:val="4DC26584"/>
    <w:styleLink w:val="ImportedStyle200"/>
    <w:lvl w:ilvl="0" w:tplc="E154E218">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C962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8A82AC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24ADB8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F78B7F4">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62A6F3E">
      <w:start w:val="1"/>
      <w:numFmt w:val="bullet"/>
      <w:lvlText w:val="▪"/>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2DAB3F6">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72CA4EC">
      <w:start w:val="1"/>
      <w:numFmt w:val="bullet"/>
      <w:lvlText w:val="o"/>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74CB48E">
      <w:start w:val="1"/>
      <w:numFmt w:val="bullet"/>
      <w:lvlText w:val="▪"/>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3CA25354"/>
    <w:multiLevelType w:val="hybridMultilevel"/>
    <w:tmpl w:val="27DA408C"/>
    <w:styleLink w:val="ImportedStyle8"/>
    <w:lvl w:ilvl="0" w:tplc="8ADC8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212B0F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72A671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0C2FB3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77CC4FE">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360B53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35482D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4A82922">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9522E20">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3DDA1501"/>
    <w:multiLevelType w:val="hybridMultilevel"/>
    <w:tmpl w:val="115A0012"/>
    <w:styleLink w:val="ImportedStyle2"/>
    <w:lvl w:ilvl="0" w:tplc="06624246">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014675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1D6909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FD6BD8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E5C2DC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5A6653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6CDA6C">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61A2FAC">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ECC770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3" w15:restartNumberingAfterBreak="0">
    <w:nsid w:val="3FE32990"/>
    <w:multiLevelType w:val="hybridMultilevel"/>
    <w:tmpl w:val="5F1ADF04"/>
    <w:styleLink w:val="ImportedStyle55"/>
    <w:lvl w:ilvl="0" w:tplc="3AE6EDD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4B3E0AEE">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72198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6C806B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7186D2A">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A8C1C0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C0E66E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2E86C8E">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19EFC5E">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15:restartNumberingAfterBreak="0">
    <w:nsid w:val="400F3808"/>
    <w:multiLevelType w:val="hybridMultilevel"/>
    <w:tmpl w:val="90B265DA"/>
    <w:styleLink w:val="ImportedStyle720"/>
    <w:lvl w:ilvl="0" w:tplc="E2E87F1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CA8F2CE">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48A630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FFEA884">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34AD06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646E76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C2D17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078837C">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0B6ABB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5" w15:restartNumberingAfterBreak="0">
    <w:nsid w:val="40391D7D"/>
    <w:multiLevelType w:val="hybridMultilevel"/>
    <w:tmpl w:val="14323ECC"/>
    <w:styleLink w:val="ImportedStyle6"/>
    <w:lvl w:ilvl="0" w:tplc="6DD6499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594C4586">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7A650AA">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099614F2">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6285E12">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E2E6362">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79066F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D229AA6">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7A9A04FE">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42D36644"/>
    <w:multiLevelType w:val="hybridMultilevel"/>
    <w:tmpl w:val="F910851E"/>
    <w:styleLink w:val="ImportedStyle560"/>
    <w:lvl w:ilvl="0" w:tplc="463E4BBA">
      <w:start w:val="1"/>
      <w:numFmt w:val="decimal"/>
      <w:lvlText w:val="%1."/>
      <w:lvlJc w:val="left"/>
      <w:pPr>
        <w:tabs>
          <w:tab w:val="num" w:pos="1080"/>
          <w:tab w:val="left"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873811F6">
      <w:start w:val="1"/>
      <w:numFmt w:val="decimal"/>
      <w:lvlText w:val="%2."/>
      <w:lvlJc w:val="left"/>
      <w:pPr>
        <w:tabs>
          <w:tab w:val="num" w:pos="1440"/>
        </w:tabs>
        <w:ind w:left="10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8A0FA0E">
      <w:start w:val="1"/>
      <w:numFmt w:val="decimal"/>
      <w:lvlText w:val="%3."/>
      <w:lvlJc w:val="left"/>
      <w:pPr>
        <w:tabs>
          <w:tab w:val="left" w:pos="1440"/>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724AAD2">
      <w:start w:val="1"/>
      <w:numFmt w:val="decimal"/>
      <w:lvlText w:val="%4."/>
      <w:lvlJc w:val="left"/>
      <w:pPr>
        <w:tabs>
          <w:tab w:val="left" w:pos="1440"/>
          <w:tab w:val="num" w:pos="2880"/>
        </w:tabs>
        <w:ind w:left="25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B40B9B4">
      <w:start w:val="1"/>
      <w:numFmt w:val="decimal"/>
      <w:lvlText w:val="%5."/>
      <w:lvlJc w:val="left"/>
      <w:pPr>
        <w:tabs>
          <w:tab w:val="left" w:pos="1440"/>
          <w:tab w:val="num" w:pos="3600"/>
        </w:tabs>
        <w:ind w:left="32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24CD6A2">
      <w:start w:val="1"/>
      <w:numFmt w:val="decimal"/>
      <w:lvlText w:val="%6."/>
      <w:lvlJc w:val="left"/>
      <w:pPr>
        <w:tabs>
          <w:tab w:val="left" w:pos="1440"/>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AA096B8">
      <w:start w:val="1"/>
      <w:numFmt w:val="decimal"/>
      <w:lvlText w:val="%7."/>
      <w:lvlJc w:val="left"/>
      <w:pPr>
        <w:tabs>
          <w:tab w:val="left" w:pos="1440"/>
          <w:tab w:val="num" w:pos="5040"/>
        </w:tabs>
        <w:ind w:left="46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D067BA0">
      <w:start w:val="1"/>
      <w:numFmt w:val="decimal"/>
      <w:lvlText w:val="%8."/>
      <w:lvlJc w:val="left"/>
      <w:pPr>
        <w:tabs>
          <w:tab w:val="left" w:pos="1440"/>
          <w:tab w:val="num" w:pos="5760"/>
        </w:tabs>
        <w:ind w:left="54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7D03958">
      <w:start w:val="1"/>
      <w:numFmt w:val="decimal"/>
      <w:lvlText w:val="%9."/>
      <w:lvlJc w:val="left"/>
      <w:pPr>
        <w:tabs>
          <w:tab w:val="left" w:pos="1440"/>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43386D36"/>
    <w:multiLevelType w:val="hybridMultilevel"/>
    <w:tmpl w:val="EC54D82E"/>
    <w:styleLink w:val="ImportedStyle30"/>
    <w:lvl w:ilvl="0" w:tplc="16C85B68">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B8020DA">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A46B404">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26E065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00C28EA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4EC2E058">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04685C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E0E0B39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7D28D19E">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43780B5C"/>
    <w:multiLevelType w:val="hybridMultilevel"/>
    <w:tmpl w:val="06F096E2"/>
    <w:styleLink w:val="ImportedStyle600"/>
    <w:lvl w:ilvl="0" w:tplc="06C8644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F0E87BE">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6CCCEC4">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4343A9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67426A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0BE85A6">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29C945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E14E18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8EE21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9" w15:restartNumberingAfterBreak="0">
    <w:nsid w:val="43B36544"/>
    <w:multiLevelType w:val="hybridMultilevel"/>
    <w:tmpl w:val="467A46F0"/>
    <w:styleLink w:val="ImportedStyle67"/>
    <w:lvl w:ilvl="0" w:tplc="F704F74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8268A94">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FBE0C3A">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5446898">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960AB3E">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DD2A00A">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97C2D6E">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B423CEE">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53026F0">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0" w15:restartNumberingAfterBreak="0">
    <w:nsid w:val="495B7A82"/>
    <w:multiLevelType w:val="hybridMultilevel"/>
    <w:tmpl w:val="1C544C70"/>
    <w:styleLink w:val="ImportedStyle68"/>
    <w:lvl w:ilvl="0" w:tplc="F4D2BC8A">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1C448D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410BDF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F1ADC6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B7E1E80">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7D0040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608F36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8EA115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1DE3B3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1" w15:restartNumberingAfterBreak="0">
    <w:nsid w:val="49980C35"/>
    <w:multiLevelType w:val="hybridMultilevel"/>
    <w:tmpl w:val="146CC250"/>
    <w:styleLink w:val="ImportedStyle180"/>
    <w:lvl w:ilvl="0" w:tplc="0FDE0B52">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9992EEE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D585ED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A244B4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8085924">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C060C2E">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A9C4D8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4608B6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3DA273A">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2" w15:restartNumberingAfterBreak="0">
    <w:nsid w:val="4A567A32"/>
    <w:multiLevelType w:val="hybridMultilevel"/>
    <w:tmpl w:val="43EC03C2"/>
    <w:styleLink w:val="ImportedStyle21"/>
    <w:lvl w:ilvl="0" w:tplc="6778C3D6">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7362118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C0628AC">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F40A49E">
      <w:start w:val="1"/>
      <w:numFmt w:val="bullet"/>
      <w:lvlText w:val="•"/>
      <w:lvlJc w:val="left"/>
      <w:pPr>
        <w:ind w:left="12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DD2C376">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20E84E4">
      <w:start w:val="1"/>
      <w:numFmt w:val="bullet"/>
      <w:lvlText w:val="▪"/>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2925F3A">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2A87540">
      <w:start w:val="1"/>
      <w:numFmt w:val="bullet"/>
      <w:lvlText w:val="o"/>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A005D88">
      <w:start w:val="1"/>
      <w:numFmt w:val="bullet"/>
      <w:lvlText w:val="▪"/>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15:restartNumberingAfterBreak="0">
    <w:nsid w:val="4BB356F9"/>
    <w:multiLevelType w:val="hybridMultilevel"/>
    <w:tmpl w:val="CBAADFEE"/>
    <w:styleLink w:val="ImportedStyle52"/>
    <w:lvl w:ilvl="0" w:tplc="587058DC">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73805E4">
      <w:start w:val="1"/>
      <w:numFmt w:val="bullet"/>
      <w:lvlText w:val="o"/>
      <w:lvlJc w:val="left"/>
      <w:pPr>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42146F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612ABA2">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890A84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272F87C">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330954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4CEEFE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702F66A">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4" w15:restartNumberingAfterBreak="0">
    <w:nsid w:val="4CC85A1A"/>
    <w:multiLevelType w:val="hybridMultilevel"/>
    <w:tmpl w:val="D16EFA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5" w15:restartNumberingAfterBreak="0">
    <w:nsid w:val="4F7E5853"/>
    <w:multiLevelType w:val="hybridMultilevel"/>
    <w:tmpl w:val="6C7EAFB0"/>
    <w:styleLink w:val="ImportedStyle77"/>
    <w:lvl w:ilvl="0" w:tplc="A324095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486FFC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82A2E8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272074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914284A">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F282DD2">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AAC782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AF4AA6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A02DCE2">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6" w15:restartNumberingAfterBreak="0">
    <w:nsid w:val="51311295"/>
    <w:multiLevelType w:val="multilevel"/>
    <w:tmpl w:val="1E0888DE"/>
    <w:styleLink w:val="ImportedStyle35"/>
    <w:lvl w:ilvl="0">
      <w:start w:val="1"/>
      <w:numFmt w:val="decimal"/>
      <w:lvlText w:val="%1."/>
      <w:lvlJc w:val="left"/>
      <w:pPr>
        <w:ind w:left="400" w:hanging="4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240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4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780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98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1880" w:hanging="18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356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5600" w:hanging="2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7" w15:restartNumberingAfterBreak="0">
    <w:nsid w:val="513A660A"/>
    <w:multiLevelType w:val="hybridMultilevel"/>
    <w:tmpl w:val="C8584E9A"/>
    <w:styleLink w:val="ImportedStyle66"/>
    <w:lvl w:ilvl="0" w:tplc="FE48C494">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67019D0">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ED619E6">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B6A14F4">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5A6C8D6">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E4C361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93CCADC">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F2CE2CA">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78A1C6C">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15:restartNumberingAfterBreak="0">
    <w:nsid w:val="51AF6A8D"/>
    <w:multiLevelType w:val="hybridMultilevel"/>
    <w:tmpl w:val="F4ECB690"/>
    <w:styleLink w:val="ImportedStyle40"/>
    <w:lvl w:ilvl="0" w:tplc="4866E71E">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2D94E94E">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D687DC">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66C5AB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D22383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AA2DDF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A48A54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8D242E0">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E9240FA">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9" w15:restartNumberingAfterBreak="0">
    <w:nsid w:val="51BC5404"/>
    <w:multiLevelType w:val="hybridMultilevel"/>
    <w:tmpl w:val="AF388910"/>
    <w:styleLink w:val="ImportedStyle710"/>
    <w:lvl w:ilvl="0" w:tplc="BD0E51C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ED4339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318C08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4D2537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7C0BBDC">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9A8AC7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B38C894">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19E959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7B4ACE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0" w15:restartNumberingAfterBreak="0">
    <w:nsid w:val="53371F05"/>
    <w:multiLevelType w:val="hybridMultilevel"/>
    <w:tmpl w:val="63A8B1E2"/>
    <w:styleLink w:val="ImportedStyle48"/>
    <w:lvl w:ilvl="0" w:tplc="BB8CA274">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D103DE8">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6C6860B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1A4EC2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FA05CB6">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EDC0732">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BCC309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EA4008E">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7581D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1" w15:restartNumberingAfterBreak="0">
    <w:nsid w:val="536B7DC7"/>
    <w:multiLevelType w:val="hybridMultilevel"/>
    <w:tmpl w:val="03AE63FC"/>
    <w:styleLink w:val="ImportedStyle57"/>
    <w:lvl w:ilvl="0" w:tplc="2FC29338">
      <w:start w:val="1"/>
      <w:numFmt w:val="bullet"/>
      <w:lvlText w:val="o"/>
      <w:lvlJc w:val="left"/>
      <w:pPr>
        <w:ind w:left="1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040FF2A">
      <w:start w:val="1"/>
      <w:numFmt w:val="bullet"/>
      <w:lvlText w:val="o"/>
      <w:lvlJc w:val="left"/>
      <w:pPr>
        <w:ind w:left="2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66211EE">
      <w:start w:val="1"/>
      <w:numFmt w:val="bullet"/>
      <w:lvlText w:val="▪"/>
      <w:lvlJc w:val="left"/>
      <w:pPr>
        <w:ind w:left="3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DC888A0">
      <w:start w:val="1"/>
      <w:numFmt w:val="bullet"/>
      <w:lvlText w:val="•"/>
      <w:lvlJc w:val="left"/>
      <w:pPr>
        <w:ind w:left="3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53E4C38">
      <w:start w:val="1"/>
      <w:numFmt w:val="bullet"/>
      <w:lvlText w:val="o"/>
      <w:lvlJc w:val="left"/>
      <w:pPr>
        <w:ind w:left="4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842E536">
      <w:start w:val="1"/>
      <w:numFmt w:val="bullet"/>
      <w:lvlText w:val="▪"/>
      <w:lvlJc w:val="left"/>
      <w:pPr>
        <w:ind w:left="5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8F24D88">
      <w:start w:val="1"/>
      <w:numFmt w:val="bullet"/>
      <w:lvlText w:val="•"/>
      <w:lvlJc w:val="left"/>
      <w:pPr>
        <w:ind w:left="6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62C5AAA">
      <w:start w:val="1"/>
      <w:numFmt w:val="bullet"/>
      <w:lvlText w:val="o"/>
      <w:lvlJc w:val="left"/>
      <w:pPr>
        <w:ind w:left="6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6627E58">
      <w:start w:val="1"/>
      <w:numFmt w:val="bullet"/>
      <w:lvlText w:val="▪"/>
      <w:lvlJc w:val="left"/>
      <w:pPr>
        <w:ind w:left="7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2" w15:restartNumberingAfterBreak="0">
    <w:nsid w:val="53C323BF"/>
    <w:multiLevelType w:val="hybridMultilevel"/>
    <w:tmpl w:val="2D4E82D4"/>
    <w:styleLink w:val="ImportedStyle780"/>
    <w:lvl w:ilvl="0" w:tplc="71AE8B3A">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9C28E74">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65B40B72">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1FA1EB0">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34E7BF6">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31AC84C">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8308A42">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90C654E">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F00EEDE">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3" w15:restartNumberingAfterBreak="0">
    <w:nsid w:val="54806CA0"/>
    <w:multiLevelType w:val="hybridMultilevel"/>
    <w:tmpl w:val="0414CF76"/>
    <w:styleLink w:val="ImportedStyle42"/>
    <w:lvl w:ilvl="0" w:tplc="A092B0DC">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5CE989C">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658A1F8">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A084A7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20A522">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7D44E44">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F7AA1A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3A04558">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05042F0">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15:restartNumberingAfterBreak="0">
    <w:nsid w:val="56FC3BCA"/>
    <w:multiLevelType w:val="hybridMultilevel"/>
    <w:tmpl w:val="4EDCD174"/>
    <w:numStyleLink w:val="ImportedStyle3"/>
  </w:abstractNum>
  <w:abstractNum w:abstractNumId="75" w15:restartNumberingAfterBreak="0">
    <w:nsid w:val="576B6EDD"/>
    <w:multiLevelType w:val="hybridMultilevel"/>
    <w:tmpl w:val="CB02A46C"/>
    <w:styleLink w:val="ImportedStyle17"/>
    <w:lvl w:ilvl="0" w:tplc="3DD471B0">
      <w:start w:val="1"/>
      <w:numFmt w:val="decimal"/>
      <w:lvlText w:val="%1."/>
      <w:lvlJc w:val="left"/>
      <w:pPr>
        <w:tabs>
          <w:tab w:val="left" w:pos="720"/>
          <w:tab w:val="num" w:pos="1440"/>
        </w:tabs>
        <w:ind w:left="84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tplc="D81C6766">
      <w:start w:val="1"/>
      <w:numFmt w:val="decimal"/>
      <w:lvlText w:val="%2."/>
      <w:lvlJc w:val="left"/>
      <w:pPr>
        <w:tabs>
          <w:tab w:val="left" w:pos="720"/>
          <w:tab w:val="num" w:pos="2160"/>
        </w:tabs>
        <w:ind w:left="156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tplc="4AF64B6C">
      <w:start w:val="1"/>
      <w:numFmt w:val="decimal"/>
      <w:lvlText w:val="%3."/>
      <w:lvlJc w:val="left"/>
      <w:pPr>
        <w:tabs>
          <w:tab w:val="left" w:pos="720"/>
          <w:tab w:val="num" w:pos="2880"/>
        </w:tabs>
        <w:ind w:left="228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tplc="E72C1F6A">
      <w:start w:val="1"/>
      <w:numFmt w:val="decimal"/>
      <w:lvlText w:val="%4."/>
      <w:lvlJc w:val="left"/>
      <w:pPr>
        <w:tabs>
          <w:tab w:val="left" w:pos="720"/>
          <w:tab w:val="num" w:pos="3600"/>
        </w:tabs>
        <w:ind w:left="300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tplc="68BA0C2C">
      <w:start w:val="1"/>
      <w:numFmt w:val="decimal"/>
      <w:lvlText w:val="%5."/>
      <w:lvlJc w:val="left"/>
      <w:pPr>
        <w:tabs>
          <w:tab w:val="left" w:pos="720"/>
          <w:tab w:val="num" w:pos="4320"/>
        </w:tabs>
        <w:ind w:left="372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tplc="33580C2C">
      <w:start w:val="1"/>
      <w:numFmt w:val="decimal"/>
      <w:lvlText w:val="%6."/>
      <w:lvlJc w:val="left"/>
      <w:pPr>
        <w:tabs>
          <w:tab w:val="left" w:pos="720"/>
          <w:tab w:val="num" w:pos="5040"/>
        </w:tabs>
        <w:ind w:left="444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tplc="6BF63144">
      <w:start w:val="1"/>
      <w:numFmt w:val="decimal"/>
      <w:lvlText w:val="%7."/>
      <w:lvlJc w:val="left"/>
      <w:pPr>
        <w:tabs>
          <w:tab w:val="left" w:pos="720"/>
          <w:tab w:val="num" w:pos="5760"/>
        </w:tabs>
        <w:ind w:left="516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tplc="626C3058">
      <w:start w:val="1"/>
      <w:numFmt w:val="decimal"/>
      <w:lvlText w:val="%8."/>
      <w:lvlJc w:val="left"/>
      <w:pPr>
        <w:tabs>
          <w:tab w:val="left" w:pos="720"/>
          <w:tab w:val="num" w:pos="6480"/>
        </w:tabs>
        <w:ind w:left="588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tplc="E8F6C66C">
      <w:start w:val="1"/>
      <w:numFmt w:val="decimal"/>
      <w:lvlText w:val="%9."/>
      <w:lvlJc w:val="left"/>
      <w:pPr>
        <w:tabs>
          <w:tab w:val="left" w:pos="720"/>
          <w:tab w:val="num" w:pos="7200"/>
        </w:tabs>
        <w:ind w:left="660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6" w15:restartNumberingAfterBreak="0">
    <w:nsid w:val="5CBA0B7D"/>
    <w:multiLevelType w:val="hybridMultilevel"/>
    <w:tmpl w:val="FDCADBC2"/>
    <w:styleLink w:val="ImportedStyle56"/>
    <w:lvl w:ilvl="0" w:tplc="57E08580">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E44848E">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D0AE596C">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F069F82">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DDC326C">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804B46E">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E148F46">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73E9364">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D00E980">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7" w15:restartNumberingAfterBreak="0">
    <w:nsid w:val="5E553E95"/>
    <w:multiLevelType w:val="hybridMultilevel"/>
    <w:tmpl w:val="28EE7C42"/>
    <w:styleLink w:val="ImportedStyle270"/>
    <w:lvl w:ilvl="0" w:tplc="89AC05B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A7A2DF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222AE9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2EAD89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B7474A8">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EC4307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3E2F1A6">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7263E0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6AED072">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8" w15:restartNumberingAfterBreak="0">
    <w:nsid w:val="5E6B6712"/>
    <w:multiLevelType w:val="hybridMultilevel"/>
    <w:tmpl w:val="C07037D4"/>
    <w:styleLink w:val="ImportedStyle65"/>
    <w:lvl w:ilvl="0" w:tplc="3C8081D8">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4CAE962">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7DCD196">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97233BE">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BF47D8C">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916B98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48E7D10">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9F4AE26">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688DDAE">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9" w15:restartNumberingAfterBreak="0">
    <w:nsid w:val="5FA91DA4"/>
    <w:multiLevelType w:val="hybridMultilevel"/>
    <w:tmpl w:val="9DAA0CE2"/>
    <w:styleLink w:val="ImportedStyle34"/>
    <w:lvl w:ilvl="0" w:tplc="7E6ED52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B7A26318">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26DB0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A44C76C">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74E67F8">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E88EFCC">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C7A7BEC">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618F5B4">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AC09B1A">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0" w15:restartNumberingAfterBreak="0">
    <w:nsid w:val="613F7669"/>
    <w:multiLevelType w:val="hybridMultilevel"/>
    <w:tmpl w:val="CD944952"/>
    <w:styleLink w:val="ImportedStyle58"/>
    <w:lvl w:ilvl="0" w:tplc="4326876C">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C88A0DE4">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6BCF5BA">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B8C1C68">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A784BA4">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DB855E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516430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7FC4944">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03060E4">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1" w15:restartNumberingAfterBreak="0">
    <w:nsid w:val="61C642B3"/>
    <w:multiLevelType w:val="hybridMultilevel"/>
    <w:tmpl w:val="18F84004"/>
    <w:styleLink w:val="ImportedStyle39"/>
    <w:lvl w:ilvl="0" w:tplc="448ADD1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D22264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DC20D12">
      <w:start w:val="1"/>
      <w:numFmt w:val="decimal"/>
      <w:lvlText w:val="%3."/>
      <w:lvlJc w:val="left"/>
      <w:pPr>
        <w:tabs>
          <w:tab w:val="num" w:pos="2160"/>
        </w:tabs>
        <w:ind w:left="192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E1FAF996">
      <w:start w:val="1"/>
      <w:numFmt w:val="decimal"/>
      <w:lvlText w:val="%4."/>
      <w:lvlJc w:val="left"/>
      <w:pPr>
        <w:tabs>
          <w:tab w:val="left" w:pos="2160"/>
          <w:tab w:val="num" w:pos="2880"/>
        </w:tabs>
        <w:ind w:left="264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3A4A854">
      <w:start w:val="1"/>
      <w:numFmt w:val="decimal"/>
      <w:lvlText w:val="%5."/>
      <w:lvlJc w:val="left"/>
      <w:pPr>
        <w:tabs>
          <w:tab w:val="left" w:pos="2160"/>
          <w:tab w:val="num" w:pos="3600"/>
        </w:tabs>
        <w:ind w:left="336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21C0DFE">
      <w:start w:val="1"/>
      <w:numFmt w:val="decimal"/>
      <w:lvlText w:val="%6."/>
      <w:lvlJc w:val="left"/>
      <w:pPr>
        <w:tabs>
          <w:tab w:val="left" w:pos="2160"/>
          <w:tab w:val="num" w:pos="4320"/>
        </w:tabs>
        <w:ind w:left="408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39CBC0E">
      <w:start w:val="1"/>
      <w:numFmt w:val="decimal"/>
      <w:lvlText w:val="%7."/>
      <w:lvlJc w:val="left"/>
      <w:pPr>
        <w:tabs>
          <w:tab w:val="left" w:pos="2160"/>
          <w:tab w:val="num" w:pos="5040"/>
        </w:tabs>
        <w:ind w:left="480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E24E582A">
      <w:start w:val="1"/>
      <w:numFmt w:val="decimal"/>
      <w:lvlText w:val="%8."/>
      <w:lvlJc w:val="left"/>
      <w:pPr>
        <w:tabs>
          <w:tab w:val="left" w:pos="2160"/>
          <w:tab w:val="num" w:pos="5760"/>
        </w:tabs>
        <w:ind w:left="552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BC0244CA">
      <w:start w:val="1"/>
      <w:numFmt w:val="decimal"/>
      <w:lvlText w:val="%9."/>
      <w:lvlJc w:val="left"/>
      <w:pPr>
        <w:tabs>
          <w:tab w:val="left" w:pos="2160"/>
          <w:tab w:val="num" w:pos="6480"/>
        </w:tabs>
        <w:ind w:left="624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15:restartNumberingAfterBreak="0">
    <w:nsid w:val="62255F3C"/>
    <w:multiLevelType w:val="hybridMultilevel"/>
    <w:tmpl w:val="83FE4220"/>
    <w:styleLink w:val="ImportedStyle11"/>
    <w:lvl w:ilvl="0" w:tplc="40DC8A9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A26112C">
      <w:start w:val="1"/>
      <w:numFmt w:val="decimal"/>
      <w:lvlText w:val="%2."/>
      <w:lvlJc w:val="left"/>
      <w:pPr>
        <w:tabs>
          <w:tab w:val="left" w:pos="72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6201348">
      <w:start w:val="1"/>
      <w:numFmt w:val="decimal"/>
      <w:lvlText w:val="%3."/>
      <w:lvlJc w:val="left"/>
      <w:pPr>
        <w:tabs>
          <w:tab w:val="left" w:pos="720"/>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0A8CDD80">
      <w:start w:val="1"/>
      <w:numFmt w:val="decimal"/>
      <w:lvlText w:val="%4."/>
      <w:lvlJc w:val="left"/>
      <w:pPr>
        <w:tabs>
          <w:tab w:val="left" w:pos="720"/>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E783BCA">
      <w:start w:val="1"/>
      <w:numFmt w:val="decimal"/>
      <w:lvlText w:val="%5."/>
      <w:lvlJc w:val="left"/>
      <w:pPr>
        <w:tabs>
          <w:tab w:val="left" w:pos="72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81C45A6">
      <w:start w:val="1"/>
      <w:numFmt w:val="decimal"/>
      <w:lvlText w:val="%6."/>
      <w:lvlJc w:val="left"/>
      <w:pPr>
        <w:tabs>
          <w:tab w:val="left" w:pos="720"/>
        </w:tabs>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80DE54C6">
      <w:start w:val="1"/>
      <w:numFmt w:val="decimal"/>
      <w:lvlText w:val="%7."/>
      <w:lvlJc w:val="left"/>
      <w:pPr>
        <w:tabs>
          <w:tab w:val="left" w:pos="720"/>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9AC84FE">
      <w:start w:val="1"/>
      <w:numFmt w:val="decimal"/>
      <w:lvlText w:val="%8."/>
      <w:lvlJc w:val="left"/>
      <w:pPr>
        <w:tabs>
          <w:tab w:val="left" w:pos="72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C04348E">
      <w:start w:val="1"/>
      <w:numFmt w:val="decimal"/>
      <w:lvlText w:val="%9."/>
      <w:lvlJc w:val="left"/>
      <w:pPr>
        <w:tabs>
          <w:tab w:val="left" w:pos="720"/>
        </w:tabs>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3" w15:restartNumberingAfterBreak="0">
    <w:nsid w:val="638C3096"/>
    <w:multiLevelType w:val="hybridMultilevel"/>
    <w:tmpl w:val="2D4C323A"/>
    <w:styleLink w:val="ImportedStyle22"/>
    <w:lvl w:ilvl="0" w:tplc="6B5AB78E">
      <w:start w:val="1"/>
      <w:numFmt w:val="decimal"/>
      <w:lvlText w:val="%1."/>
      <w:lvlJc w:val="left"/>
      <w:pPr>
        <w:tabs>
          <w:tab w:val="left" w:pos="2160"/>
        </w:tabs>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9CC5378">
      <w:start w:val="1"/>
      <w:numFmt w:val="decimal"/>
      <w:lvlText w:val="%2."/>
      <w:lvlJc w:val="left"/>
      <w:pPr>
        <w:tabs>
          <w:tab w:val="left" w:pos="216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3AA3D10">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368CC8C">
      <w:start w:val="1"/>
      <w:numFmt w:val="decimal"/>
      <w:lvlText w:val="%4."/>
      <w:lvlJc w:val="left"/>
      <w:pPr>
        <w:tabs>
          <w:tab w:val="left" w:pos="21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FE81C08">
      <w:start w:val="1"/>
      <w:numFmt w:val="decimal"/>
      <w:lvlText w:val="%5."/>
      <w:lvlJc w:val="left"/>
      <w:pPr>
        <w:tabs>
          <w:tab w:val="left" w:pos="216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F329154">
      <w:start w:val="1"/>
      <w:numFmt w:val="decimal"/>
      <w:lvlText w:val="%6."/>
      <w:lvlJc w:val="left"/>
      <w:pPr>
        <w:tabs>
          <w:tab w:val="left" w:pos="21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F74800C">
      <w:start w:val="1"/>
      <w:numFmt w:val="decimal"/>
      <w:lvlText w:val="%7."/>
      <w:lvlJc w:val="left"/>
      <w:pPr>
        <w:tabs>
          <w:tab w:val="left" w:pos="21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C24BF4">
      <w:start w:val="1"/>
      <w:numFmt w:val="decimal"/>
      <w:lvlText w:val="%8."/>
      <w:lvlJc w:val="left"/>
      <w:pPr>
        <w:tabs>
          <w:tab w:val="left" w:pos="21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0C3AE8">
      <w:start w:val="1"/>
      <w:numFmt w:val="decimal"/>
      <w:lvlText w:val="%9."/>
      <w:lvlJc w:val="left"/>
      <w:pPr>
        <w:tabs>
          <w:tab w:val="left" w:pos="21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15:restartNumberingAfterBreak="0">
    <w:nsid w:val="63F734B4"/>
    <w:multiLevelType w:val="hybridMultilevel"/>
    <w:tmpl w:val="58A8A20C"/>
    <w:styleLink w:val="ImportedStyle28"/>
    <w:lvl w:ilvl="0" w:tplc="45B22E2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F324864">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714D1C2">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16A0BC0">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1528876">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3EAD002">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7FA6A72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FB21D50">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D0E200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5" w15:restartNumberingAfterBreak="0">
    <w:nsid w:val="66290383"/>
    <w:multiLevelType w:val="hybridMultilevel"/>
    <w:tmpl w:val="AAB69198"/>
    <w:styleLink w:val="ImportedStyle260"/>
    <w:lvl w:ilvl="0" w:tplc="0C28B44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78E691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2743E9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47611E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DEAB0A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43248E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F0A514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7D2CC24">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E8C3DE8">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6" w15:restartNumberingAfterBreak="0">
    <w:nsid w:val="67FF744B"/>
    <w:multiLevelType w:val="hybridMultilevel"/>
    <w:tmpl w:val="49049F9E"/>
    <w:lvl w:ilvl="0" w:tplc="8892C3D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7" w15:restartNumberingAfterBreak="0">
    <w:nsid w:val="69AA748C"/>
    <w:multiLevelType w:val="hybridMultilevel"/>
    <w:tmpl w:val="FBC07898"/>
    <w:styleLink w:val="ImportedStyle16"/>
    <w:lvl w:ilvl="0" w:tplc="ED44E01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E8442F42">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85AC4CE">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87F44240">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1084E3CA">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733084B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9B2C01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264690E0">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A423E7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15:restartNumberingAfterBreak="0">
    <w:nsid w:val="6AD83FD8"/>
    <w:multiLevelType w:val="hybridMultilevel"/>
    <w:tmpl w:val="11C8A724"/>
    <w:styleLink w:val="ImportedStyle64"/>
    <w:lvl w:ilvl="0" w:tplc="BFDC0D70">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9505584">
      <w:start w:val="1"/>
      <w:numFmt w:val="bullet"/>
      <w:lvlText w:val="o"/>
      <w:lvlJc w:val="left"/>
      <w:pPr>
        <w:tabs>
          <w:tab w:val="num" w:pos="1440"/>
        </w:tabs>
        <w:ind w:left="12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BF6A2F8">
      <w:start w:val="1"/>
      <w:numFmt w:val="bullet"/>
      <w:lvlText w:val="▪"/>
      <w:lvlJc w:val="left"/>
      <w:pPr>
        <w:tabs>
          <w:tab w:val="left" w:pos="1440"/>
          <w:tab w:val="num" w:pos="2160"/>
        </w:tabs>
        <w:ind w:left="19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472B728">
      <w:start w:val="1"/>
      <w:numFmt w:val="bullet"/>
      <w:lvlText w:val="▪"/>
      <w:lvlJc w:val="left"/>
      <w:pPr>
        <w:tabs>
          <w:tab w:val="left" w:pos="1440"/>
          <w:tab w:val="num" w:pos="2880"/>
        </w:tabs>
        <w:ind w:left="26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AD2DA18">
      <w:start w:val="1"/>
      <w:numFmt w:val="bullet"/>
      <w:lvlText w:val="▪"/>
      <w:lvlJc w:val="left"/>
      <w:pPr>
        <w:tabs>
          <w:tab w:val="left" w:pos="1440"/>
          <w:tab w:val="num" w:pos="3600"/>
        </w:tabs>
        <w:ind w:left="33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99CF57C">
      <w:start w:val="1"/>
      <w:numFmt w:val="bullet"/>
      <w:lvlText w:val="▪"/>
      <w:lvlJc w:val="left"/>
      <w:pPr>
        <w:tabs>
          <w:tab w:val="left" w:pos="1440"/>
          <w:tab w:val="num" w:pos="4320"/>
        </w:tabs>
        <w:ind w:left="4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BE80DC0">
      <w:start w:val="1"/>
      <w:numFmt w:val="bullet"/>
      <w:lvlText w:val="▪"/>
      <w:lvlJc w:val="left"/>
      <w:pPr>
        <w:tabs>
          <w:tab w:val="left" w:pos="1440"/>
          <w:tab w:val="num" w:pos="5040"/>
        </w:tabs>
        <w:ind w:left="4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2AA7778">
      <w:start w:val="1"/>
      <w:numFmt w:val="bullet"/>
      <w:lvlText w:val="▪"/>
      <w:lvlJc w:val="left"/>
      <w:pPr>
        <w:tabs>
          <w:tab w:val="left" w:pos="1440"/>
          <w:tab w:val="num" w:pos="5760"/>
        </w:tabs>
        <w:ind w:left="5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74BEC8">
      <w:start w:val="1"/>
      <w:numFmt w:val="bullet"/>
      <w:lvlText w:val="▪"/>
      <w:lvlJc w:val="left"/>
      <w:pPr>
        <w:tabs>
          <w:tab w:val="left" w:pos="1440"/>
          <w:tab w:val="num" w:pos="6480"/>
        </w:tabs>
        <w:ind w:left="6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9" w15:restartNumberingAfterBreak="0">
    <w:nsid w:val="6B1E3D88"/>
    <w:multiLevelType w:val="hybridMultilevel"/>
    <w:tmpl w:val="92C65B06"/>
    <w:styleLink w:val="ImportedStyle9"/>
    <w:lvl w:ilvl="0" w:tplc="5DFE662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6C0D72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736AE2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74028D2">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1E884A4">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3C824E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40A7CC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91723B30">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0E087D0">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0" w15:restartNumberingAfterBreak="0">
    <w:nsid w:val="6C5670EF"/>
    <w:multiLevelType w:val="hybridMultilevel"/>
    <w:tmpl w:val="A880AE22"/>
    <w:styleLink w:val="ImportedStyle10"/>
    <w:lvl w:ilvl="0" w:tplc="D6E2275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B9CF87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C44F3C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CB0AB8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B7A5ED0">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AC09B6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2CC0E4C">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946BE5A">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718984A">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1" w15:restartNumberingAfterBreak="0">
    <w:nsid w:val="6C76417D"/>
    <w:multiLevelType w:val="hybridMultilevel"/>
    <w:tmpl w:val="22D8FEC6"/>
    <w:styleLink w:val="ImportedStyle23"/>
    <w:lvl w:ilvl="0" w:tplc="90B0196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FCA2024">
      <w:start w:val="1"/>
      <w:numFmt w:val="bullet"/>
      <w:lvlText w:val="o"/>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A96ADC6">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196C5E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532C9B4">
      <w:start w:val="1"/>
      <w:numFmt w:val="bullet"/>
      <w:lvlText w:val="o"/>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FA6446A">
      <w:start w:val="1"/>
      <w:numFmt w:val="bullet"/>
      <w:lvlText w:val="▪"/>
      <w:lvlJc w:val="left"/>
      <w:pPr>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C3247DA">
      <w:start w:val="1"/>
      <w:numFmt w:val="bullet"/>
      <w:lvlText w:val="•"/>
      <w:lvlJc w:val="left"/>
      <w:pPr>
        <w:ind w:left="8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B34F7A0">
      <w:start w:val="1"/>
      <w:numFmt w:val="bullet"/>
      <w:lvlText w:val="o"/>
      <w:lvlJc w:val="left"/>
      <w:pPr>
        <w:ind w:left="9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D787D2E">
      <w:start w:val="1"/>
      <w:numFmt w:val="bullet"/>
      <w:lvlText w:val="▪"/>
      <w:lvlJc w:val="left"/>
      <w:pPr>
        <w:ind w:left="10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2" w15:restartNumberingAfterBreak="0">
    <w:nsid w:val="6C8A4271"/>
    <w:multiLevelType w:val="hybridMultilevel"/>
    <w:tmpl w:val="52DE7E42"/>
    <w:styleLink w:val="ImportedStyle71"/>
    <w:lvl w:ilvl="0" w:tplc="2B68909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0AA0ED1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7F275D6">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1BA24F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E4E307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DFA5AF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A398698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C7E64DC">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50668E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3" w15:restartNumberingAfterBreak="0">
    <w:nsid w:val="6E016277"/>
    <w:multiLevelType w:val="hybridMultilevel"/>
    <w:tmpl w:val="7DC67EFC"/>
    <w:styleLink w:val="ImportedStyle62"/>
    <w:lvl w:ilvl="0" w:tplc="09B2375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3107872">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0FEC3198">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0B0AC0F8">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2063BFC">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EB4DDB8">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E0E15CC">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7C6605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708AD78">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15:restartNumberingAfterBreak="0">
    <w:nsid w:val="6E016B64"/>
    <w:multiLevelType w:val="hybridMultilevel"/>
    <w:tmpl w:val="744AB1D4"/>
    <w:styleLink w:val="ImportedStyle46"/>
    <w:lvl w:ilvl="0" w:tplc="9B8E177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86FC08A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F446CB0">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2A9CEFE2">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F76D34A">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6C88D26">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7972AA5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D808D3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A5CB730">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5" w15:restartNumberingAfterBreak="0">
    <w:nsid w:val="6F002AF9"/>
    <w:multiLevelType w:val="hybridMultilevel"/>
    <w:tmpl w:val="8BD28504"/>
    <w:styleLink w:val="ImportedStyle50"/>
    <w:lvl w:ilvl="0" w:tplc="74DA6B2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3E8AFA">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804BE62">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5E8644E">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274009A">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AE04752">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D826D6">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BF0E470">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BD80A36">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6" w15:restartNumberingAfterBreak="0">
    <w:nsid w:val="704672D3"/>
    <w:multiLevelType w:val="hybridMultilevel"/>
    <w:tmpl w:val="952AF4CC"/>
    <w:styleLink w:val="ImportedStyle630"/>
    <w:lvl w:ilvl="0" w:tplc="D9B226C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77C6F14">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2A823D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E48DD5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E0AF36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E0ECB9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74C20B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54AE70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E7E257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7" w15:restartNumberingAfterBreak="0">
    <w:nsid w:val="708166BD"/>
    <w:multiLevelType w:val="hybridMultilevel"/>
    <w:tmpl w:val="5A1C538E"/>
    <w:styleLink w:val="ImportedStyle310"/>
    <w:lvl w:ilvl="0" w:tplc="F556AE16">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BB0ACD0">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24DEAFEA">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ECE2862">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D707D88">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44E9CD4">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CE6F896">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064C516">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3A6941A">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8" w15:restartNumberingAfterBreak="0">
    <w:nsid w:val="719366BB"/>
    <w:multiLevelType w:val="hybridMultilevel"/>
    <w:tmpl w:val="DE480CCE"/>
    <w:styleLink w:val="ImportedStyle15"/>
    <w:lvl w:ilvl="0" w:tplc="9BD0F29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382E94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72CD82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EB6A3B4">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EF4CD2A">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96A20E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C16601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F96B638">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FB4962A">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9" w15:restartNumberingAfterBreak="0">
    <w:nsid w:val="72556D88"/>
    <w:multiLevelType w:val="hybridMultilevel"/>
    <w:tmpl w:val="754C67D6"/>
    <w:styleLink w:val="ImportedStyle1"/>
    <w:lvl w:ilvl="0" w:tplc="0D1E98AC">
      <w:start w:val="1"/>
      <w:numFmt w:val="bullet"/>
      <w:lvlText w:val="·"/>
      <w:lvlJc w:val="left"/>
      <w:pPr>
        <w:tabs>
          <w:tab w:val="num" w:pos="720"/>
        </w:tabs>
        <w:ind w:left="585"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022E5E6">
      <w:start w:val="1"/>
      <w:numFmt w:val="bullet"/>
      <w:lvlText w:val="o"/>
      <w:lvlJc w:val="left"/>
      <w:pPr>
        <w:ind w:left="130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E7EFB0A">
      <w:start w:val="1"/>
      <w:numFmt w:val="bullet"/>
      <w:lvlText w:val="▪"/>
      <w:lvlJc w:val="left"/>
      <w:pPr>
        <w:tabs>
          <w:tab w:val="left" w:pos="720"/>
        </w:tabs>
        <w:ind w:left="202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346C082">
      <w:start w:val="1"/>
      <w:numFmt w:val="bullet"/>
      <w:lvlText w:val="▪"/>
      <w:lvlJc w:val="left"/>
      <w:pPr>
        <w:tabs>
          <w:tab w:val="left" w:pos="720"/>
        </w:tabs>
        <w:ind w:left="274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4D0073C">
      <w:start w:val="1"/>
      <w:numFmt w:val="bullet"/>
      <w:lvlText w:val="▪"/>
      <w:lvlJc w:val="left"/>
      <w:pPr>
        <w:tabs>
          <w:tab w:val="left" w:pos="720"/>
        </w:tabs>
        <w:ind w:left="346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7BC17AC">
      <w:start w:val="1"/>
      <w:numFmt w:val="bullet"/>
      <w:lvlText w:val="▪"/>
      <w:lvlJc w:val="left"/>
      <w:pPr>
        <w:tabs>
          <w:tab w:val="left" w:pos="720"/>
        </w:tabs>
        <w:ind w:left="418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4060ABC">
      <w:start w:val="1"/>
      <w:numFmt w:val="bullet"/>
      <w:lvlText w:val="▪"/>
      <w:lvlJc w:val="left"/>
      <w:pPr>
        <w:tabs>
          <w:tab w:val="left" w:pos="720"/>
        </w:tabs>
        <w:ind w:left="490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96011EC">
      <w:start w:val="1"/>
      <w:numFmt w:val="bullet"/>
      <w:lvlText w:val="▪"/>
      <w:lvlJc w:val="left"/>
      <w:pPr>
        <w:tabs>
          <w:tab w:val="left" w:pos="720"/>
        </w:tabs>
        <w:ind w:left="562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C788522">
      <w:start w:val="1"/>
      <w:numFmt w:val="bullet"/>
      <w:lvlText w:val="▪"/>
      <w:lvlJc w:val="left"/>
      <w:pPr>
        <w:tabs>
          <w:tab w:val="left" w:pos="720"/>
        </w:tabs>
        <w:ind w:left="634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0" w15:restartNumberingAfterBreak="0">
    <w:nsid w:val="73BA74F9"/>
    <w:multiLevelType w:val="hybridMultilevel"/>
    <w:tmpl w:val="AE1E216E"/>
    <w:styleLink w:val="ImportedStyle41"/>
    <w:lvl w:ilvl="0" w:tplc="021A2126">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F2EE57C4">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8C6E5E6">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9B009F2">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10AFD9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8A2CBDE">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77CAE3EE">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474F886">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E347F74">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1" w15:restartNumberingAfterBreak="0">
    <w:nsid w:val="760A2BFE"/>
    <w:multiLevelType w:val="hybridMultilevel"/>
    <w:tmpl w:val="CEDA0286"/>
    <w:styleLink w:val="ImportedStyle53"/>
    <w:lvl w:ilvl="0" w:tplc="3EBC27B4">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A7A02C5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6422A4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990E3B0">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7D46FD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5DE3D2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C68107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C7829F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522CC0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2" w15:restartNumberingAfterBreak="0">
    <w:nsid w:val="76654875"/>
    <w:multiLevelType w:val="hybridMultilevel"/>
    <w:tmpl w:val="00C6268A"/>
    <w:styleLink w:val="ImportedStyle80"/>
    <w:lvl w:ilvl="0" w:tplc="FDCC13CC">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BF04F1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096EF7E">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D14188C">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CA25CF0">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E4391A">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294F702">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A9C6264">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3A65FAA">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3" w15:restartNumberingAfterBreak="0">
    <w:nsid w:val="7ACB0ED1"/>
    <w:multiLevelType w:val="hybridMultilevel"/>
    <w:tmpl w:val="2F5EA3B2"/>
    <w:styleLink w:val="ImportedStyle36"/>
    <w:lvl w:ilvl="0" w:tplc="6C009414">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AEEDAA0">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E968ECDA">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DFA7906">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CD49458">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E200F76">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91A3A30">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494B42A">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1ECB2F0">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4" w15:restartNumberingAfterBreak="0">
    <w:nsid w:val="7D673B8B"/>
    <w:multiLevelType w:val="hybridMultilevel"/>
    <w:tmpl w:val="03669B46"/>
    <w:styleLink w:val="ImportedStyle75"/>
    <w:lvl w:ilvl="0" w:tplc="3D486D7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F04A7C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0844630">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51A19C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C248A6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7E89B34">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5D64634">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170AC9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30931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99"/>
  </w:num>
  <w:num w:numId="2">
    <w:abstractNumId w:val="52"/>
  </w:num>
  <w:num w:numId="3">
    <w:abstractNumId w:val="29"/>
  </w:num>
  <w:num w:numId="4">
    <w:abstractNumId w:val="74"/>
  </w:num>
  <w:num w:numId="5">
    <w:abstractNumId w:val="36"/>
  </w:num>
  <w:num w:numId="6">
    <w:abstractNumId w:val="34"/>
  </w:num>
  <w:num w:numId="7">
    <w:abstractNumId w:val="19"/>
  </w:num>
  <w:num w:numId="8">
    <w:abstractNumId w:val="51"/>
  </w:num>
  <w:num w:numId="9">
    <w:abstractNumId w:val="89"/>
  </w:num>
  <w:num w:numId="10">
    <w:abstractNumId w:val="90"/>
  </w:num>
  <w:num w:numId="11">
    <w:abstractNumId w:val="82"/>
  </w:num>
  <w:num w:numId="12">
    <w:abstractNumId w:val="4"/>
  </w:num>
  <w:num w:numId="13">
    <w:abstractNumId w:val="12"/>
  </w:num>
  <w:num w:numId="14">
    <w:abstractNumId w:val="22"/>
  </w:num>
  <w:num w:numId="15">
    <w:abstractNumId w:val="98"/>
  </w:num>
  <w:num w:numId="16">
    <w:abstractNumId w:val="87"/>
  </w:num>
  <w:num w:numId="17">
    <w:abstractNumId w:val="39"/>
  </w:num>
  <w:num w:numId="18">
    <w:abstractNumId w:val="75"/>
  </w:num>
  <w:num w:numId="19">
    <w:abstractNumId w:val="1"/>
  </w:num>
  <w:num w:numId="20">
    <w:abstractNumId w:val="23"/>
  </w:num>
  <w:num w:numId="21">
    <w:abstractNumId w:val="61"/>
  </w:num>
  <w:num w:numId="22">
    <w:abstractNumId w:val="35"/>
  </w:num>
  <w:num w:numId="23">
    <w:abstractNumId w:val="50"/>
  </w:num>
  <w:num w:numId="24">
    <w:abstractNumId w:val="62"/>
  </w:num>
  <w:num w:numId="25">
    <w:abstractNumId w:val="83"/>
  </w:num>
  <w:num w:numId="26">
    <w:abstractNumId w:val="91"/>
  </w:num>
  <w:num w:numId="27">
    <w:abstractNumId w:val="21"/>
  </w:num>
  <w:num w:numId="28">
    <w:abstractNumId w:val="3"/>
  </w:num>
  <w:num w:numId="29">
    <w:abstractNumId w:val="46"/>
  </w:num>
  <w:num w:numId="30">
    <w:abstractNumId w:val="85"/>
  </w:num>
  <w:num w:numId="31">
    <w:abstractNumId w:val="9"/>
  </w:num>
  <w:num w:numId="32">
    <w:abstractNumId w:val="77"/>
  </w:num>
  <w:num w:numId="33">
    <w:abstractNumId w:val="84"/>
  </w:num>
  <w:num w:numId="34">
    <w:abstractNumId w:val="40"/>
  </w:num>
  <w:num w:numId="35">
    <w:abstractNumId w:val="0"/>
  </w:num>
  <w:num w:numId="36">
    <w:abstractNumId w:val="57"/>
  </w:num>
  <w:num w:numId="37">
    <w:abstractNumId w:val="45"/>
  </w:num>
  <w:num w:numId="38">
    <w:abstractNumId w:val="97"/>
  </w:num>
  <w:num w:numId="39">
    <w:abstractNumId w:val="48"/>
  </w:num>
  <w:num w:numId="40">
    <w:abstractNumId w:val="5"/>
  </w:num>
  <w:num w:numId="41">
    <w:abstractNumId w:val="49"/>
  </w:num>
  <w:num w:numId="42">
    <w:abstractNumId w:val="79"/>
  </w:num>
  <w:num w:numId="43">
    <w:abstractNumId w:val="66"/>
  </w:num>
  <w:num w:numId="44">
    <w:abstractNumId w:val="103"/>
  </w:num>
  <w:num w:numId="45">
    <w:abstractNumId w:val="31"/>
  </w:num>
  <w:num w:numId="46">
    <w:abstractNumId w:val="55"/>
  </w:num>
  <w:num w:numId="47">
    <w:abstractNumId w:val="38"/>
  </w:num>
  <w:num w:numId="48">
    <w:abstractNumId w:val="20"/>
  </w:num>
  <w:num w:numId="49">
    <w:abstractNumId w:val="16"/>
  </w:num>
  <w:num w:numId="50">
    <w:abstractNumId w:val="81"/>
  </w:num>
  <w:num w:numId="51">
    <w:abstractNumId w:val="68"/>
  </w:num>
  <w:num w:numId="52">
    <w:abstractNumId w:val="100"/>
  </w:num>
  <w:num w:numId="53">
    <w:abstractNumId w:val="73"/>
  </w:num>
  <w:num w:numId="54">
    <w:abstractNumId w:val="41"/>
  </w:num>
  <w:num w:numId="55">
    <w:abstractNumId w:val="14"/>
  </w:num>
  <w:num w:numId="56">
    <w:abstractNumId w:val="26"/>
  </w:num>
  <w:num w:numId="57">
    <w:abstractNumId w:val="94"/>
  </w:num>
  <w:num w:numId="58">
    <w:abstractNumId w:val="32"/>
  </w:num>
  <w:num w:numId="59">
    <w:abstractNumId w:val="33"/>
  </w:num>
  <w:num w:numId="60">
    <w:abstractNumId w:val="70"/>
  </w:num>
  <w:num w:numId="61">
    <w:abstractNumId w:val="10"/>
  </w:num>
  <w:num w:numId="62">
    <w:abstractNumId w:val="95"/>
  </w:num>
  <w:num w:numId="63">
    <w:abstractNumId w:val="13"/>
  </w:num>
  <w:num w:numId="64">
    <w:abstractNumId w:val="63"/>
  </w:num>
  <w:num w:numId="65">
    <w:abstractNumId w:val="101"/>
  </w:num>
  <w:num w:numId="66">
    <w:abstractNumId w:val="7"/>
  </w:num>
  <w:num w:numId="67">
    <w:abstractNumId w:val="53"/>
  </w:num>
  <w:num w:numId="68">
    <w:abstractNumId w:val="76"/>
  </w:num>
  <w:num w:numId="69">
    <w:abstractNumId w:val="71"/>
  </w:num>
  <w:num w:numId="70">
    <w:abstractNumId w:val="80"/>
  </w:num>
  <w:num w:numId="71">
    <w:abstractNumId w:val="56"/>
  </w:num>
  <w:num w:numId="72">
    <w:abstractNumId w:val="37"/>
  </w:num>
  <w:num w:numId="73">
    <w:abstractNumId w:val="58"/>
  </w:num>
  <w:num w:numId="74">
    <w:abstractNumId w:val="11"/>
  </w:num>
  <w:num w:numId="75">
    <w:abstractNumId w:val="28"/>
  </w:num>
  <w:num w:numId="76">
    <w:abstractNumId w:val="93"/>
  </w:num>
  <w:num w:numId="77">
    <w:abstractNumId w:val="30"/>
  </w:num>
  <w:num w:numId="78">
    <w:abstractNumId w:val="96"/>
  </w:num>
  <w:num w:numId="79">
    <w:abstractNumId w:val="88"/>
  </w:num>
  <w:num w:numId="80">
    <w:abstractNumId w:val="78"/>
  </w:num>
  <w:num w:numId="81">
    <w:abstractNumId w:val="67"/>
  </w:num>
  <w:num w:numId="82">
    <w:abstractNumId w:val="59"/>
  </w:num>
  <w:num w:numId="83">
    <w:abstractNumId w:val="60"/>
  </w:num>
  <w:num w:numId="84">
    <w:abstractNumId w:val="24"/>
  </w:num>
  <w:num w:numId="85">
    <w:abstractNumId w:val="8"/>
  </w:num>
  <w:num w:numId="86">
    <w:abstractNumId w:val="92"/>
  </w:num>
  <w:num w:numId="87">
    <w:abstractNumId w:val="69"/>
  </w:num>
  <w:num w:numId="88">
    <w:abstractNumId w:val="15"/>
  </w:num>
  <w:num w:numId="89">
    <w:abstractNumId w:val="54"/>
  </w:num>
  <w:num w:numId="90">
    <w:abstractNumId w:val="17"/>
  </w:num>
  <w:num w:numId="91">
    <w:abstractNumId w:val="25"/>
  </w:num>
  <w:num w:numId="92">
    <w:abstractNumId w:val="104"/>
  </w:num>
  <w:num w:numId="93">
    <w:abstractNumId w:val="43"/>
  </w:num>
  <w:num w:numId="94">
    <w:abstractNumId w:val="65"/>
  </w:num>
  <w:num w:numId="95">
    <w:abstractNumId w:val="44"/>
  </w:num>
  <w:num w:numId="96">
    <w:abstractNumId w:val="72"/>
  </w:num>
  <w:num w:numId="97">
    <w:abstractNumId w:val="47"/>
  </w:num>
  <w:num w:numId="98">
    <w:abstractNumId w:val="18"/>
  </w:num>
  <w:num w:numId="99">
    <w:abstractNumId w:val="102"/>
  </w:num>
  <w:num w:numId="100">
    <w:abstractNumId w:val="6"/>
  </w:num>
  <w:num w:numId="101">
    <w:abstractNumId w:val="27"/>
  </w:num>
  <w:num w:numId="102">
    <w:abstractNumId w:val="42"/>
  </w:num>
  <w:num w:numId="103">
    <w:abstractNumId w:val="2"/>
  </w:num>
  <w:num w:numId="104">
    <w:abstractNumId w:val="86"/>
  </w:num>
  <w:num w:numId="105">
    <w:abstractNumId w:val="64"/>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98D"/>
    <w:rsid w:val="00004508"/>
    <w:rsid w:val="0001645D"/>
    <w:rsid w:val="000204D4"/>
    <w:rsid w:val="00026A3D"/>
    <w:rsid w:val="000312EE"/>
    <w:rsid w:val="00032B74"/>
    <w:rsid w:val="000354E5"/>
    <w:rsid w:val="00036E86"/>
    <w:rsid w:val="00051D11"/>
    <w:rsid w:val="00051FA9"/>
    <w:rsid w:val="00056C0C"/>
    <w:rsid w:val="00080308"/>
    <w:rsid w:val="00081E3F"/>
    <w:rsid w:val="00082D60"/>
    <w:rsid w:val="00087544"/>
    <w:rsid w:val="00087F6F"/>
    <w:rsid w:val="00091862"/>
    <w:rsid w:val="000923FD"/>
    <w:rsid w:val="000C53BB"/>
    <w:rsid w:val="000D5423"/>
    <w:rsid w:val="000E226C"/>
    <w:rsid w:val="000F0F48"/>
    <w:rsid w:val="000F6DA2"/>
    <w:rsid w:val="001000B5"/>
    <w:rsid w:val="00104DAB"/>
    <w:rsid w:val="00105421"/>
    <w:rsid w:val="00106D1D"/>
    <w:rsid w:val="00110B4C"/>
    <w:rsid w:val="0011192F"/>
    <w:rsid w:val="00124906"/>
    <w:rsid w:val="00133152"/>
    <w:rsid w:val="00135932"/>
    <w:rsid w:val="00141CC9"/>
    <w:rsid w:val="001474ED"/>
    <w:rsid w:val="0015702B"/>
    <w:rsid w:val="0015780A"/>
    <w:rsid w:val="00162C76"/>
    <w:rsid w:val="00171F69"/>
    <w:rsid w:val="00185C40"/>
    <w:rsid w:val="001948C8"/>
    <w:rsid w:val="001A090A"/>
    <w:rsid w:val="001A272F"/>
    <w:rsid w:val="001B5ECE"/>
    <w:rsid w:val="001C0DED"/>
    <w:rsid w:val="001C27B4"/>
    <w:rsid w:val="001C4902"/>
    <w:rsid w:val="001D2092"/>
    <w:rsid w:val="001D2B34"/>
    <w:rsid w:val="00203130"/>
    <w:rsid w:val="00213972"/>
    <w:rsid w:val="002235E0"/>
    <w:rsid w:val="00225800"/>
    <w:rsid w:val="00230614"/>
    <w:rsid w:val="002340B7"/>
    <w:rsid w:val="0024373D"/>
    <w:rsid w:val="002458E2"/>
    <w:rsid w:val="00246F5C"/>
    <w:rsid w:val="0026353F"/>
    <w:rsid w:val="00264D99"/>
    <w:rsid w:val="00270FF4"/>
    <w:rsid w:val="0027512B"/>
    <w:rsid w:val="0028410E"/>
    <w:rsid w:val="002944B4"/>
    <w:rsid w:val="0029598D"/>
    <w:rsid w:val="00295DC3"/>
    <w:rsid w:val="002B1295"/>
    <w:rsid w:val="002B2A8C"/>
    <w:rsid w:val="002B2A9B"/>
    <w:rsid w:val="002B60D1"/>
    <w:rsid w:val="002C20CA"/>
    <w:rsid w:val="002D0CBA"/>
    <w:rsid w:val="002D2574"/>
    <w:rsid w:val="002E41B9"/>
    <w:rsid w:val="002F28C5"/>
    <w:rsid w:val="003047AA"/>
    <w:rsid w:val="00306866"/>
    <w:rsid w:val="00307367"/>
    <w:rsid w:val="00317016"/>
    <w:rsid w:val="0031765E"/>
    <w:rsid w:val="0032065F"/>
    <w:rsid w:val="00327D63"/>
    <w:rsid w:val="00334365"/>
    <w:rsid w:val="00345C74"/>
    <w:rsid w:val="00376227"/>
    <w:rsid w:val="003C4857"/>
    <w:rsid w:val="003E1F89"/>
    <w:rsid w:val="003E757A"/>
    <w:rsid w:val="003F1FC2"/>
    <w:rsid w:val="004001EC"/>
    <w:rsid w:val="004066DE"/>
    <w:rsid w:val="004214B7"/>
    <w:rsid w:val="00421E61"/>
    <w:rsid w:val="004247CB"/>
    <w:rsid w:val="004301FB"/>
    <w:rsid w:val="0043280B"/>
    <w:rsid w:val="0044593F"/>
    <w:rsid w:val="0045211C"/>
    <w:rsid w:val="00452908"/>
    <w:rsid w:val="004609B8"/>
    <w:rsid w:val="00461C07"/>
    <w:rsid w:val="0046637A"/>
    <w:rsid w:val="00472796"/>
    <w:rsid w:val="00482E4C"/>
    <w:rsid w:val="00486C97"/>
    <w:rsid w:val="00493B03"/>
    <w:rsid w:val="00495238"/>
    <w:rsid w:val="004B1AFD"/>
    <w:rsid w:val="004C7900"/>
    <w:rsid w:val="004D7C11"/>
    <w:rsid w:val="004E6C18"/>
    <w:rsid w:val="005009BA"/>
    <w:rsid w:val="00503ECC"/>
    <w:rsid w:val="00524661"/>
    <w:rsid w:val="00531553"/>
    <w:rsid w:val="00534BA1"/>
    <w:rsid w:val="00544A5B"/>
    <w:rsid w:val="00545067"/>
    <w:rsid w:val="005457BB"/>
    <w:rsid w:val="00545E42"/>
    <w:rsid w:val="00550EB9"/>
    <w:rsid w:val="00561629"/>
    <w:rsid w:val="005A2A94"/>
    <w:rsid w:val="005A2B7B"/>
    <w:rsid w:val="005A30DC"/>
    <w:rsid w:val="005A5A45"/>
    <w:rsid w:val="005B425F"/>
    <w:rsid w:val="005C4420"/>
    <w:rsid w:val="005D0A08"/>
    <w:rsid w:val="005D6673"/>
    <w:rsid w:val="005E6B14"/>
    <w:rsid w:val="005E79C8"/>
    <w:rsid w:val="00602747"/>
    <w:rsid w:val="00602F33"/>
    <w:rsid w:val="00612B3C"/>
    <w:rsid w:val="00634C29"/>
    <w:rsid w:val="00640AEC"/>
    <w:rsid w:val="00641CF8"/>
    <w:rsid w:val="00646AB4"/>
    <w:rsid w:val="006524C0"/>
    <w:rsid w:val="00674D95"/>
    <w:rsid w:val="00680E97"/>
    <w:rsid w:val="00681B31"/>
    <w:rsid w:val="00695EBF"/>
    <w:rsid w:val="0069620E"/>
    <w:rsid w:val="006A2EC1"/>
    <w:rsid w:val="006A4770"/>
    <w:rsid w:val="006B6408"/>
    <w:rsid w:val="006C4436"/>
    <w:rsid w:val="006C634D"/>
    <w:rsid w:val="006D08A6"/>
    <w:rsid w:val="006D190E"/>
    <w:rsid w:val="006D1F19"/>
    <w:rsid w:val="006D5ACA"/>
    <w:rsid w:val="006D785B"/>
    <w:rsid w:val="006E72AE"/>
    <w:rsid w:val="006F4F20"/>
    <w:rsid w:val="006F7D53"/>
    <w:rsid w:val="00700182"/>
    <w:rsid w:val="00704D45"/>
    <w:rsid w:val="007103E2"/>
    <w:rsid w:val="00743A61"/>
    <w:rsid w:val="00756AF5"/>
    <w:rsid w:val="00777C41"/>
    <w:rsid w:val="0078655F"/>
    <w:rsid w:val="007955C6"/>
    <w:rsid w:val="007A0482"/>
    <w:rsid w:val="007B0DB1"/>
    <w:rsid w:val="007B1236"/>
    <w:rsid w:val="007C700C"/>
    <w:rsid w:val="007C771A"/>
    <w:rsid w:val="007D1913"/>
    <w:rsid w:val="007D1FB3"/>
    <w:rsid w:val="007E264E"/>
    <w:rsid w:val="007F281D"/>
    <w:rsid w:val="007F4342"/>
    <w:rsid w:val="00803C62"/>
    <w:rsid w:val="00814AA1"/>
    <w:rsid w:val="00821656"/>
    <w:rsid w:val="008238FE"/>
    <w:rsid w:val="00824283"/>
    <w:rsid w:val="00835EF6"/>
    <w:rsid w:val="008360E9"/>
    <w:rsid w:val="008500B8"/>
    <w:rsid w:val="008501E8"/>
    <w:rsid w:val="008565BF"/>
    <w:rsid w:val="008615E2"/>
    <w:rsid w:val="00877AD0"/>
    <w:rsid w:val="00885DDE"/>
    <w:rsid w:val="00895C2C"/>
    <w:rsid w:val="008A24E4"/>
    <w:rsid w:val="008B4E03"/>
    <w:rsid w:val="008D2016"/>
    <w:rsid w:val="008D69A0"/>
    <w:rsid w:val="008D7618"/>
    <w:rsid w:val="008E2236"/>
    <w:rsid w:val="008E3F74"/>
    <w:rsid w:val="008F3C80"/>
    <w:rsid w:val="008F4442"/>
    <w:rsid w:val="008F5B6D"/>
    <w:rsid w:val="00900A21"/>
    <w:rsid w:val="00913D36"/>
    <w:rsid w:val="009175F0"/>
    <w:rsid w:val="00927045"/>
    <w:rsid w:val="00931951"/>
    <w:rsid w:val="00932FC5"/>
    <w:rsid w:val="009336EA"/>
    <w:rsid w:val="00936642"/>
    <w:rsid w:val="00946189"/>
    <w:rsid w:val="009520F9"/>
    <w:rsid w:val="00953576"/>
    <w:rsid w:val="00963ABC"/>
    <w:rsid w:val="009706A7"/>
    <w:rsid w:val="00970B0E"/>
    <w:rsid w:val="0097652C"/>
    <w:rsid w:val="00985A39"/>
    <w:rsid w:val="00986807"/>
    <w:rsid w:val="009B54E2"/>
    <w:rsid w:val="009C2CE5"/>
    <w:rsid w:val="009D0752"/>
    <w:rsid w:val="009D5976"/>
    <w:rsid w:val="00A013D2"/>
    <w:rsid w:val="00A04981"/>
    <w:rsid w:val="00A125A3"/>
    <w:rsid w:val="00A13AD4"/>
    <w:rsid w:val="00A24DA4"/>
    <w:rsid w:val="00A367EF"/>
    <w:rsid w:val="00A66397"/>
    <w:rsid w:val="00A971DD"/>
    <w:rsid w:val="00AA0453"/>
    <w:rsid w:val="00AA3BEE"/>
    <w:rsid w:val="00AB104A"/>
    <w:rsid w:val="00AB38A8"/>
    <w:rsid w:val="00AC307B"/>
    <w:rsid w:val="00AC6336"/>
    <w:rsid w:val="00AC7431"/>
    <w:rsid w:val="00AD213C"/>
    <w:rsid w:val="00AD3120"/>
    <w:rsid w:val="00AD52A6"/>
    <w:rsid w:val="00AD5505"/>
    <w:rsid w:val="00AE0BBC"/>
    <w:rsid w:val="00AF17E5"/>
    <w:rsid w:val="00AF2EEE"/>
    <w:rsid w:val="00B01569"/>
    <w:rsid w:val="00B10744"/>
    <w:rsid w:val="00B17CF1"/>
    <w:rsid w:val="00B3220F"/>
    <w:rsid w:val="00B32D40"/>
    <w:rsid w:val="00B35379"/>
    <w:rsid w:val="00B44756"/>
    <w:rsid w:val="00B449A4"/>
    <w:rsid w:val="00B4642F"/>
    <w:rsid w:val="00B5047B"/>
    <w:rsid w:val="00B544C9"/>
    <w:rsid w:val="00B6015D"/>
    <w:rsid w:val="00B70C42"/>
    <w:rsid w:val="00B77F37"/>
    <w:rsid w:val="00B817EC"/>
    <w:rsid w:val="00BD2A8C"/>
    <w:rsid w:val="00BD4C0C"/>
    <w:rsid w:val="00BD55C4"/>
    <w:rsid w:val="00BD72D3"/>
    <w:rsid w:val="00BE1F50"/>
    <w:rsid w:val="00BF13D9"/>
    <w:rsid w:val="00C00D1F"/>
    <w:rsid w:val="00C011DE"/>
    <w:rsid w:val="00C04169"/>
    <w:rsid w:val="00C05DAB"/>
    <w:rsid w:val="00C34999"/>
    <w:rsid w:val="00C404A6"/>
    <w:rsid w:val="00C621C6"/>
    <w:rsid w:val="00C66C6E"/>
    <w:rsid w:val="00C97E11"/>
    <w:rsid w:val="00CC2E6E"/>
    <w:rsid w:val="00CD0922"/>
    <w:rsid w:val="00CD4218"/>
    <w:rsid w:val="00CD6B66"/>
    <w:rsid w:val="00CE20C9"/>
    <w:rsid w:val="00CE70AA"/>
    <w:rsid w:val="00CF2B08"/>
    <w:rsid w:val="00D07EEF"/>
    <w:rsid w:val="00D1288A"/>
    <w:rsid w:val="00D20719"/>
    <w:rsid w:val="00D26369"/>
    <w:rsid w:val="00D40049"/>
    <w:rsid w:val="00D44C4A"/>
    <w:rsid w:val="00D569D1"/>
    <w:rsid w:val="00D65D2A"/>
    <w:rsid w:val="00D76528"/>
    <w:rsid w:val="00D765DF"/>
    <w:rsid w:val="00D85501"/>
    <w:rsid w:val="00D85A10"/>
    <w:rsid w:val="00D87112"/>
    <w:rsid w:val="00D920A0"/>
    <w:rsid w:val="00D955EC"/>
    <w:rsid w:val="00D95AC6"/>
    <w:rsid w:val="00D96642"/>
    <w:rsid w:val="00DA6B1D"/>
    <w:rsid w:val="00DB39A5"/>
    <w:rsid w:val="00DB7B3F"/>
    <w:rsid w:val="00DC1022"/>
    <w:rsid w:val="00DD1BAE"/>
    <w:rsid w:val="00DD7388"/>
    <w:rsid w:val="00DD7A0D"/>
    <w:rsid w:val="00DE230B"/>
    <w:rsid w:val="00E030BE"/>
    <w:rsid w:val="00E043B4"/>
    <w:rsid w:val="00E04D71"/>
    <w:rsid w:val="00E04DBD"/>
    <w:rsid w:val="00E05549"/>
    <w:rsid w:val="00E10BE8"/>
    <w:rsid w:val="00E11722"/>
    <w:rsid w:val="00E22053"/>
    <w:rsid w:val="00E232B0"/>
    <w:rsid w:val="00E23AB6"/>
    <w:rsid w:val="00E255D8"/>
    <w:rsid w:val="00E5393B"/>
    <w:rsid w:val="00E543E4"/>
    <w:rsid w:val="00E573F1"/>
    <w:rsid w:val="00E6485F"/>
    <w:rsid w:val="00E66143"/>
    <w:rsid w:val="00E86E8D"/>
    <w:rsid w:val="00E86F73"/>
    <w:rsid w:val="00E9398D"/>
    <w:rsid w:val="00EA1B28"/>
    <w:rsid w:val="00EA3E0C"/>
    <w:rsid w:val="00EA5DE9"/>
    <w:rsid w:val="00EB565E"/>
    <w:rsid w:val="00EB6A8F"/>
    <w:rsid w:val="00ED04F0"/>
    <w:rsid w:val="00ED0BA6"/>
    <w:rsid w:val="00ED6A7C"/>
    <w:rsid w:val="00EE6733"/>
    <w:rsid w:val="00F00F95"/>
    <w:rsid w:val="00F05F38"/>
    <w:rsid w:val="00F34925"/>
    <w:rsid w:val="00F37BED"/>
    <w:rsid w:val="00F4172D"/>
    <w:rsid w:val="00F43D27"/>
    <w:rsid w:val="00F51A16"/>
    <w:rsid w:val="00F55224"/>
    <w:rsid w:val="00F619FF"/>
    <w:rsid w:val="00F71DF4"/>
    <w:rsid w:val="00F85F2C"/>
    <w:rsid w:val="00FA58FE"/>
    <w:rsid w:val="00FB2541"/>
    <w:rsid w:val="00FC138E"/>
    <w:rsid w:val="00FD142D"/>
    <w:rsid w:val="00FF6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227D"/>
  <w15:chartTrackingRefBased/>
  <w15:docId w15:val="{F3105301-1489-455D-8D76-18B59005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4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9398D"/>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F5496" w:themeColor="accent1" w:themeShade="BF"/>
      <w:sz w:val="32"/>
      <w:szCs w:val="32"/>
      <w:bdr w:val="nil"/>
    </w:rPr>
  </w:style>
  <w:style w:type="paragraph" w:styleId="Heading2">
    <w:name w:val="heading 2"/>
    <w:basedOn w:val="Normal"/>
    <w:next w:val="Normal"/>
    <w:link w:val="Heading2Char"/>
    <w:uiPriority w:val="9"/>
    <w:unhideWhenUsed/>
    <w:qFormat/>
    <w:rsid w:val="00E9398D"/>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2F5496" w:themeColor="accent1" w:themeShade="BF"/>
      <w:sz w:val="26"/>
      <w:szCs w:val="26"/>
      <w:bdr w:val="nil"/>
    </w:rPr>
  </w:style>
  <w:style w:type="paragraph" w:styleId="Heading3">
    <w:name w:val="heading 3"/>
    <w:basedOn w:val="Normal"/>
    <w:next w:val="Normal"/>
    <w:link w:val="Heading3Char"/>
    <w:uiPriority w:val="9"/>
    <w:unhideWhenUsed/>
    <w:qFormat/>
    <w:rsid w:val="00E9398D"/>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1F3763" w:themeColor="accent1" w:themeShade="7F"/>
      <w:bdr w:val="nil"/>
    </w:rPr>
  </w:style>
  <w:style w:type="paragraph" w:styleId="Heading4">
    <w:name w:val="heading 4"/>
    <w:basedOn w:val="Normal"/>
    <w:next w:val="Normal"/>
    <w:link w:val="Heading4Char"/>
    <w:uiPriority w:val="9"/>
    <w:unhideWhenUsed/>
    <w:qFormat/>
    <w:rsid w:val="00FB2541"/>
    <w:pPr>
      <w:keepNext/>
      <w:keepLines/>
      <w:pBdr>
        <w:top w:val="nil"/>
        <w:left w:val="nil"/>
        <w:bottom w:val="nil"/>
        <w:right w:val="nil"/>
        <w:between w:val="nil"/>
        <w:bar w:val="nil"/>
      </w:pBdr>
      <w:spacing w:before="40"/>
      <w:outlineLvl w:val="3"/>
    </w:pPr>
    <w:rPr>
      <w:rFonts w:asciiTheme="majorHAnsi" w:eastAsiaTheme="majorEastAsia" w:hAnsiTheme="majorHAnsi" w:cstheme="majorBidi"/>
      <w:iCs/>
      <w:color w:val="2F5496" w:themeColor="accent1" w:themeShade="BF"/>
      <w:bdr w:val="nil"/>
    </w:rPr>
  </w:style>
  <w:style w:type="paragraph" w:styleId="Heading5">
    <w:name w:val="heading 5"/>
    <w:basedOn w:val="Normal"/>
    <w:next w:val="Normal"/>
    <w:link w:val="Heading5Char"/>
    <w:uiPriority w:val="9"/>
    <w:unhideWhenUsed/>
    <w:qFormat/>
    <w:rsid w:val="00B32D40"/>
    <w:pPr>
      <w:keepNext/>
      <w:keepLines/>
      <w:pBdr>
        <w:top w:val="nil"/>
        <w:left w:val="nil"/>
        <w:bottom w:val="nil"/>
        <w:right w:val="nil"/>
        <w:between w:val="nil"/>
        <w:bar w:val="nil"/>
      </w:pBdr>
      <w:spacing w:before="40"/>
      <w:outlineLvl w:val="4"/>
    </w:pPr>
    <w:rPr>
      <w:rFonts w:asciiTheme="majorHAnsi" w:eastAsiaTheme="majorEastAsia" w:hAnsiTheme="majorHAnsi" w:cstheme="majorBidi"/>
      <w:color w:val="2F5496" w:themeColor="accent1" w:themeShade="BF"/>
      <w:bdr w:val="nil"/>
    </w:rPr>
  </w:style>
  <w:style w:type="paragraph" w:styleId="Heading6">
    <w:name w:val="heading 6"/>
    <w:basedOn w:val="Normal"/>
    <w:next w:val="Normal"/>
    <w:link w:val="Heading6Char"/>
    <w:uiPriority w:val="9"/>
    <w:unhideWhenUsed/>
    <w:qFormat/>
    <w:rsid w:val="003E757A"/>
    <w:pPr>
      <w:keepNext/>
      <w:keepLines/>
      <w:pBdr>
        <w:top w:val="nil"/>
        <w:left w:val="nil"/>
        <w:bottom w:val="nil"/>
        <w:right w:val="nil"/>
        <w:between w:val="nil"/>
        <w:bar w:val="nil"/>
      </w:pBdr>
      <w:spacing w:before="40"/>
      <w:outlineLvl w:val="5"/>
    </w:pPr>
    <w:rPr>
      <w:rFonts w:asciiTheme="majorHAnsi" w:eastAsiaTheme="majorEastAsia" w:hAnsiTheme="majorHAnsi" w:cstheme="majorBidi"/>
      <w:color w:val="1F3763"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98D"/>
    <w:rPr>
      <w:rFonts w:asciiTheme="majorHAnsi" w:eastAsiaTheme="majorEastAsia" w:hAnsiTheme="majorHAnsi" w:cstheme="majorBidi"/>
      <w:color w:val="2F5496" w:themeColor="accent1" w:themeShade="BF"/>
      <w:sz w:val="32"/>
      <w:szCs w:val="32"/>
      <w:bdr w:val="nil"/>
    </w:rPr>
  </w:style>
  <w:style w:type="character" w:customStyle="1" w:styleId="Heading2Char">
    <w:name w:val="Heading 2 Char"/>
    <w:basedOn w:val="DefaultParagraphFont"/>
    <w:link w:val="Heading2"/>
    <w:uiPriority w:val="9"/>
    <w:rsid w:val="00E9398D"/>
    <w:rPr>
      <w:rFonts w:asciiTheme="majorHAnsi" w:eastAsiaTheme="majorEastAsia" w:hAnsiTheme="majorHAnsi" w:cstheme="majorBidi"/>
      <w:color w:val="2F5496" w:themeColor="accent1" w:themeShade="BF"/>
      <w:sz w:val="26"/>
      <w:szCs w:val="26"/>
      <w:bdr w:val="nil"/>
    </w:rPr>
  </w:style>
  <w:style w:type="character" w:customStyle="1" w:styleId="Heading3Char">
    <w:name w:val="Heading 3 Char"/>
    <w:basedOn w:val="DefaultParagraphFont"/>
    <w:link w:val="Heading3"/>
    <w:uiPriority w:val="9"/>
    <w:rsid w:val="00E9398D"/>
    <w:rPr>
      <w:rFonts w:asciiTheme="majorHAnsi" w:eastAsiaTheme="majorEastAsia" w:hAnsiTheme="majorHAnsi" w:cstheme="majorBidi"/>
      <w:color w:val="1F3763" w:themeColor="accent1" w:themeShade="7F"/>
      <w:sz w:val="24"/>
      <w:szCs w:val="24"/>
      <w:bdr w:val="nil"/>
    </w:rPr>
  </w:style>
  <w:style w:type="character" w:styleId="Hyperlink">
    <w:name w:val="Hyperlink"/>
    <w:rsid w:val="00E9398D"/>
    <w:rPr>
      <w:u w:val="single"/>
    </w:rPr>
  </w:style>
  <w:style w:type="paragraph" w:customStyle="1" w:styleId="HeaderFooter">
    <w:name w:val="Header &amp; Footer"/>
    <w:rsid w:val="00E9398D"/>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customStyle="1" w:styleId="Body">
    <w:name w:val="Body"/>
    <w:basedOn w:val="Normal"/>
    <w:rsid w:val="00E9398D"/>
    <w:pPr>
      <w:pBdr>
        <w:top w:val="nil"/>
        <w:left w:val="nil"/>
        <w:bottom w:val="nil"/>
        <w:right w:val="nil"/>
        <w:between w:val="nil"/>
        <w:bar w:val="nil"/>
      </w:pBdr>
    </w:pPr>
    <w:rPr>
      <w:rFonts w:eastAsia="Arial Unicode MS" w:cs="Arial Unicode MS"/>
      <w:color w:val="000000"/>
      <w:u w:color="000000"/>
      <w:bdr w:val="nil"/>
      <w:lang w:val="de-DE"/>
      <w14:textOutline w14:w="0" w14:cap="flat" w14:cmpd="sng" w14:algn="ctr">
        <w14:noFill/>
        <w14:prstDash w14:val="solid"/>
        <w14:bevel/>
      </w14:textOutline>
    </w:rPr>
  </w:style>
  <w:style w:type="character" w:customStyle="1" w:styleId="None">
    <w:name w:val="None"/>
    <w:rsid w:val="00E9398D"/>
  </w:style>
  <w:style w:type="character" w:customStyle="1" w:styleId="Hyperlink0">
    <w:name w:val="Hyperlink.0"/>
    <w:basedOn w:val="None"/>
    <w:rsid w:val="00E9398D"/>
    <w:rPr>
      <w:outline w:val="0"/>
      <w:color w:val="990000"/>
      <w:u w:val="single" w:color="990000"/>
    </w:rPr>
  </w:style>
  <w:style w:type="numbering" w:customStyle="1" w:styleId="ImportedStyle1">
    <w:name w:val="Imported Style 1"/>
    <w:rsid w:val="00E9398D"/>
    <w:pPr>
      <w:numPr>
        <w:numId w:val="1"/>
      </w:numPr>
    </w:pPr>
  </w:style>
  <w:style w:type="character" w:customStyle="1" w:styleId="Hyperlink1">
    <w:name w:val="Hyperlink.1"/>
    <w:basedOn w:val="None"/>
    <w:rsid w:val="00E9398D"/>
    <w:rPr>
      <w:rFonts w:ascii="Georgia" w:eastAsia="Georgia" w:hAnsi="Georgia" w:cs="Georgia"/>
      <w:outline w:val="0"/>
      <w:color w:val="990000"/>
      <w:u w:val="single" w:color="990000"/>
    </w:rPr>
  </w:style>
  <w:style w:type="character" w:customStyle="1" w:styleId="Hyperlink2">
    <w:name w:val="Hyperlink.2"/>
    <w:basedOn w:val="None"/>
    <w:rsid w:val="00E9398D"/>
    <w:rPr>
      <w:rFonts w:ascii="Georgia" w:eastAsia="Georgia" w:hAnsi="Georgia" w:cs="Georgia"/>
      <w:outline w:val="0"/>
      <w:color w:val="0000FF"/>
      <w:u w:val="single" w:color="0000FF"/>
    </w:rPr>
  </w:style>
  <w:style w:type="numbering" w:customStyle="1" w:styleId="ImportedStyle2">
    <w:name w:val="Imported Style 2"/>
    <w:rsid w:val="00E9398D"/>
    <w:pPr>
      <w:numPr>
        <w:numId w:val="2"/>
      </w:numPr>
    </w:pPr>
  </w:style>
  <w:style w:type="character" w:customStyle="1" w:styleId="Hyperlink3">
    <w:name w:val="Hyperlink.3"/>
    <w:basedOn w:val="Hyperlink"/>
    <w:rsid w:val="00E9398D"/>
    <w:rPr>
      <w:outline w:val="0"/>
      <w:color w:val="0000FF"/>
      <w:u w:val="single" w:color="0000FF"/>
    </w:rPr>
  </w:style>
  <w:style w:type="paragraph" w:styleId="ListParagraph">
    <w:name w:val="List Paragraph"/>
    <w:rsid w:val="00E9398D"/>
    <w:pPr>
      <w:pBdr>
        <w:top w:val="nil"/>
        <w:left w:val="nil"/>
        <w:bottom w:val="nil"/>
        <w:right w:val="nil"/>
        <w:between w:val="nil"/>
        <w:bar w:val="nil"/>
      </w:pBdr>
      <w:spacing w:after="0" w:line="240" w:lineRule="auto"/>
      <w:ind w:left="720"/>
    </w:pPr>
    <w:rPr>
      <w:rFonts w:ascii="Calibri" w:eastAsia="Arial Unicode MS" w:hAnsi="Calibri" w:cs="Arial Unicode MS"/>
      <w:color w:val="000000"/>
      <w:sz w:val="24"/>
      <w:szCs w:val="24"/>
      <w:u w:color="000000"/>
      <w:bdr w:val="nil"/>
    </w:rPr>
  </w:style>
  <w:style w:type="numbering" w:customStyle="1" w:styleId="ImportedStyle3">
    <w:name w:val="Imported Style 3"/>
    <w:rsid w:val="00E9398D"/>
    <w:pPr>
      <w:numPr>
        <w:numId w:val="3"/>
      </w:numPr>
    </w:pPr>
  </w:style>
  <w:style w:type="paragraph" w:customStyle="1" w:styleId="Default">
    <w:name w:val="Default"/>
    <w:rsid w:val="00E9398D"/>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14:textOutline w14:w="0" w14:cap="flat" w14:cmpd="sng" w14:algn="ctr">
        <w14:noFill/>
        <w14:prstDash w14:val="solid"/>
        <w14:bevel/>
      </w14:textOutline>
    </w:rPr>
  </w:style>
  <w:style w:type="numbering" w:customStyle="1" w:styleId="ImportedStyle20">
    <w:name w:val="Imported Style 2.0"/>
    <w:rsid w:val="00E9398D"/>
    <w:pPr>
      <w:numPr>
        <w:numId w:val="5"/>
      </w:numPr>
    </w:pPr>
  </w:style>
  <w:style w:type="numbering" w:customStyle="1" w:styleId="ImportedStyle4">
    <w:name w:val="Imported Style 4"/>
    <w:rsid w:val="00E9398D"/>
    <w:pPr>
      <w:numPr>
        <w:numId w:val="6"/>
      </w:numPr>
    </w:pPr>
  </w:style>
  <w:style w:type="numbering" w:customStyle="1" w:styleId="ImportedStyle7">
    <w:name w:val="Imported Style 7"/>
    <w:rsid w:val="00E9398D"/>
    <w:pPr>
      <w:numPr>
        <w:numId w:val="7"/>
      </w:numPr>
    </w:pPr>
  </w:style>
  <w:style w:type="numbering" w:customStyle="1" w:styleId="ImportedStyle8">
    <w:name w:val="Imported Style 8"/>
    <w:rsid w:val="00E9398D"/>
    <w:pPr>
      <w:numPr>
        <w:numId w:val="8"/>
      </w:numPr>
    </w:pPr>
  </w:style>
  <w:style w:type="numbering" w:customStyle="1" w:styleId="ImportedStyle9">
    <w:name w:val="Imported Style 9"/>
    <w:rsid w:val="00E9398D"/>
    <w:pPr>
      <w:numPr>
        <w:numId w:val="9"/>
      </w:numPr>
    </w:pPr>
  </w:style>
  <w:style w:type="numbering" w:customStyle="1" w:styleId="ImportedStyle10">
    <w:name w:val="Imported Style 10"/>
    <w:rsid w:val="00E9398D"/>
    <w:pPr>
      <w:numPr>
        <w:numId w:val="10"/>
      </w:numPr>
    </w:pPr>
  </w:style>
  <w:style w:type="numbering" w:customStyle="1" w:styleId="ImportedStyle11">
    <w:name w:val="Imported Style 11"/>
    <w:rsid w:val="00E9398D"/>
    <w:pPr>
      <w:numPr>
        <w:numId w:val="11"/>
      </w:numPr>
    </w:pPr>
  </w:style>
  <w:style w:type="numbering" w:customStyle="1" w:styleId="ImportedStyle12">
    <w:name w:val="Imported Style 12"/>
    <w:rsid w:val="00E9398D"/>
    <w:pPr>
      <w:numPr>
        <w:numId w:val="12"/>
      </w:numPr>
    </w:pPr>
  </w:style>
  <w:style w:type="numbering" w:customStyle="1" w:styleId="ImportedStyle13">
    <w:name w:val="Imported Style 13"/>
    <w:rsid w:val="00E9398D"/>
    <w:pPr>
      <w:numPr>
        <w:numId w:val="13"/>
      </w:numPr>
    </w:pPr>
  </w:style>
  <w:style w:type="numbering" w:customStyle="1" w:styleId="ImportedStyle14">
    <w:name w:val="Imported Style 14"/>
    <w:rsid w:val="00E9398D"/>
    <w:pPr>
      <w:numPr>
        <w:numId w:val="14"/>
      </w:numPr>
    </w:pPr>
  </w:style>
  <w:style w:type="numbering" w:customStyle="1" w:styleId="ImportedStyle15">
    <w:name w:val="Imported Style 15"/>
    <w:rsid w:val="00E9398D"/>
    <w:pPr>
      <w:numPr>
        <w:numId w:val="15"/>
      </w:numPr>
    </w:pPr>
  </w:style>
  <w:style w:type="numbering" w:customStyle="1" w:styleId="ImportedStyle16">
    <w:name w:val="Imported Style 16"/>
    <w:rsid w:val="00E9398D"/>
    <w:pPr>
      <w:numPr>
        <w:numId w:val="16"/>
      </w:numPr>
    </w:pPr>
  </w:style>
  <w:style w:type="numbering" w:customStyle="1" w:styleId="ImportedStyle160">
    <w:name w:val="Imported Style 16.0"/>
    <w:rsid w:val="00E9398D"/>
    <w:pPr>
      <w:numPr>
        <w:numId w:val="17"/>
      </w:numPr>
    </w:pPr>
  </w:style>
  <w:style w:type="numbering" w:customStyle="1" w:styleId="ImportedStyle17">
    <w:name w:val="Imported Style 17"/>
    <w:rsid w:val="00E9398D"/>
    <w:pPr>
      <w:numPr>
        <w:numId w:val="18"/>
      </w:numPr>
    </w:pPr>
  </w:style>
  <w:style w:type="numbering" w:customStyle="1" w:styleId="ImportedStyle170">
    <w:name w:val="Imported Style 17.0"/>
    <w:rsid w:val="00E9398D"/>
    <w:pPr>
      <w:numPr>
        <w:numId w:val="19"/>
      </w:numPr>
    </w:pPr>
  </w:style>
  <w:style w:type="numbering" w:customStyle="1" w:styleId="ImportedStyle18">
    <w:name w:val="Imported Style 18"/>
    <w:rsid w:val="00E9398D"/>
    <w:pPr>
      <w:numPr>
        <w:numId w:val="20"/>
      </w:numPr>
    </w:pPr>
  </w:style>
  <w:style w:type="numbering" w:customStyle="1" w:styleId="ImportedStyle180">
    <w:name w:val="Imported Style 18.0"/>
    <w:rsid w:val="00E9398D"/>
    <w:pPr>
      <w:numPr>
        <w:numId w:val="21"/>
      </w:numPr>
    </w:pPr>
  </w:style>
  <w:style w:type="numbering" w:customStyle="1" w:styleId="ImportedStyle19">
    <w:name w:val="Imported Style 19"/>
    <w:rsid w:val="00E9398D"/>
    <w:pPr>
      <w:numPr>
        <w:numId w:val="22"/>
      </w:numPr>
    </w:pPr>
  </w:style>
  <w:style w:type="numbering" w:customStyle="1" w:styleId="ImportedStyle200">
    <w:name w:val="Imported Style 20"/>
    <w:rsid w:val="00E9398D"/>
    <w:pPr>
      <w:numPr>
        <w:numId w:val="23"/>
      </w:numPr>
    </w:pPr>
  </w:style>
  <w:style w:type="numbering" w:customStyle="1" w:styleId="ImportedStyle21">
    <w:name w:val="Imported Style 21"/>
    <w:rsid w:val="00E9398D"/>
    <w:pPr>
      <w:numPr>
        <w:numId w:val="24"/>
      </w:numPr>
    </w:pPr>
  </w:style>
  <w:style w:type="numbering" w:customStyle="1" w:styleId="ImportedStyle22">
    <w:name w:val="Imported Style 22"/>
    <w:rsid w:val="00E9398D"/>
    <w:pPr>
      <w:numPr>
        <w:numId w:val="25"/>
      </w:numPr>
    </w:pPr>
  </w:style>
  <w:style w:type="numbering" w:customStyle="1" w:styleId="ImportedStyle23">
    <w:name w:val="Imported Style 23"/>
    <w:rsid w:val="00E9398D"/>
    <w:pPr>
      <w:numPr>
        <w:numId w:val="26"/>
      </w:numPr>
    </w:pPr>
  </w:style>
  <w:style w:type="numbering" w:customStyle="1" w:styleId="ImportedStyle24">
    <w:name w:val="Imported Style 24"/>
    <w:rsid w:val="00E9398D"/>
    <w:pPr>
      <w:numPr>
        <w:numId w:val="27"/>
      </w:numPr>
    </w:pPr>
  </w:style>
  <w:style w:type="numbering" w:customStyle="1" w:styleId="ImportedStyle25">
    <w:name w:val="Imported Style 25"/>
    <w:rsid w:val="00E9398D"/>
    <w:pPr>
      <w:numPr>
        <w:numId w:val="28"/>
      </w:numPr>
    </w:pPr>
  </w:style>
  <w:style w:type="numbering" w:customStyle="1" w:styleId="ImportedStyle26">
    <w:name w:val="Imported Style 26"/>
    <w:rsid w:val="00E9398D"/>
    <w:pPr>
      <w:numPr>
        <w:numId w:val="29"/>
      </w:numPr>
    </w:pPr>
  </w:style>
  <w:style w:type="numbering" w:customStyle="1" w:styleId="ImportedStyle260">
    <w:name w:val="Imported Style 26.0"/>
    <w:rsid w:val="00E9398D"/>
    <w:pPr>
      <w:numPr>
        <w:numId w:val="30"/>
      </w:numPr>
    </w:pPr>
  </w:style>
  <w:style w:type="numbering" w:customStyle="1" w:styleId="ImportedStyle27">
    <w:name w:val="Imported Style 27"/>
    <w:rsid w:val="00E9398D"/>
    <w:pPr>
      <w:numPr>
        <w:numId w:val="31"/>
      </w:numPr>
    </w:pPr>
  </w:style>
  <w:style w:type="numbering" w:customStyle="1" w:styleId="ImportedStyle270">
    <w:name w:val="Imported Style 27.0"/>
    <w:rsid w:val="00E9398D"/>
    <w:pPr>
      <w:numPr>
        <w:numId w:val="32"/>
      </w:numPr>
    </w:pPr>
  </w:style>
  <w:style w:type="numbering" w:customStyle="1" w:styleId="ImportedStyle28">
    <w:name w:val="Imported Style 28"/>
    <w:rsid w:val="00E9398D"/>
    <w:pPr>
      <w:numPr>
        <w:numId w:val="33"/>
      </w:numPr>
    </w:pPr>
  </w:style>
  <w:style w:type="numbering" w:customStyle="1" w:styleId="ImportedStyle29">
    <w:name w:val="Imported Style 29"/>
    <w:rsid w:val="00E9398D"/>
    <w:pPr>
      <w:numPr>
        <w:numId w:val="34"/>
      </w:numPr>
    </w:pPr>
  </w:style>
  <w:style w:type="numbering" w:customStyle="1" w:styleId="ImportedStyle290">
    <w:name w:val="Imported Style 29.0"/>
    <w:rsid w:val="00E9398D"/>
    <w:pPr>
      <w:numPr>
        <w:numId w:val="35"/>
      </w:numPr>
    </w:pPr>
  </w:style>
  <w:style w:type="numbering" w:customStyle="1" w:styleId="ImportedStyle30">
    <w:name w:val="Imported Style 30"/>
    <w:rsid w:val="00E9398D"/>
    <w:pPr>
      <w:numPr>
        <w:numId w:val="36"/>
      </w:numPr>
    </w:pPr>
  </w:style>
  <w:style w:type="character" w:customStyle="1" w:styleId="Hyperlink4">
    <w:name w:val="Hyperlink.4"/>
    <w:basedOn w:val="None"/>
    <w:rsid w:val="00E9398D"/>
    <w:rPr>
      <w:outline w:val="0"/>
      <w:color w:val="990000"/>
      <w:u w:val="single" w:color="990000"/>
      <w:lang w:val="en-US"/>
    </w:rPr>
  </w:style>
  <w:style w:type="numbering" w:customStyle="1" w:styleId="ImportedStyle31">
    <w:name w:val="Imported Style 31"/>
    <w:rsid w:val="00E9398D"/>
    <w:pPr>
      <w:numPr>
        <w:numId w:val="37"/>
      </w:numPr>
    </w:pPr>
  </w:style>
  <w:style w:type="numbering" w:customStyle="1" w:styleId="ImportedStyle310">
    <w:name w:val="Imported Style 31.0"/>
    <w:rsid w:val="00E9398D"/>
    <w:pPr>
      <w:numPr>
        <w:numId w:val="38"/>
      </w:numPr>
    </w:pPr>
  </w:style>
  <w:style w:type="character" w:customStyle="1" w:styleId="Hyperlink5">
    <w:name w:val="Hyperlink.5"/>
    <w:basedOn w:val="None"/>
    <w:rsid w:val="00E9398D"/>
    <w:rPr>
      <w:rFonts w:ascii="Georgia" w:eastAsia="Georgia" w:hAnsi="Georgia" w:cs="Georgia"/>
      <w:outline w:val="0"/>
      <w:color w:val="000000"/>
      <w:u w:val="single" w:color="000000"/>
    </w:rPr>
  </w:style>
  <w:style w:type="numbering" w:customStyle="1" w:styleId="ImportedStyle32">
    <w:name w:val="Imported Style 32"/>
    <w:rsid w:val="00E9398D"/>
    <w:pPr>
      <w:numPr>
        <w:numId w:val="39"/>
      </w:numPr>
    </w:pPr>
  </w:style>
  <w:style w:type="numbering" w:customStyle="1" w:styleId="ImportedStyle320">
    <w:name w:val="Imported Style 32.0"/>
    <w:rsid w:val="00E9398D"/>
    <w:pPr>
      <w:numPr>
        <w:numId w:val="40"/>
      </w:numPr>
    </w:pPr>
  </w:style>
  <w:style w:type="numbering" w:customStyle="1" w:styleId="ImportedStyle33">
    <w:name w:val="Imported Style 33"/>
    <w:rsid w:val="00E9398D"/>
    <w:pPr>
      <w:numPr>
        <w:numId w:val="41"/>
      </w:numPr>
    </w:pPr>
  </w:style>
  <w:style w:type="numbering" w:customStyle="1" w:styleId="ImportedStyle34">
    <w:name w:val="Imported Style 34"/>
    <w:rsid w:val="00E9398D"/>
    <w:pPr>
      <w:numPr>
        <w:numId w:val="42"/>
      </w:numPr>
    </w:pPr>
  </w:style>
  <w:style w:type="numbering" w:customStyle="1" w:styleId="ImportedStyle35">
    <w:name w:val="Imported Style 35"/>
    <w:rsid w:val="00E9398D"/>
    <w:pPr>
      <w:numPr>
        <w:numId w:val="43"/>
      </w:numPr>
    </w:pPr>
  </w:style>
  <w:style w:type="numbering" w:customStyle="1" w:styleId="ImportedStyle36">
    <w:name w:val="Imported Style 36"/>
    <w:rsid w:val="00E9398D"/>
    <w:pPr>
      <w:numPr>
        <w:numId w:val="44"/>
      </w:numPr>
    </w:pPr>
  </w:style>
  <w:style w:type="numbering" w:customStyle="1" w:styleId="ImportedStyle360">
    <w:name w:val="Imported Style 36.0"/>
    <w:rsid w:val="00E9398D"/>
    <w:pPr>
      <w:numPr>
        <w:numId w:val="45"/>
      </w:numPr>
    </w:pPr>
  </w:style>
  <w:style w:type="numbering" w:customStyle="1" w:styleId="ImportedStyle6">
    <w:name w:val="Imported Style 6"/>
    <w:rsid w:val="00E9398D"/>
    <w:pPr>
      <w:numPr>
        <w:numId w:val="46"/>
      </w:numPr>
    </w:pPr>
  </w:style>
  <w:style w:type="numbering" w:customStyle="1" w:styleId="ImportedStyle37">
    <w:name w:val="Imported Style 37"/>
    <w:rsid w:val="00E9398D"/>
    <w:pPr>
      <w:numPr>
        <w:numId w:val="47"/>
      </w:numPr>
    </w:pPr>
  </w:style>
  <w:style w:type="numbering" w:customStyle="1" w:styleId="ImportedStyle38">
    <w:name w:val="Imported Style 38"/>
    <w:rsid w:val="00E9398D"/>
    <w:pPr>
      <w:numPr>
        <w:numId w:val="48"/>
      </w:numPr>
    </w:pPr>
  </w:style>
  <w:style w:type="numbering" w:customStyle="1" w:styleId="ImportedStyle60">
    <w:name w:val="Imported Style 6.0"/>
    <w:rsid w:val="00E9398D"/>
    <w:pPr>
      <w:numPr>
        <w:numId w:val="49"/>
      </w:numPr>
    </w:pPr>
  </w:style>
  <w:style w:type="numbering" w:customStyle="1" w:styleId="ImportedStyle39">
    <w:name w:val="Imported Style 39"/>
    <w:rsid w:val="00E9398D"/>
    <w:pPr>
      <w:numPr>
        <w:numId w:val="50"/>
      </w:numPr>
    </w:pPr>
  </w:style>
  <w:style w:type="numbering" w:customStyle="1" w:styleId="ImportedStyle40">
    <w:name w:val="Imported Style 40"/>
    <w:rsid w:val="00E9398D"/>
    <w:pPr>
      <w:numPr>
        <w:numId w:val="51"/>
      </w:numPr>
    </w:pPr>
  </w:style>
  <w:style w:type="numbering" w:customStyle="1" w:styleId="ImportedStyle41">
    <w:name w:val="Imported Style 41"/>
    <w:rsid w:val="00E9398D"/>
    <w:pPr>
      <w:numPr>
        <w:numId w:val="52"/>
      </w:numPr>
    </w:pPr>
  </w:style>
  <w:style w:type="numbering" w:customStyle="1" w:styleId="ImportedStyle42">
    <w:name w:val="Imported Style 42"/>
    <w:rsid w:val="00E9398D"/>
    <w:pPr>
      <w:numPr>
        <w:numId w:val="53"/>
      </w:numPr>
    </w:pPr>
  </w:style>
  <w:style w:type="numbering" w:customStyle="1" w:styleId="ImportedStyle43">
    <w:name w:val="Imported Style 43"/>
    <w:rsid w:val="00E9398D"/>
    <w:pPr>
      <w:numPr>
        <w:numId w:val="54"/>
      </w:numPr>
    </w:pPr>
  </w:style>
  <w:style w:type="numbering" w:customStyle="1" w:styleId="ImportedStyle44">
    <w:name w:val="Imported Style 44"/>
    <w:rsid w:val="00E9398D"/>
    <w:pPr>
      <w:numPr>
        <w:numId w:val="55"/>
      </w:numPr>
    </w:pPr>
  </w:style>
  <w:style w:type="numbering" w:customStyle="1" w:styleId="ImportedStyle45">
    <w:name w:val="Imported Style 45"/>
    <w:rsid w:val="00E9398D"/>
    <w:pPr>
      <w:numPr>
        <w:numId w:val="56"/>
      </w:numPr>
    </w:pPr>
  </w:style>
  <w:style w:type="numbering" w:customStyle="1" w:styleId="ImportedStyle46">
    <w:name w:val="Imported Style 46"/>
    <w:rsid w:val="00E9398D"/>
    <w:pPr>
      <w:numPr>
        <w:numId w:val="57"/>
      </w:numPr>
    </w:pPr>
  </w:style>
  <w:style w:type="numbering" w:customStyle="1" w:styleId="ImportedStyle460">
    <w:name w:val="Imported Style 46.0"/>
    <w:rsid w:val="00E9398D"/>
    <w:pPr>
      <w:numPr>
        <w:numId w:val="58"/>
      </w:numPr>
    </w:pPr>
  </w:style>
  <w:style w:type="numbering" w:customStyle="1" w:styleId="ImportedStyle47">
    <w:name w:val="Imported Style 47"/>
    <w:rsid w:val="00E9398D"/>
    <w:pPr>
      <w:numPr>
        <w:numId w:val="59"/>
      </w:numPr>
    </w:pPr>
  </w:style>
  <w:style w:type="numbering" w:customStyle="1" w:styleId="ImportedStyle48">
    <w:name w:val="Imported Style 48"/>
    <w:rsid w:val="00E9398D"/>
    <w:pPr>
      <w:numPr>
        <w:numId w:val="60"/>
      </w:numPr>
    </w:pPr>
  </w:style>
  <w:style w:type="numbering" w:customStyle="1" w:styleId="ImportedStyle49">
    <w:name w:val="Imported Style 49"/>
    <w:rsid w:val="00E9398D"/>
    <w:pPr>
      <w:numPr>
        <w:numId w:val="61"/>
      </w:numPr>
    </w:pPr>
  </w:style>
  <w:style w:type="character" w:customStyle="1" w:styleId="Hyperlink6">
    <w:name w:val="Hyperlink.6"/>
    <w:basedOn w:val="Hyperlink3"/>
    <w:rsid w:val="00E9398D"/>
    <w:rPr>
      <w:rFonts w:ascii="Georgia" w:eastAsia="Georgia" w:hAnsi="Georgia" w:cs="Georgia"/>
      <w:outline w:val="0"/>
      <w:color w:val="0000FF"/>
      <w:u w:val="single" w:color="0000FF"/>
      <w:shd w:val="clear" w:color="auto" w:fill="C0C0C0"/>
    </w:rPr>
  </w:style>
  <w:style w:type="numbering" w:customStyle="1" w:styleId="ImportedStyle50">
    <w:name w:val="Imported Style 50"/>
    <w:rsid w:val="00E9398D"/>
    <w:pPr>
      <w:numPr>
        <w:numId w:val="62"/>
      </w:numPr>
    </w:pPr>
  </w:style>
  <w:style w:type="numbering" w:customStyle="1" w:styleId="ImportedStyle51">
    <w:name w:val="Imported Style 51"/>
    <w:rsid w:val="00E9398D"/>
    <w:pPr>
      <w:numPr>
        <w:numId w:val="63"/>
      </w:numPr>
    </w:pPr>
  </w:style>
  <w:style w:type="character" w:customStyle="1" w:styleId="Hyperlink7">
    <w:name w:val="Hyperlink.7"/>
    <w:basedOn w:val="None"/>
    <w:rsid w:val="00E9398D"/>
    <w:rPr>
      <w:outline w:val="0"/>
      <w:color w:val="990000"/>
      <w:u w:val="single" w:color="990000"/>
      <w:shd w:val="clear" w:color="auto" w:fill="FF00FF"/>
    </w:rPr>
  </w:style>
  <w:style w:type="numbering" w:customStyle="1" w:styleId="ImportedStyle52">
    <w:name w:val="Imported Style 52"/>
    <w:rsid w:val="00E9398D"/>
    <w:pPr>
      <w:numPr>
        <w:numId w:val="64"/>
      </w:numPr>
    </w:pPr>
  </w:style>
  <w:style w:type="numbering" w:customStyle="1" w:styleId="ImportedStyle53">
    <w:name w:val="Imported Style 53"/>
    <w:rsid w:val="00E9398D"/>
    <w:pPr>
      <w:numPr>
        <w:numId w:val="65"/>
      </w:numPr>
    </w:pPr>
  </w:style>
  <w:style w:type="numbering" w:customStyle="1" w:styleId="ImportedStyle54">
    <w:name w:val="Imported Style 54"/>
    <w:rsid w:val="00E9398D"/>
    <w:pPr>
      <w:numPr>
        <w:numId w:val="66"/>
      </w:numPr>
    </w:pPr>
  </w:style>
  <w:style w:type="numbering" w:customStyle="1" w:styleId="ImportedStyle55">
    <w:name w:val="Imported Style 55"/>
    <w:rsid w:val="00E9398D"/>
    <w:pPr>
      <w:numPr>
        <w:numId w:val="67"/>
      </w:numPr>
    </w:pPr>
  </w:style>
  <w:style w:type="character" w:customStyle="1" w:styleId="Hyperlink8">
    <w:name w:val="Hyperlink.8"/>
    <w:basedOn w:val="Hyperlink3"/>
    <w:rsid w:val="00E9398D"/>
    <w:rPr>
      <w:rFonts w:ascii="Georgia" w:eastAsia="Georgia" w:hAnsi="Georgia" w:cs="Georgia"/>
      <w:outline w:val="0"/>
      <w:color w:val="0000FF"/>
      <w:u w:val="single" w:color="0000FF"/>
    </w:rPr>
  </w:style>
  <w:style w:type="numbering" w:customStyle="1" w:styleId="ImportedStyle56">
    <w:name w:val="Imported Style 56"/>
    <w:rsid w:val="00E9398D"/>
    <w:pPr>
      <w:numPr>
        <w:numId w:val="68"/>
      </w:numPr>
    </w:pPr>
  </w:style>
  <w:style w:type="numbering" w:customStyle="1" w:styleId="ImportedStyle57">
    <w:name w:val="Imported Style 57"/>
    <w:rsid w:val="00E9398D"/>
    <w:pPr>
      <w:numPr>
        <w:numId w:val="69"/>
      </w:numPr>
    </w:pPr>
  </w:style>
  <w:style w:type="numbering" w:customStyle="1" w:styleId="ImportedStyle58">
    <w:name w:val="Imported Style 58"/>
    <w:rsid w:val="00E9398D"/>
    <w:pPr>
      <w:numPr>
        <w:numId w:val="70"/>
      </w:numPr>
    </w:pPr>
  </w:style>
  <w:style w:type="numbering" w:customStyle="1" w:styleId="ImportedStyle560">
    <w:name w:val="Imported Style 56.0"/>
    <w:rsid w:val="00E9398D"/>
    <w:pPr>
      <w:numPr>
        <w:numId w:val="71"/>
      </w:numPr>
    </w:pPr>
  </w:style>
  <w:style w:type="numbering" w:customStyle="1" w:styleId="ImportedStyle59">
    <w:name w:val="Imported Style 59"/>
    <w:rsid w:val="00E9398D"/>
    <w:pPr>
      <w:numPr>
        <w:numId w:val="72"/>
      </w:numPr>
    </w:pPr>
  </w:style>
  <w:style w:type="character" w:customStyle="1" w:styleId="Hyperlink9">
    <w:name w:val="Hyperlink.9"/>
    <w:basedOn w:val="None"/>
    <w:rsid w:val="00E9398D"/>
    <w:rPr>
      <w:rFonts w:ascii="Georgia" w:eastAsia="Georgia" w:hAnsi="Georgia" w:cs="Georgia"/>
      <w:outline w:val="0"/>
      <w:color w:val="990000"/>
      <w:u w:val="single" w:color="990000"/>
      <w:shd w:val="clear" w:color="auto" w:fill="FF00FF"/>
    </w:rPr>
  </w:style>
  <w:style w:type="numbering" w:customStyle="1" w:styleId="ImportedStyle600">
    <w:name w:val="Imported Style 60"/>
    <w:rsid w:val="00E9398D"/>
    <w:pPr>
      <w:numPr>
        <w:numId w:val="73"/>
      </w:numPr>
    </w:pPr>
  </w:style>
  <w:style w:type="character" w:customStyle="1" w:styleId="Hyperlink10">
    <w:name w:val="Hyperlink.10"/>
    <w:basedOn w:val="None"/>
    <w:rsid w:val="00E9398D"/>
    <w:rPr>
      <w:rFonts w:ascii="Monaco" w:eastAsia="Monaco" w:hAnsi="Monaco" w:cs="Monaco"/>
      <w:outline w:val="0"/>
      <w:color w:val="990000"/>
      <w:u w:val="single" w:color="990000"/>
      <w:shd w:val="clear" w:color="auto" w:fill="FF00FF"/>
    </w:rPr>
  </w:style>
  <w:style w:type="numbering" w:customStyle="1" w:styleId="ImportedStyle61">
    <w:name w:val="Imported Style 61"/>
    <w:rsid w:val="00E9398D"/>
    <w:pPr>
      <w:numPr>
        <w:numId w:val="74"/>
      </w:numPr>
    </w:pPr>
  </w:style>
  <w:style w:type="character" w:customStyle="1" w:styleId="Hyperlink11">
    <w:name w:val="Hyperlink.11"/>
    <w:basedOn w:val="None"/>
    <w:rsid w:val="00E9398D"/>
    <w:rPr>
      <w:rFonts w:ascii="Monaco" w:eastAsia="Monaco" w:hAnsi="Monaco" w:cs="Monaco"/>
      <w:outline w:val="0"/>
      <w:color w:val="990000"/>
      <w:u w:val="single" w:color="990000"/>
    </w:rPr>
  </w:style>
  <w:style w:type="numbering" w:customStyle="1" w:styleId="ImportedStyle610">
    <w:name w:val="Imported Style 61.0"/>
    <w:rsid w:val="00E9398D"/>
    <w:pPr>
      <w:numPr>
        <w:numId w:val="75"/>
      </w:numPr>
    </w:pPr>
  </w:style>
  <w:style w:type="numbering" w:customStyle="1" w:styleId="ImportedStyle62">
    <w:name w:val="Imported Style 62"/>
    <w:rsid w:val="00E9398D"/>
    <w:pPr>
      <w:numPr>
        <w:numId w:val="76"/>
      </w:numPr>
    </w:pPr>
  </w:style>
  <w:style w:type="numbering" w:customStyle="1" w:styleId="ImportedStyle63">
    <w:name w:val="Imported Style 63"/>
    <w:rsid w:val="00E9398D"/>
    <w:pPr>
      <w:numPr>
        <w:numId w:val="77"/>
      </w:numPr>
    </w:pPr>
  </w:style>
  <w:style w:type="numbering" w:customStyle="1" w:styleId="ImportedStyle630">
    <w:name w:val="Imported Style 63.0"/>
    <w:rsid w:val="00E9398D"/>
    <w:pPr>
      <w:numPr>
        <w:numId w:val="78"/>
      </w:numPr>
    </w:pPr>
  </w:style>
  <w:style w:type="numbering" w:customStyle="1" w:styleId="ImportedStyle64">
    <w:name w:val="Imported Style 64"/>
    <w:rsid w:val="00E9398D"/>
    <w:pPr>
      <w:numPr>
        <w:numId w:val="79"/>
      </w:numPr>
    </w:pPr>
  </w:style>
  <w:style w:type="numbering" w:customStyle="1" w:styleId="ImportedStyle65">
    <w:name w:val="Imported Style 65"/>
    <w:rsid w:val="00E9398D"/>
    <w:pPr>
      <w:numPr>
        <w:numId w:val="80"/>
      </w:numPr>
    </w:pPr>
  </w:style>
  <w:style w:type="numbering" w:customStyle="1" w:styleId="ImportedStyle66">
    <w:name w:val="Imported Style 66"/>
    <w:rsid w:val="00E9398D"/>
    <w:pPr>
      <w:numPr>
        <w:numId w:val="81"/>
      </w:numPr>
    </w:pPr>
  </w:style>
  <w:style w:type="numbering" w:customStyle="1" w:styleId="ImportedStyle67">
    <w:name w:val="Imported Style 67"/>
    <w:rsid w:val="00E9398D"/>
    <w:pPr>
      <w:numPr>
        <w:numId w:val="82"/>
      </w:numPr>
    </w:pPr>
  </w:style>
  <w:style w:type="numbering" w:customStyle="1" w:styleId="ImportedStyle68">
    <w:name w:val="Imported Style 68"/>
    <w:rsid w:val="00E9398D"/>
    <w:pPr>
      <w:numPr>
        <w:numId w:val="83"/>
      </w:numPr>
    </w:pPr>
  </w:style>
  <w:style w:type="numbering" w:customStyle="1" w:styleId="ImportedStyle69">
    <w:name w:val="Imported Style 69"/>
    <w:rsid w:val="00E9398D"/>
    <w:pPr>
      <w:numPr>
        <w:numId w:val="84"/>
      </w:numPr>
    </w:pPr>
  </w:style>
  <w:style w:type="numbering" w:customStyle="1" w:styleId="ImportedStyle70">
    <w:name w:val="Imported Style 70"/>
    <w:rsid w:val="00E9398D"/>
    <w:pPr>
      <w:numPr>
        <w:numId w:val="85"/>
      </w:numPr>
    </w:pPr>
  </w:style>
  <w:style w:type="numbering" w:customStyle="1" w:styleId="ImportedStyle71">
    <w:name w:val="Imported Style 71"/>
    <w:rsid w:val="00E9398D"/>
    <w:pPr>
      <w:numPr>
        <w:numId w:val="86"/>
      </w:numPr>
    </w:pPr>
  </w:style>
  <w:style w:type="numbering" w:customStyle="1" w:styleId="ImportedStyle710">
    <w:name w:val="Imported Style 71.0"/>
    <w:rsid w:val="00E9398D"/>
    <w:pPr>
      <w:numPr>
        <w:numId w:val="87"/>
      </w:numPr>
    </w:pPr>
  </w:style>
  <w:style w:type="numbering" w:customStyle="1" w:styleId="ImportedStyle72">
    <w:name w:val="Imported Style 72"/>
    <w:rsid w:val="00E9398D"/>
    <w:pPr>
      <w:numPr>
        <w:numId w:val="88"/>
      </w:numPr>
    </w:pPr>
  </w:style>
  <w:style w:type="numbering" w:customStyle="1" w:styleId="ImportedStyle720">
    <w:name w:val="Imported Style 72.0"/>
    <w:rsid w:val="00E9398D"/>
    <w:pPr>
      <w:numPr>
        <w:numId w:val="89"/>
      </w:numPr>
    </w:pPr>
  </w:style>
  <w:style w:type="numbering" w:customStyle="1" w:styleId="ImportedStyle73">
    <w:name w:val="Imported Style 73"/>
    <w:rsid w:val="00E9398D"/>
    <w:pPr>
      <w:numPr>
        <w:numId w:val="90"/>
      </w:numPr>
    </w:pPr>
  </w:style>
  <w:style w:type="numbering" w:customStyle="1" w:styleId="ImportedStyle74">
    <w:name w:val="Imported Style 74"/>
    <w:rsid w:val="00E9398D"/>
    <w:pPr>
      <w:numPr>
        <w:numId w:val="91"/>
      </w:numPr>
    </w:pPr>
  </w:style>
  <w:style w:type="numbering" w:customStyle="1" w:styleId="ImportedStyle75">
    <w:name w:val="Imported Style 75"/>
    <w:rsid w:val="00E9398D"/>
    <w:pPr>
      <w:numPr>
        <w:numId w:val="92"/>
      </w:numPr>
    </w:pPr>
  </w:style>
  <w:style w:type="numbering" w:customStyle="1" w:styleId="ImportedStyle76">
    <w:name w:val="Imported Style 76"/>
    <w:rsid w:val="00E9398D"/>
    <w:pPr>
      <w:numPr>
        <w:numId w:val="93"/>
      </w:numPr>
    </w:pPr>
  </w:style>
  <w:style w:type="numbering" w:customStyle="1" w:styleId="ImportedStyle77">
    <w:name w:val="Imported Style 77"/>
    <w:rsid w:val="00E9398D"/>
    <w:pPr>
      <w:numPr>
        <w:numId w:val="94"/>
      </w:numPr>
    </w:pPr>
  </w:style>
  <w:style w:type="character" w:customStyle="1" w:styleId="Hyperlink12">
    <w:name w:val="Hyperlink.12"/>
    <w:basedOn w:val="None"/>
    <w:rsid w:val="00E9398D"/>
    <w:rPr>
      <w:outline w:val="0"/>
      <w:color w:val="000000"/>
      <w:u w:val="single" w:color="000000"/>
    </w:rPr>
  </w:style>
  <w:style w:type="numbering" w:customStyle="1" w:styleId="ImportedStyle78">
    <w:name w:val="Imported Style 78"/>
    <w:rsid w:val="00E9398D"/>
    <w:pPr>
      <w:numPr>
        <w:numId w:val="95"/>
      </w:numPr>
    </w:pPr>
  </w:style>
  <w:style w:type="numbering" w:customStyle="1" w:styleId="ImportedStyle780">
    <w:name w:val="Imported Style 78.0"/>
    <w:rsid w:val="00E9398D"/>
    <w:pPr>
      <w:numPr>
        <w:numId w:val="96"/>
      </w:numPr>
    </w:pPr>
  </w:style>
  <w:style w:type="numbering" w:customStyle="1" w:styleId="ImportedStyle79">
    <w:name w:val="Imported Style 79"/>
    <w:rsid w:val="00E9398D"/>
    <w:pPr>
      <w:numPr>
        <w:numId w:val="97"/>
      </w:numPr>
    </w:pPr>
  </w:style>
  <w:style w:type="numbering" w:customStyle="1" w:styleId="ImportedStyle790">
    <w:name w:val="Imported Style 79.0"/>
    <w:rsid w:val="00E9398D"/>
    <w:pPr>
      <w:numPr>
        <w:numId w:val="98"/>
      </w:numPr>
    </w:pPr>
  </w:style>
  <w:style w:type="numbering" w:customStyle="1" w:styleId="ImportedStyle80">
    <w:name w:val="Imported Style 80"/>
    <w:rsid w:val="00E9398D"/>
    <w:pPr>
      <w:numPr>
        <w:numId w:val="99"/>
      </w:numPr>
    </w:pPr>
  </w:style>
  <w:style w:type="character" w:customStyle="1" w:styleId="Hyperlink13">
    <w:name w:val="Hyperlink.13"/>
    <w:basedOn w:val="Hyperlink3"/>
    <w:rsid w:val="00E9398D"/>
    <w:rPr>
      <w:outline w:val="0"/>
      <w:color w:val="000000"/>
      <w:u w:val="single" w:color="000000"/>
      <w:shd w:val="clear" w:color="auto" w:fill="FFFF00"/>
    </w:rPr>
  </w:style>
  <w:style w:type="paragraph" w:styleId="CommentText">
    <w:name w:val="annotation text"/>
    <w:basedOn w:val="Normal"/>
    <w:link w:val="CommentTextChar"/>
    <w:uiPriority w:val="99"/>
    <w:semiHidden/>
    <w:unhideWhenUsed/>
    <w:rsid w:val="00E9398D"/>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semiHidden/>
    <w:rsid w:val="00E9398D"/>
    <w:rPr>
      <w:rFonts w:ascii="Times New Roman" w:eastAsia="Arial Unicode MS" w:hAnsi="Times New Roman" w:cs="Times New Roman"/>
      <w:sz w:val="20"/>
      <w:szCs w:val="20"/>
      <w:bdr w:val="nil"/>
    </w:rPr>
  </w:style>
  <w:style w:type="character" w:styleId="CommentReference">
    <w:name w:val="annotation reference"/>
    <w:basedOn w:val="DefaultParagraphFont"/>
    <w:uiPriority w:val="99"/>
    <w:semiHidden/>
    <w:unhideWhenUsed/>
    <w:rsid w:val="00E9398D"/>
    <w:rPr>
      <w:sz w:val="16"/>
      <w:szCs w:val="16"/>
    </w:rPr>
  </w:style>
  <w:style w:type="character" w:styleId="PlaceholderText">
    <w:name w:val="Placeholder Text"/>
    <w:basedOn w:val="DefaultParagraphFont"/>
    <w:uiPriority w:val="99"/>
    <w:semiHidden/>
    <w:rsid w:val="00E9398D"/>
    <w:rPr>
      <w:color w:val="808080"/>
    </w:rPr>
  </w:style>
  <w:style w:type="paragraph" w:styleId="Header">
    <w:name w:val="header"/>
    <w:basedOn w:val="Normal"/>
    <w:link w:val="HeaderChar"/>
    <w:uiPriority w:val="99"/>
    <w:unhideWhenUsed/>
    <w:rsid w:val="00E9398D"/>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E9398D"/>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E9398D"/>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E9398D"/>
    <w:rPr>
      <w:rFonts w:ascii="Times New Roman" w:eastAsia="Arial Unicode MS" w:hAnsi="Times New Roman" w:cs="Times New Roman"/>
      <w:sz w:val="24"/>
      <w:szCs w:val="24"/>
      <w:bdr w:val="nil"/>
    </w:rPr>
  </w:style>
  <w:style w:type="character" w:styleId="IntenseReference">
    <w:name w:val="Intense Reference"/>
    <w:basedOn w:val="DefaultParagraphFont"/>
    <w:uiPriority w:val="32"/>
    <w:qFormat/>
    <w:rsid w:val="00E9398D"/>
    <w:rPr>
      <w:b/>
      <w:bCs/>
      <w:smallCaps/>
      <w:color w:val="4472C4" w:themeColor="accent1"/>
      <w:spacing w:val="5"/>
    </w:rPr>
  </w:style>
  <w:style w:type="character" w:customStyle="1" w:styleId="Heading4Char">
    <w:name w:val="Heading 4 Char"/>
    <w:basedOn w:val="DefaultParagraphFont"/>
    <w:link w:val="Heading4"/>
    <w:uiPriority w:val="9"/>
    <w:rsid w:val="00FB2541"/>
    <w:rPr>
      <w:rFonts w:asciiTheme="majorHAnsi" w:eastAsiaTheme="majorEastAsia" w:hAnsiTheme="majorHAnsi" w:cstheme="majorBidi"/>
      <w:iCs/>
      <w:color w:val="2F5496" w:themeColor="accent1" w:themeShade="BF"/>
      <w:sz w:val="24"/>
      <w:szCs w:val="24"/>
      <w:bdr w:val="nil"/>
    </w:rPr>
  </w:style>
  <w:style w:type="paragraph" w:styleId="BodyTextIndent2">
    <w:name w:val="Body Text Indent 2"/>
    <w:basedOn w:val="Normal"/>
    <w:link w:val="BodyTextIndent2Char"/>
    <w:uiPriority w:val="99"/>
    <w:unhideWhenUsed/>
    <w:rsid w:val="00E9398D"/>
    <w:pPr>
      <w:pBdr>
        <w:top w:val="nil"/>
        <w:left w:val="nil"/>
        <w:bottom w:val="nil"/>
        <w:right w:val="nil"/>
        <w:between w:val="nil"/>
        <w:bar w:val="nil"/>
      </w:pBdr>
      <w:spacing w:after="120" w:line="480" w:lineRule="auto"/>
      <w:ind w:left="360"/>
    </w:pPr>
    <w:rPr>
      <w:rFonts w:eastAsia="Arial Unicode MS"/>
      <w:bdr w:val="nil"/>
    </w:rPr>
  </w:style>
  <w:style w:type="character" w:customStyle="1" w:styleId="BodyTextIndent2Char">
    <w:name w:val="Body Text Indent 2 Char"/>
    <w:basedOn w:val="DefaultParagraphFont"/>
    <w:link w:val="BodyTextIndent2"/>
    <w:uiPriority w:val="99"/>
    <w:rsid w:val="00E9398D"/>
    <w:rPr>
      <w:rFonts w:ascii="Times New Roman" w:eastAsia="Arial Unicode MS" w:hAnsi="Times New Roman" w:cs="Times New Roman"/>
      <w:sz w:val="24"/>
      <w:szCs w:val="24"/>
      <w:bdr w:val="nil"/>
    </w:rPr>
  </w:style>
  <w:style w:type="paragraph" w:customStyle="1" w:styleId="Rule">
    <w:name w:val="Rule"/>
    <w:basedOn w:val="Normal"/>
    <w:qFormat/>
    <w:rsid w:val="00BD55C4"/>
    <w:pPr>
      <w:pBdr>
        <w:top w:val="nil"/>
        <w:left w:val="nil"/>
        <w:bottom w:val="nil"/>
        <w:right w:val="nil"/>
        <w:between w:val="nil"/>
        <w:bar w:val="nil"/>
      </w:pBdr>
      <w:spacing w:before="150" w:after="90"/>
      <w:ind w:left="840"/>
    </w:pPr>
    <w:rPr>
      <w:rFonts w:ascii="Georgia" w:eastAsia="Arial Unicode MS" w:hAnsi="Georgia"/>
      <w:bdr w:val="nil"/>
    </w:rPr>
  </w:style>
  <w:style w:type="paragraph" w:customStyle="1" w:styleId="Example">
    <w:name w:val="Example"/>
    <w:basedOn w:val="Normal"/>
    <w:qFormat/>
    <w:rsid w:val="00BD55C4"/>
    <w:pPr>
      <w:pBdr>
        <w:top w:val="nil"/>
        <w:left w:val="nil"/>
        <w:bottom w:val="nil"/>
        <w:right w:val="nil"/>
        <w:between w:val="nil"/>
        <w:bar w:val="nil"/>
      </w:pBdr>
      <w:tabs>
        <w:tab w:val="left" w:pos="1440"/>
      </w:tabs>
      <w:spacing w:before="150" w:after="90"/>
      <w:ind w:left="360"/>
    </w:pPr>
    <w:rPr>
      <w:rFonts w:ascii="Georgia" w:eastAsia="Arial Unicode MS" w:hAnsi="Georgia"/>
      <w:bdr w:val="nil"/>
    </w:rPr>
  </w:style>
  <w:style w:type="paragraph" w:customStyle="1" w:styleId="Inkling">
    <w:name w:val="Inkling"/>
    <w:basedOn w:val="Body"/>
    <w:qFormat/>
    <w:rsid w:val="00BD55C4"/>
    <w:rPr>
      <w:color w:val="002060"/>
    </w:rPr>
  </w:style>
  <w:style w:type="paragraph" w:customStyle="1" w:styleId="InklingTitle">
    <w:name w:val="Inkling Title"/>
    <w:basedOn w:val="Body"/>
    <w:qFormat/>
    <w:rsid w:val="008F3C80"/>
    <w:pPr>
      <w:spacing w:before="150" w:after="90"/>
    </w:pPr>
    <w:rPr>
      <w:b/>
      <w:bCs/>
      <w:smallCaps/>
    </w:rPr>
  </w:style>
  <w:style w:type="paragraph" w:customStyle="1" w:styleId="Style1">
    <w:name w:val="Style1"/>
    <w:basedOn w:val="Heading2"/>
    <w:rsid w:val="005D0A08"/>
    <w:rPr>
      <w:rFonts w:ascii="Georgia" w:hAnsi="Georgia"/>
      <w:b/>
    </w:rPr>
  </w:style>
  <w:style w:type="character" w:customStyle="1" w:styleId="Heading5Char">
    <w:name w:val="Heading 5 Char"/>
    <w:basedOn w:val="DefaultParagraphFont"/>
    <w:link w:val="Heading5"/>
    <w:uiPriority w:val="9"/>
    <w:rsid w:val="00B32D40"/>
    <w:rPr>
      <w:rFonts w:asciiTheme="majorHAnsi" w:eastAsiaTheme="majorEastAsia" w:hAnsiTheme="majorHAnsi" w:cstheme="majorBidi"/>
      <w:color w:val="2F5496" w:themeColor="accent1" w:themeShade="BF"/>
      <w:sz w:val="24"/>
      <w:szCs w:val="24"/>
      <w:bdr w:val="nil"/>
    </w:rPr>
  </w:style>
  <w:style w:type="table" w:styleId="LightList-Accent3">
    <w:name w:val="Light List Accent 3"/>
    <w:basedOn w:val="TableNormal"/>
    <w:uiPriority w:val="61"/>
    <w:rsid w:val="004C7900"/>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4C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756AF5"/>
    <w:rPr>
      <w:i/>
      <w:iCs/>
    </w:rPr>
  </w:style>
  <w:style w:type="character" w:customStyle="1" w:styleId="UnresolvedMention">
    <w:name w:val="Unresolved Mention"/>
    <w:basedOn w:val="DefaultParagraphFont"/>
    <w:uiPriority w:val="99"/>
    <w:semiHidden/>
    <w:unhideWhenUsed/>
    <w:rsid w:val="007B0DB1"/>
    <w:rPr>
      <w:color w:val="605E5C"/>
      <w:shd w:val="clear" w:color="auto" w:fill="E1DFDD"/>
    </w:rPr>
  </w:style>
  <w:style w:type="character" w:customStyle="1" w:styleId="Heading6Char">
    <w:name w:val="Heading 6 Char"/>
    <w:basedOn w:val="DefaultParagraphFont"/>
    <w:link w:val="Heading6"/>
    <w:uiPriority w:val="9"/>
    <w:rsid w:val="003E757A"/>
    <w:rPr>
      <w:rFonts w:asciiTheme="majorHAnsi" w:eastAsiaTheme="majorEastAsia" w:hAnsiTheme="majorHAnsi" w:cstheme="majorBidi"/>
      <w:color w:val="1F3763" w:themeColor="accent1" w:themeShade="7F"/>
      <w:sz w:val="24"/>
      <w:szCs w:val="24"/>
      <w:bdr w:val="nil"/>
    </w:rPr>
  </w:style>
  <w:style w:type="paragraph" w:customStyle="1" w:styleId="Rulecross-reference">
    <w:name w:val="Rule cross-reference"/>
    <w:basedOn w:val="Rule"/>
    <w:qFormat/>
    <w:rsid w:val="002944B4"/>
    <w:rPr>
      <w:color w:val="7030A0"/>
    </w:rPr>
  </w:style>
  <w:style w:type="character" w:customStyle="1" w:styleId="Rulereferencecharacterstyle">
    <w:name w:val="Rule reference character style"/>
    <w:basedOn w:val="None"/>
    <w:uiPriority w:val="1"/>
    <w:qFormat/>
    <w:rsid w:val="00CD0922"/>
    <w:rPr>
      <w:color w:val="7030A0"/>
    </w:rPr>
  </w:style>
  <w:style w:type="paragraph" w:customStyle="1" w:styleId="paragraph">
    <w:name w:val="paragraph"/>
    <w:basedOn w:val="Normal"/>
    <w:rsid w:val="00CF2B08"/>
    <w:pPr>
      <w:spacing w:before="100" w:beforeAutospacing="1" w:after="100" w:afterAutospacing="1"/>
    </w:pPr>
  </w:style>
  <w:style w:type="character" w:customStyle="1" w:styleId="normaltextrun">
    <w:name w:val="normaltextrun"/>
    <w:basedOn w:val="DefaultParagraphFont"/>
    <w:rsid w:val="00CF2B08"/>
  </w:style>
  <w:style w:type="character" w:customStyle="1" w:styleId="eop">
    <w:name w:val="eop"/>
    <w:basedOn w:val="DefaultParagraphFont"/>
    <w:rsid w:val="00CF2B08"/>
  </w:style>
  <w:style w:type="paragraph" w:styleId="CommentSubject">
    <w:name w:val="annotation subject"/>
    <w:basedOn w:val="CommentText"/>
    <w:next w:val="CommentText"/>
    <w:link w:val="CommentSubjectChar"/>
    <w:uiPriority w:val="99"/>
    <w:semiHidden/>
    <w:unhideWhenUsed/>
    <w:rsid w:val="00CF2B08"/>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
      <w:bCs/>
      <w:bdr w:val="none" w:sz="0" w:space="0" w:color="auto"/>
    </w:rPr>
  </w:style>
  <w:style w:type="character" w:customStyle="1" w:styleId="CommentSubjectChar">
    <w:name w:val="Comment Subject Char"/>
    <w:basedOn w:val="CommentTextChar"/>
    <w:link w:val="CommentSubject"/>
    <w:uiPriority w:val="99"/>
    <w:semiHidden/>
    <w:rsid w:val="00CF2B08"/>
    <w:rPr>
      <w:rFonts w:ascii="Times New Roman" w:eastAsia="Times New Roman" w:hAnsi="Times New Roman" w:cs="Times New Roman"/>
      <w:b/>
      <w:bCs/>
      <w:sz w:val="20"/>
      <w:szCs w:val="20"/>
      <w:bdr w:val="nil"/>
    </w:rPr>
  </w:style>
  <w:style w:type="paragraph" w:styleId="BalloonText">
    <w:name w:val="Balloon Text"/>
    <w:basedOn w:val="Normal"/>
    <w:link w:val="BalloonTextChar"/>
    <w:uiPriority w:val="99"/>
    <w:semiHidden/>
    <w:unhideWhenUsed/>
    <w:rsid w:val="00CF2B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B0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338599">
      <w:bodyDiv w:val="1"/>
      <w:marLeft w:val="0"/>
      <w:marRight w:val="0"/>
      <w:marTop w:val="0"/>
      <w:marBottom w:val="0"/>
      <w:divBdr>
        <w:top w:val="none" w:sz="0" w:space="0" w:color="auto"/>
        <w:left w:val="none" w:sz="0" w:space="0" w:color="auto"/>
        <w:bottom w:val="none" w:sz="0" w:space="0" w:color="auto"/>
        <w:right w:val="none" w:sz="0" w:space="0" w:color="auto"/>
      </w:divBdr>
    </w:div>
    <w:div w:id="630209330">
      <w:bodyDiv w:val="1"/>
      <w:marLeft w:val="0"/>
      <w:marRight w:val="0"/>
      <w:marTop w:val="0"/>
      <w:marBottom w:val="0"/>
      <w:divBdr>
        <w:top w:val="none" w:sz="0" w:space="0" w:color="auto"/>
        <w:left w:val="none" w:sz="0" w:space="0" w:color="auto"/>
        <w:bottom w:val="none" w:sz="0" w:space="0" w:color="auto"/>
        <w:right w:val="none" w:sz="0" w:space="0" w:color="auto"/>
      </w:divBdr>
      <w:divsChild>
        <w:div w:id="701706770">
          <w:marLeft w:val="0"/>
          <w:marRight w:val="0"/>
          <w:marTop w:val="0"/>
          <w:marBottom w:val="0"/>
          <w:divBdr>
            <w:top w:val="none" w:sz="0" w:space="0" w:color="auto"/>
            <w:left w:val="none" w:sz="0" w:space="0" w:color="auto"/>
            <w:bottom w:val="none" w:sz="0" w:space="0" w:color="auto"/>
            <w:right w:val="none" w:sz="0" w:space="0" w:color="auto"/>
          </w:divBdr>
        </w:div>
        <w:div w:id="1779908300">
          <w:marLeft w:val="0"/>
          <w:marRight w:val="0"/>
          <w:marTop w:val="0"/>
          <w:marBottom w:val="0"/>
          <w:divBdr>
            <w:top w:val="none" w:sz="0" w:space="0" w:color="auto"/>
            <w:left w:val="none" w:sz="0" w:space="0" w:color="auto"/>
            <w:bottom w:val="none" w:sz="0" w:space="0" w:color="auto"/>
            <w:right w:val="none" w:sz="0" w:space="0" w:color="auto"/>
          </w:divBdr>
        </w:div>
      </w:divsChild>
    </w:div>
    <w:div w:id="148990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ytimes.com/2014/05/25/us/final-word-on-us-law-isnt-supreme-court-keeps-editing.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3D10-585F-436E-A014-DBE99411CB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5206E0-3841-4DF1-8FBF-EB3CDFB5B71D}">
  <ds:schemaRefs>
    <ds:schemaRef ds:uri="http://schemas.microsoft.com/sharepoint/v3/contenttype/forms"/>
  </ds:schemaRefs>
</ds:datastoreItem>
</file>

<file path=customXml/itemProps3.xml><?xml version="1.0" encoding="utf-8"?>
<ds:datastoreItem xmlns:ds="http://schemas.openxmlformats.org/officeDocument/2006/customXml" ds:itemID="{598F4700-F14B-41BD-96F9-047279EDD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A9625F-ABD2-430B-B917-9829C9E4F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8239</Words>
  <Characters>46968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Romig, Jennifer</cp:lastModifiedBy>
  <cp:revision>8</cp:revision>
  <dcterms:created xsi:type="dcterms:W3CDTF">2022-07-08T12:47:00Z</dcterms:created>
  <dcterms:modified xsi:type="dcterms:W3CDTF">2022-07-23T13:47:00Z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