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0A6C724A"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R1</w:t>
      </w:r>
      <w:r w:rsidR="002235E0">
        <w:rPr>
          <w:rStyle w:val="None"/>
          <w:rFonts w:ascii="Georgia" w:hAnsi="Georgia"/>
          <w:b/>
          <w:bCs/>
          <w:sz w:val="26"/>
          <w:szCs w:val="26"/>
        </w:rPr>
        <w:tab/>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w:t>
      </w:r>
      <w:proofErr w:type="gramStart"/>
      <w:r w:rsidR="002B60D1" w:rsidRPr="00AA0453">
        <w:rPr>
          <w:rStyle w:val="None"/>
          <w:lang w:val="en-US"/>
        </w:rPr>
        <w:t>somewhat different</w:t>
      </w:r>
      <w:proofErr w:type="gramEnd"/>
      <w:r w:rsidR="002B60D1" w:rsidRPr="00AA0453">
        <w:rPr>
          <w:rStyle w:val="None"/>
          <w:lang w:val="en-US"/>
        </w:rPr>
        <w:t xml:space="preserve">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2ACAF5D1"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other forms</w:t>
      </w:r>
      <w:r w:rsidR="002235E0">
        <w:rPr>
          <w:rStyle w:val="None"/>
          <w:rFonts w:ascii="Georgia" w:hAnsi="Georgia"/>
        </w:rPr>
        <w:t xml:space="preserve"> of</w:t>
      </w:r>
      <w:r w:rsidR="00803C62" w:rsidRPr="00AA0453">
        <w:rPr>
          <w:rStyle w:val="None"/>
          <w:rFonts w:ascii="Georgia" w:hAnsi="Georgia"/>
        </w:rPr>
        <w:t xml:space="preserve">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w:t>
      </w:r>
      <w:proofErr w:type="gramStart"/>
      <w:r w:rsidR="00803C62" w:rsidRPr="00AA0453">
        <w:rPr>
          <w:rStyle w:val="None"/>
          <w:rFonts w:ascii="Georgia" w:hAnsi="Georgia"/>
        </w:rPr>
        <w:t>generally consistent</w:t>
      </w:r>
      <w:proofErr w:type="gramEnd"/>
      <w:r w:rsidR="00803C62" w:rsidRPr="00AA0453">
        <w:rPr>
          <w:rStyle w:val="None"/>
          <w:rFonts w:ascii="Georgia" w:hAnsi="Georgia"/>
        </w:rPr>
        <w:t xml:space="preserve"> national standard. </w:t>
      </w:r>
    </w:p>
    <w:p w14:paraId="0DEA1E3B" w14:textId="5776E5F4" w:rsidR="00E11722" w:rsidRPr="00AA0453" w:rsidRDefault="00E11722" w:rsidP="00DD1BAE">
      <w:pPr>
        <w:spacing w:before="150" w:after="90"/>
        <w:ind w:left="840"/>
        <w:rPr>
          <w:rFonts w:ascii="Georgia" w:hAnsi="Georgia"/>
        </w:rPr>
      </w:pPr>
      <w:proofErr w:type="gramStart"/>
      <w:r w:rsidRPr="00AA0453">
        <w:rPr>
          <w:rStyle w:val="None"/>
          <w:rFonts w:ascii="Georgia" w:hAnsi="Georgia"/>
        </w:rPr>
        <w:t>Many</w:t>
      </w:r>
      <w:proofErr w:type="gramEnd"/>
      <w:r w:rsidRPr="00AA0453">
        <w:rPr>
          <w:rStyle w:val="None"/>
          <w:rFonts w:ascii="Georgia" w:hAnsi="Georgia"/>
        </w:rPr>
        <w:t xml:space="preserve"> state courts and </w:t>
      </w:r>
      <w:r w:rsidR="00DD1BAE" w:rsidRPr="00AA0453">
        <w:rPr>
          <w:rStyle w:val="None"/>
          <w:rFonts w:ascii="Georgia" w:hAnsi="Georgia"/>
        </w:rPr>
        <w:t>local</w:t>
      </w:r>
      <w:r w:rsidRPr="00AA0453">
        <w:rPr>
          <w:rStyle w:val="None"/>
          <w:rFonts w:ascii="Georgia" w:hAnsi="Georgia"/>
        </w:rPr>
        <w:t xml:space="preserve"> legal communities use citation </w:t>
      </w:r>
      <w:r w:rsidR="00561629">
        <w:rPr>
          <w:rStyle w:val="None"/>
          <w:rFonts w:ascii="Georgia" w:hAnsi="Georgia"/>
        </w:rPr>
        <w:t>formats</w:t>
      </w:r>
      <w:r w:rsidRPr="00AA0453">
        <w:rPr>
          <w:rStyle w:val="None"/>
          <w:rFonts w:ascii="Georgia" w:hAnsi="Georgia"/>
        </w:rPr>
        <w:t xml:space="preserve">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985A39">
        <w:rPr>
          <w:rStyle w:val="Rulereferencecharacterstyle"/>
        </w:rPr>
        <w:t>Table T3</w:t>
      </w:r>
      <w:r w:rsidR="00087544" w:rsidRPr="00AA0453">
        <w:rPr>
          <w:rStyle w:val="None"/>
          <w:rFonts w:ascii="Georgia" w:hAnsi="Georgia"/>
        </w:rPr>
        <w:t xml:space="preserve">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t>
      </w:r>
      <w:r w:rsidR="007103E2">
        <w:rPr>
          <w:rStyle w:val="None"/>
          <w:rFonts w:ascii="Georgia" w:hAnsi="Georgia"/>
        </w:rPr>
        <w:t>customizing</w:t>
      </w:r>
      <w:r w:rsidR="006F4F20">
        <w:rPr>
          <w:rStyle w:val="None"/>
          <w:rFonts w:ascii="Georgia" w:hAnsi="Georgia"/>
        </w:rPr>
        <w:t xml:space="preserve"> legal citations for </w:t>
      </w:r>
      <w:r w:rsidR="00D96642" w:rsidRPr="00AA0453">
        <w:rPr>
          <w:rStyle w:val="None"/>
          <w:rFonts w:ascii="Georgia" w:hAnsi="Georgia"/>
        </w:rPr>
        <w:t xml:space="preserve">a local audience, consult </w:t>
      </w:r>
      <w:r w:rsidR="00D96642" w:rsidRPr="00985A39">
        <w:rPr>
          <w:rStyle w:val="Rulereferencecharacterstyle"/>
        </w:rPr>
        <w:t>Table T3</w:t>
      </w:r>
      <w:r w:rsidR="00A04981">
        <w:rPr>
          <w:rStyle w:val="None"/>
          <w:rFonts w:ascii="Georgia" w:hAnsi="Georgia"/>
        </w:rPr>
        <w:t xml:space="preserve"> as well as</w:t>
      </w:r>
      <w:r w:rsidR="00D96642" w:rsidRPr="00AA0453">
        <w:rPr>
          <w:rStyle w:val="None"/>
          <w:rFonts w:ascii="Georgia" w:hAnsi="Georgia"/>
        </w:rPr>
        <w:t xml:space="preserve"> local </w:t>
      </w:r>
      <w:r w:rsidR="007103E2">
        <w:rPr>
          <w:rStyle w:val="None"/>
          <w:rFonts w:ascii="Georgia" w:hAnsi="Georgia"/>
        </w:rPr>
        <w:t>court rules, customs,</w:t>
      </w:r>
      <w:r w:rsidR="00A04981">
        <w:rPr>
          <w:rStyle w:val="None"/>
          <w:rFonts w:ascii="Georgia" w:hAnsi="Georgia"/>
        </w:rPr>
        <w:t xml:space="preserve"> and expertise</w:t>
      </w:r>
      <w:r w:rsidR="00D96642" w:rsidRPr="00AA0453">
        <w:rPr>
          <w:rStyle w:val="None"/>
          <w:rFonts w:ascii="Georgia" w:hAnsi="Georgia"/>
        </w:rPr>
        <w:t>.</w:t>
      </w:r>
      <w:r w:rsidR="007103E2">
        <w:rPr>
          <w:rStyle w:val="None"/>
          <w:rFonts w:ascii="Georgia" w:hAnsi="Georgia"/>
        </w:rPr>
        <w:t xml:space="preserve"> </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2B1AEC8C" w:rsidR="00F37BED" w:rsidRPr="00AA0453" w:rsidRDefault="007103E2" w:rsidP="00F37BED">
      <w:pPr>
        <w:pStyle w:val="Rule"/>
        <w:rPr>
          <w:rStyle w:val="None"/>
        </w:rPr>
      </w:pPr>
      <w:r>
        <w:rPr>
          <w:rStyle w:val="None"/>
        </w:rPr>
        <w:t>Academic legal documents</w:t>
      </w:r>
      <w:r w:rsidR="005C4420">
        <w:rPr>
          <w:rStyle w:val="None"/>
        </w:rPr>
        <w:t xml:space="preserve"> </w:t>
      </w:r>
      <w:r>
        <w:rPr>
          <w:rStyle w:val="None"/>
        </w:rPr>
        <w:t>include</w:t>
      </w:r>
      <w:r w:rsidR="00E9398D" w:rsidRPr="00AA0453">
        <w:rPr>
          <w:rStyle w:val="None"/>
        </w:rPr>
        <w:t xml:space="preserve"> articles for publication in law reviews</w:t>
      </w:r>
      <w:r w:rsidR="00087F6F" w:rsidRPr="00AA0453">
        <w:rPr>
          <w:rStyle w:val="None"/>
        </w:rPr>
        <w:t xml:space="preserve">, </w:t>
      </w:r>
      <w:proofErr w:type="gramStart"/>
      <w:r w:rsidR="00087F6F" w:rsidRPr="00AA0453">
        <w:rPr>
          <w:rStyle w:val="None"/>
        </w:rPr>
        <w:t>generally authored</w:t>
      </w:r>
      <w:proofErr w:type="gramEnd"/>
      <w:r w:rsidR="00087F6F" w:rsidRPr="00AA0453">
        <w:rPr>
          <w:rStyle w:val="None"/>
        </w:rPr>
        <w:t xml:space="preserve"> by law professors and law students enrolled in J.D. programs</w:t>
      </w:r>
      <w:r w:rsidR="00E9398D" w:rsidRPr="00AA0453">
        <w:rPr>
          <w:rStyle w:val="None"/>
        </w:rPr>
        <w:t>.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561629">
        <w:rPr>
          <w:rStyle w:val="None"/>
        </w:rPr>
        <w:t>. Citations in standard legal documents</w:t>
      </w:r>
      <w:r w:rsidR="005E79C8" w:rsidRPr="00AA0453">
        <w:rPr>
          <w:rStyle w:val="None"/>
        </w:rPr>
        <w:t xml:space="preserve"> and </w:t>
      </w:r>
      <w:r w:rsidR="00561629">
        <w:rPr>
          <w:rStyle w:val="None"/>
        </w:rPr>
        <w:t>law review articles</w:t>
      </w:r>
      <w:r w:rsidR="005E79C8" w:rsidRPr="00AA0453">
        <w:rPr>
          <w:rStyle w:val="None"/>
        </w:rPr>
        <w:t xml:space="preserve"> provide the same information about </w:t>
      </w:r>
      <w:r w:rsidR="00110B4C" w:rsidRPr="00AA0453">
        <w:rPr>
          <w:rStyle w:val="None"/>
        </w:rPr>
        <w:t xml:space="preserve">legal </w:t>
      </w:r>
      <w:r w:rsidR="005E79C8" w:rsidRPr="00AA0453">
        <w:rPr>
          <w:rStyle w:val="None"/>
        </w:rPr>
        <w:t>sources</w:t>
      </w:r>
      <w:r w:rsidR="00561629">
        <w:rPr>
          <w:rStyle w:val="None"/>
        </w:rPr>
        <w:t>, and a</w:t>
      </w:r>
      <w:r w:rsidR="009175F0" w:rsidRPr="00AA0453">
        <w:rPr>
          <w:rStyle w:val="None"/>
        </w:rPr>
        <w:t xml:space="preserve"> short cross-reference highlighting key font differences </w:t>
      </w:r>
      <w:proofErr w:type="gramStart"/>
      <w:r w:rsidR="009175F0" w:rsidRPr="00AA0453">
        <w:rPr>
          <w:rStyle w:val="None"/>
        </w:rPr>
        <w:t>is provided</w:t>
      </w:r>
      <w:proofErr w:type="gramEnd"/>
      <w:r w:rsidR="009175F0" w:rsidRPr="00AA0453">
        <w:rPr>
          <w:rStyle w:val="None"/>
        </w:rPr>
        <w:t xml:space="preserve"> in </w:t>
      </w:r>
      <w:r w:rsidR="009175F0" w:rsidRPr="00985A39">
        <w:rPr>
          <w:rStyle w:val="Rulereferencecharacterstyle"/>
        </w:rPr>
        <w:t>Table T</w:t>
      </w:r>
      <w:r w:rsidR="00F43D27">
        <w:rPr>
          <w:rStyle w:val="Rulereferencecharacterstyle"/>
        </w:rPr>
        <w:t>19</w:t>
      </w:r>
      <w:r w:rsidR="009175F0" w:rsidRPr="00AA0453">
        <w:rPr>
          <w:rStyle w:val="None"/>
        </w:rPr>
        <w:t xml:space="preserve">. </w:t>
      </w:r>
      <w:r w:rsidR="008F4442">
        <w:rPr>
          <w:rStyle w:val="None"/>
        </w:rPr>
        <w:t>A full treatment of formal</w:t>
      </w:r>
      <w:r w:rsidR="0015780A">
        <w:rPr>
          <w:rStyle w:val="None"/>
        </w:rPr>
        <w:t xml:space="preserve"> </w:t>
      </w:r>
      <w:r w:rsidR="00E9398D" w:rsidRPr="00AA0453">
        <w:rPr>
          <w:rStyle w:val="None"/>
        </w:rPr>
        <w:t>citation</w:t>
      </w:r>
      <w:r w:rsidR="0015780A">
        <w:rPr>
          <w:rStyle w:val="None"/>
        </w:rPr>
        <w:t xml:space="preserve"> formats</w:t>
      </w:r>
      <w:r w:rsidR="00E9398D" w:rsidRPr="00AA0453">
        <w:rPr>
          <w:rStyle w:val="None"/>
        </w:rPr>
        <w:t xml:space="preserve"> for law review</w:t>
      </w:r>
      <w:r w:rsidR="001A090A" w:rsidRPr="00AA0453">
        <w:rPr>
          <w:rStyle w:val="None"/>
        </w:rPr>
        <w:t xml:space="preserve"> articles </w:t>
      </w:r>
      <w:r w:rsidR="008F4442">
        <w:rPr>
          <w:rStyle w:val="None"/>
        </w:rPr>
        <w:t>is</w:t>
      </w:r>
      <w:r w:rsidR="00E9398D" w:rsidRPr="00AA0453">
        <w:rPr>
          <w:rStyle w:val="None"/>
        </w:rPr>
        <w:t xml:space="preserve"> outside the scope of </w:t>
      </w:r>
      <w:r w:rsidR="00E9398D" w:rsidRPr="00AA0453">
        <w:rPr>
          <w:rStyle w:val="None"/>
          <w:i/>
          <w:iCs/>
        </w:rPr>
        <w:t>The Indigo Book</w:t>
      </w:r>
      <w:r w:rsidR="00E9398D"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201E1D54" w:rsidR="00E9398D" w:rsidRPr="00AA0453" w:rsidRDefault="00E9398D" w:rsidP="00BD55C4">
      <w:pPr>
        <w:pStyle w:val="Rule"/>
        <w:rPr>
          <w:rStyle w:val="None"/>
          <w:rFonts w:eastAsia="Georgia" w:cs="Georgia"/>
        </w:rPr>
      </w:pPr>
      <w:r w:rsidRPr="00AA0453">
        <w:rPr>
          <w:rStyle w:val="None"/>
        </w:rPr>
        <w:t>In legal citations, italicize the following components, whether placed in footnotes or textual sentences:</w:t>
      </w:r>
    </w:p>
    <w:p w14:paraId="1F43666D" w14:textId="53527CFE" w:rsidR="00E9398D" w:rsidRPr="00AA0453" w:rsidRDefault="00E9398D" w:rsidP="00171F69">
      <w:pPr>
        <w:pStyle w:val="Rule"/>
        <w:numPr>
          <w:ilvl w:val="0"/>
          <w:numId w:val="100"/>
        </w:numPr>
      </w:pPr>
      <w:r w:rsidRPr="00AA0453">
        <w:rPr>
          <w:rStyle w:val="None"/>
        </w:rPr>
        <w:t>Case names—</w:t>
      </w:r>
      <w:r w:rsidR="006B6408">
        <w:rPr>
          <w:rStyle w:val="None"/>
        </w:rPr>
        <w:t>in both full and short citations</w:t>
      </w:r>
      <w:r w:rsidR="00105421" w:rsidRPr="00AA0453">
        <w:rPr>
          <w:rStyle w:val="None"/>
        </w:rPr>
        <w:t>—</w:t>
      </w:r>
      <w:r w:rsidR="00105421">
        <w:rPr>
          <w:rStyle w:val="None"/>
        </w:rPr>
        <w:t xml:space="preserve">and </w:t>
      </w:r>
      <w:r w:rsidRPr="00AA0453">
        <w:rPr>
          <w:rStyle w:val="None"/>
        </w:rPr>
        <w:t>procedural phrases (</w:t>
      </w:r>
      <w:r w:rsidR="00105421">
        <w:rPr>
          <w:rStyle w:val="None"/>
        </w:rPr>
        <w:t>such as</w:t>
      </w:r>
      <w:r w:rsidRPr="00AA0453">
        <w:rPr>
          <w:rStyle w:val="None"/>
        </w:rPr>
        <w:t> </w:t>
      </w:r>
      <w:proofErr w:type="gramStart"/>
      <w:r w:rsidRPr="00AA0453">
        <w:rPr>
          <w:rStyle w:val="None"/>
          <w:i/>
          <w:iCs/>
        </w:rPr>
        <w:t>In</w:t>
      </w:r>
      <w:proofErr w:type="gramEnd"/>
      <w:r w:rsidRPr="00AA0453">
        <w:rPr>
          <w:rStyle w:val="None"/>
          <w:i/>
          <w:iCs/>
        </w:rPr>
        <w:t xml:space="preserve"> re</w:t>
      </w:r>
      <w:r w:rsidRPr="00AA0453">
        <w:rPr>
          <w:rStyle w:val="None"/>
        </w:rPr>
        <w:t> and </w:t>
      </w:r>
      <w:r w:rsidR="00AD3120">
        <w:rPr>
          <w:rStyle w:val="None"/>
          <w:i/>
          <w:iCs/>
        </w:rPr>
        <w:t xml:space="preserve">Ex </w:t>
      </w:r>
      <w:proofErr w:type="spellStart"/>
      <w:r w:rsidR="00AD3120">
        <w:rPr>
          <w:rStyle w:val="None"/>
          <w:i/>
          <w:iCs/>
        </w:rPr>
        <w:t>parte</w:t>
      </w:r>
      <w:proofErr w:type="spellEnd"/>
      <w:r w:rsidRPr="00AA0453">
        <w:rPr>
          <w:rStyle w:val="None"/>
        </w:rPr>
        <w:t xml:space="preserve">) </w:t>
      </w:r>
      <w:r w:rsidR="00AD3120">
        <w:rPr>
          <w:rStyle w:val="None"/>
        </w:rPr>
        <w:t>embedded in</w:t>
      </w:r>
      <w:r w:rsidRPr="00AA0453">
        <w:rPr>
          <w:rStyle w:val="None"/>
        </w:rPr>
        <w:t xml:space="preserve"> the case names</w:t>
      </w:r>
    </w:p>
    <w:p w14:paraId="77BD1C2A" w14:textId="77777777" w:rsidR="00E9398D" w:rsidRPr="00AA0453" w:rsidRDefault="00E9398D" w:rsidP="00171F69">
      <w:pPr>
        <w:pStyle w:val="Rule"/>
        <w:numPr>
          <w:ilvl w:val="0"/>
          <w:numId w:val="100"/>
        </w:numPr>
      </w:pPr>
      <w:r w:rsidRPr="00AA0453">
        <w:rPr>
          <w:rStyle w:val="None"/>
        </w:rPr>
        <w:t>Book titles</w:t>
      </w:r>
    </w:p>
    <w:p w14:paraId="2CEE7CC8" w14:textId="77777777" w:rsidR="00E9398D" w:rsidRPr="00AA0453" w:rsidRDefault="00E9398D" w:rsidP="00171F69">
      <w:pPr>
        <w:pStyle w:val="Rule"/>
        <w:numPr>
          <w:ilvl w:val="0"/>
          <w:numId w:val="100"/>
        </w:numPr>
      </w:pPr>
      <w:r w:rsidRPr="00AA0453">
        <w:rPr>
          <w:rStyle w:val="None"/>
        </w:rPr>
        <w:t>Article titles</w:t>
      </w:r>
    </w:p>
    <w:p w14:paraId="5435D281" w14:textId="77777777" w:rsidR="00E9398D" w:rsidRPr="00AA0453" w:rsidRDefault="00E9398D" w:rsidP="00171F69">
      <w:pPr>
        <w:pStyle w:val="Rule"/>
        <w:numPr>
          <w:ilvl w:val="0"/>
          <w:numId w:val="100"/>
        </w:numPr>
      </w:pPr>
      <w:r w:rsidRPr="00AA0453">
        <w:rPr>
          <w:rStyle w:val="None"/>
        </w:rPr>
        <w:t>Certain titles in legislative materials such as committee hearings</w:t>
      </w:r>
    </w:p>
    <w:p w14:paraId="2FD99481" w14:textId="77777777" w:rsidR="00E9398D" w:rsidRPr="00AA0453" w:rsidRDefault="00E9398D" w:rsidP="00171F69">
      <w:pPr>
        <w:pStyle w:val="Rule"/>
        <w:numPr>
          <w:ilvl w:val="0"/>
          <w:numId w:val="100"/>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171F69">
      <w:pPr>
        <w:pStyle w:val="Rule"/>
        <w:numPr>
          <w:ilvl w:val="0"/>
          <w:numId w:val="100"/>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171F69">
      <w:pPr>
        <w:pStyle w:val="Rule"/>
        <w:numPr>
          <w:ilvl w:val="0"/>
          <w:numId w:val="100"/>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171F69">
      <w:pPr>
        <w:pStyle w:val="Rule"/>
        <w:numPr>
          <w:ilvl w:val="0"/>
          <w:numId w:val="100"/>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171F69">
      <w:pPr>
        <w:pStyle w:val="Rule"/>
        <w:numPr>
          <w:ilvl w:val="0"/>
          <w:numId w:val="101"/>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171F69">
      <w:pPr>
        <w:pStyle w:val="Rule"/>
        <w:numPr>
          <w:ilvl w:val="0"/>
          <w:numId w:val="101"/>
        </w:numPr>
      </w:pPr>
      <w:r w:rsidRPr="00AA0453">
        <w:rPr>
          <w:rStyle w:val="None"/>
        </w:rPr>
        <w:t xml:space="preserve">Words that </w:t>
      </w:r>
      <w:proofErr w:type="gramStart"/>
      <w:r w:rsidRPr="00AA0453">
        <w:rPr>
          <w:rStyle w:val="None"/>
        </w:rPr>
        <w:t>are italicized</w:t>
      </w:r>
      <w:proofErr w:type="gramEnd"/>
      <w:r w:rsidRPr="00AA0453">
        <w:rPr>
          <w:rStyle w:val="None"/>
        </w:rPr>
        <w:t xml:space="preserve"> in the original quotation, with no need to add the parenthetical (emphasis in original); and</w:t>
      </w:r>
    </w:p>
    <w:p w14:paraId="3094FA13" w14:textId="77777777" w:rsidR="00E9398D" w:rsidRPr="00AA0453" w:rsidRDefault="00E9398D" w:rsidP="00171F69">
      <w:pPr>
        <w:pStyle w:val="Rule"/>
        <w:numPr>
          <w:ilvl w:val="0"/>
          <w:numId w:val="101"/>
        </w:numPr>
      </w:pPr>
      <w:r w:rsidRPr="00AA0453">
        <w:rPr>
          <w:rStyle w:val="None"/>
        </w:rPr>
        <w:t xml:space="preserve">All words that would </w:t>
      </w:r>
      <w:proofErr w:type="gramStart"/>
      <w:r w:rsidRPr="00AA0453">
        <w:rPr>
          <w:rStyle w:val="None"/>
        </w:rPr>
        <w:t>be italicized</w:t>
      </w:r>
      <w:proofErr w:type="gramEnd"/>
      <w:r w:rsidRPr="00AA0453">
        <w:rPr>
          <w:rStyle w:val="None"/>
        </w:rPr>
        <w:t xml:space="preserve">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C404A6">
      <w:pPr>
        <w:pStyle w:val="InklingTitle"/>
        <w:rPr>
          <w:rStyle w:val="None"/>
        </w:rPr>
      </w:pPr>
      <w:r w:rsidRPr="00AA0453">
        <w:rPr>
          <w:rStyle w:val="None"/>
        </w:rPr>
        <w:t>Indigo Inkling</w:t>
      </w:r>
    </w:p>
    <w:p w14:paraId="2538AB33" w14:textId="77777777" w:rsidR="00C00D1F" w:rsidRDefault="00E9398D" w:rsidP="00C404A6">
      <w:pPr>
        <w:pStyle w:val="Inkling"/>
        <w:rPr>
          <w:rStyle w:val="None"/>
        </w:rPr>
      </w:pPr>
      <w:r w:rsidRPr="00C404A6">
        <w:rPr>
          <w:rStyle w:val="None"/>
        </w:rPr>
        <w:t>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w:t>
      </w:r>
      <w:r w:rsidR="007C771A">
        <w:rPr>
          <w:rStyle w:val="None"/>
        </w:rPr>
        <w:t xml:space="preserve">For an archaic look or where local court rules require, underlining </w:t>
      </w:r>
      <w:r w:rsidR="00C00D1F">
        <w:rPr>
          <w:rStyle w:val="None"/>
        </w:rPr>
        <w:t>is a good option. If you have a choice, we</w:t>
      </w:r>
      <w:r w:rsidRPr="00C404A6">
        <w:rPr>
          <w:rStyle w:val="None"/>
        </w:rPr>
        <w:t xml:space="preserve"> believe italics are easier to read and should be the preferred method. </w:t>
      </w:r>
    </w:p>
    <w:p w14:paraId="1E46501F" w14:textId="77777777" w:rsidR="00C00D1F" w:rsidRDefault="00C00D1F" w:rsidP="00C404A6">
      <w:pPr>
        <w:pStyle w:val="Inkling"/>
        <w:rPr>
          <w:rStyle w:val="None"/>
        </w:rPr>
      </w:pPr>
    </w:p>
    <w:p w14:paraId="58B9F762" w14:textId="415DB962" w:rsidR="00E9398D" w:rsidRPr="00C404A6" w:rsidRDefault="00C00D1F" w:rsidP="00C404A6">
      <w:pPr>
        <w:pStyle w:val="Inkling"/>
        <w:rPr>
          <w:rStyle w:val="None"/>
        </w:rPr>
      </w:pPr>
      <w:r>
        <w:rPr>
          <w:rStyle w:val="None"/>
        </w:rPr>
        <w:t>While we’re on the subject of formatting</w:t>
      </w:r>
      <w:r w:rsidR="006F7D53">
        <w:rPr>
          <w:rStyle w:val="None"/>
        </w:rPr>
        <w:t xml:space="preserve"> text, </w:t>
      </w:r>
      <w:r w:rsidR="00E9398D" w:rsidRPr="00C404A6">
        <w:rPr>
          <w:rStyle w:val="None"/>
        </w:rPr>
        <w:t>we also urge writers to format their quotations</w:t>
      </w:r>
      <w:r w:rsidR="006F7D53">
        <w:rPr>
          <w:rStyle w:val="None"/>
        </w:rPr>
        <w:t xml:space="preserve"> using all the benefits of modern word processing. Specifically, use well-formatted</w:t>
      </w:r>
      <w:r w:rsidR="00E9398D" w:rsidRPr="00C404A6">
        <w:rPr>
          <w:rStyle w:val="None"/>
        </w:rPr>
        <w:t xml:space="preserve"> “smart quotes” </w:t>
      </w:r>
      <w:r w:rsidR="00D765DF">
        <w:rPr>
          <w:rStyle w:val="None"/>
        </w:rPr>
        <w:t xml:space="preserve">(shown here) </w:t>
      </w:r>
      <w:r w:rsidR="00E9398D" w:rsidRPr="00C404A6">
        <w:rPr>
          <w:rStyle w:val="None"/>
        </w:rPr>
        <w:t xml:space="preserve">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 xml:space="preserve">For standard legal documents, in-text citations can </w:t>
      </w:r>
      <w:proofErr w:type="gramStart"/>
      <w:r w:rsidRPr="00AA0453">
        <w:rPr>
          <w:rStyle w:val="None"/>
          <w:rFonts w:ascii="Georgia" w:hAnsi="Georgia"/>
          <w:lang w:val="en-US"/>
        </w:rPr>
        <w:t>be rendered</w:t>
      </w:r>
      <w:proofErr w:type="gramEnd"/>
      <w:r w:rsidRPr="00AA0453">
        <w:rPr>
          <w:rStyle w:val="None"/>
          <w:rFonts w:ascii="Georgia" w:hAnsi="Georgia"/>
          <w:lang w:val="en-US"/>
        </w:rPr>
        <w:t xml:space="preserve">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w:t>
      </w:r>
      <w:proofErr w:type="gramStart"/>
      <w:r w:rsidRPr="00AA0453">
        <w:rPr>
          <w:rStyle w:val="None"/>
          <w:rFonts w:ascii="Georgia" w:hAnsi="Georgia"/>
        </w:rPr>
        <w:t>text;</w:t>
      </w:r>
      <w:proofErr w:type="gramEnd"/>
      <w:r w:rsidRPr="00AA0453">
        <w:rPr>
          <w:rStyle w:val="None"/>
          <w:rFonts w:ascii="Georgia" w:hAnsi="Georgia"/>
        </w:rPr>
        <w:t xml:space="preserve">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1A919127" w:rsidR="00EA1B28" w:rsidRPr="00AA0453" w:rsidRDefault="00EA1B28" w:rsidP="00EA1B28">
      <w:pPr>
        <w:pStyle w:val="Heading4"/>
        <w:rPr>
          <w:rFonts w:ascii="Georgia" w:hAnsi="Georgia"/>
        </w:rPr>
      </w:pPr>
      <w:r w:rsidRPr="00AA0453">
        <w:rPr>
          <w:rFonts w:ascii="Georgia" w:hAnsi="Georgia"/>
        </w:rPr>
        <w:t xml:space="preserve">R3.2 </w:t>
      </w:r>
      <w:r w:rsidR="008D2016">
        <w:rPr>
          <w:rFonts w:ascii="Georgia" w:hAnsi="Georgia"/>
        </w:rPr>
        <w:tab/>
      </w:r>
      <w:r w:rsidRPr="00AA0453">
        <w:rPr>
          <w:rFonts w:ascii="Georgia" w:hAnsi="Georgia"/>
        </w:rPr>
        <w:t>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637BE62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 xml:space="preserve">Miller </w:t>
      </w:r>
      <w:r w:rsidR="00AD52A6">
        <w:rPr>
          <w:rStyle w:val="None"/>
          <w:i/>
          <w:iCs/>
          <w:shd w:val="clear" w:color="auto" w:fill="FFFFFF"/>
        </w:rPr>
        <w:t>Bros.</w:t>
      </w:r>
      <w:r w:rsidRPr="00AA0453">
        <w:rPr>
          <w:rStyle w:val="None"/>
          <w:i/>
          <w:iCs/>
          <w:shd w:val="clear" w:color="auto" w:fill="FFFFFF"/>
        </w:rPr>
        <w:t xml:space="preserve">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435EDE65" w:rsidR="00EA1B28" w:rsidRPr="00AA0453" w:rsidRDefault="00EA1B28" w:rsidP="00EA1B28">
      <w:pPr>
        <w:pStyle w:val="Rule"/>
        <w:rPr>
          <w:rStyle w:val="None"/>
        </w:rPr>
      </w:pPr>
      <w:r w:rsidRPr="00AA0453">
        <w:rPr>
          <w:rStyle w:val="None"/>
        </w:rPr>
        <w:t xml:space="preserve">Citations following sentences can be single citations or, when appropriate, </w:t>
      </w:r>
      <w:proofErr w:type="gramStart"/>
      <w:r w:rsidRPr="00AA0453">
        <w:rPr>
          <w:rStyle w:val="None"/>
        </w:rPr>
        <w:t>several</w:t>
      </w:r>
      <w:proofErr w:type="gramEnd"/>
      <w:r w:rsidRPr="00AA0453">
        <w:rPr>
          <w:rStyle w:val="None"/>
        </w:rPr>
        <w:t xml:space="preserve"> sequential citations separated by a semicolon (known as a “string citation”). These string citations can utilize citation signals consistent with </w:t>
      </w:r>
      <w:r w:rsidRPr="00104DAB">
        <w:rPr>
          <w:rStyle w:val="Rulereferencecharacterstyle"/>
        </w:rPr>
        <w:t xml:space="preserve">Rule </w:t>
      </w:r>
      <w:r w:rsidR="008D2016" w:rsidRPr="00104DAB">
        <w:rPr>
          <w:rStyle w:val="Rulereferencecharacterstyle"/>
        </w:rPr>
        <w:t>R</w:t>
      </w:r>
      <w:r w:rsidRPr="00104DAB">
        <w:rPr>
          <w:rStyle w:val="Rulereferencecharacterstyle"/>
        </w:rPr>
        <w:t>4</w:t>
      </w:r>
      <w:r w:rsidRPr="00AA0453">
        <w:rPr>
          <w:rStyle w:val="None"/>
        </w:rPr>
        <w:t xml:space="preserve">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044163F4"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proofErr w:type="spellStart"/>
      <w:r w:rsidR="00E573F1">
        <w:rPr>
          <w:rStyle w:val="None"/>
          <w:i/>
          <w:iCs/>
        </w:rPr>
        <w:t>Nat’l</w:t>
      </w:r>
      <w:proofErr w:type="spellEnd"/>
      <w:r w:rsidRPr="00AA0453">
        <w:rPr>
          <w:rStyle w:val="None"/>
          <w:i/>
          <w:iCs/>
        </w:rPr>
        <w:t xml:space="preserve"> </w:t>
      </w:r>
      <w:proofErr w:type="spellStart"/>
      <w:r w:rsidRPr="00AA0453">
        <w:rPr>
          <w:rStyle w:val="None"/>
          <w:i/>
          <w:iCs/>
        </w:rPr>
        <w:t>Bellas</w:t>
      </w:r>
      <w:proofErr w:type="spellEnd"/>
      <w:r w:rsidRPr="00AA0453">
        <w:rPr>
          <w:rStyle w:val="None"/>
          <w:i/>
          <w:iCs/>
        </w:rPr>
        <w:t xml:space="preserve"> Hess, Inc. v. </w:t>
      </w:r>
      <w:proofErr w:type="spellStart"/>
      <w:r w:rsidRPr="00AA0453">
        <w:rPr>
          <w:rStyle w:val="None"/>
          <w:i/>
          <w:iCs/>
        </w:rPr>
        <w:t>Dep’t</w:t>
      </w:r>
      <w:proofErr w:type="spellEnd"/>
      <w:r w:rsidRPr="00AA0453">
        <w:rPr>
          <w:rStyle w:val="None"/>
          <w:i/>
          <w:iCs/>
        </w:rPr>
        <w:t xml:space="preserve">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proofErr w:type="gramStart"/>
      <w:r w:rsidRPr="00AA0453">
        <w:rPr>
          <w:rStyle w:val="None"/>
        </w:rPr>
        <w:t>Some</w:t>
      </w:r>
      <w:proofErr w:type="gramEnd"/>
      <w:r w:rsidRPr="00AA0453">
        <w:rPr>
          <w:rStyle w:val="None"/>
        </w:rPr>
        <w:t xml:space="preserv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 xml:space="preserve">Separate citation clauses from the text with commas. Do not add additional capital letters beyond the required capitalization of the sources </w:t>
      </w:r>
      <w:proofErr w:type="gramStart"/>
      <w:r w:rsidRPr="00AA0453">
        <w:rPr>
          <w:rStyle w:val="None"/>
        </w:rPr>
        <w:t>being cited</w:t>
      </w:r>
      <w:proofErr w:type="gramEnd"/>
      <w:r w:rsidRPr="00AA0453">
        <w:rPr>
          <w:rStyle w:val="None"/>
        </w:rPr>
        <w:t>.</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03ED8EF1" w:rsidR="00EA1B28" w:rsidRPr="00AA0453" w:rsidRDefault="00EA1B28" w:rsidP="00EA1B28">
      <w:pPr>
        <w:pStyle w:val="Example"/>
        <w:rPr>
          <w:rStyle w:val="None"/>
        </w:rPr>
      </w:pPr>
      <w:r w:rsidRPr="00AA0453">
        <w:rPr>
          <w:rStyle w:val="None"/>
        </w:rPr>
        <w:t xml:space="preserve">Federal law </w:t>
      </w:r>
      <w:r w:rsidR="00814AA1">
        <w:rPr>
          <w:rStyle w:val="None"/>
        </w:rPr>
        <w:t>attempts to address</w:t>
      </w:r>
      <w:r w:rsidRPr="00AA0453">
        <w:rPr>
          <w:rStyle w:val="None"/>
        </w:rPr>
        <w:t xml:space="preserve"> online </w:t>
      </w:r>
      <w:proofErr w:type="gramStart"/>
      <w:r w:rsidRPr="00AA0453">
        <w:rPr>
          <w:rStyle w:val="None"/>
        </w:rPr>
        <w:t>privacy generally, 18</w:t>
      </w:r>
      <w:proofErr w:type="gramEnd"/>
      <w:r w:rsidRPr="00AA0453">
        <w:rPr>
          <w:rStyle w:val="None"/>
        </w:rPr>
        <w:t xml:space="preserve"> U.S.C. §§ 2510-2523, and children’s privacy specifically, 15 U.S.C. §§ 6501-6505.</w:t>
      </w:r>
    </w:p>
    <w:p w14:paraId="5FB138E3" w14:textId="1AE0E680"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w:t>
      </w:r>
      <w:r w:rsidR="00814AA1">
        <w:rPr>
          <w:rStyle w:val="None"/>
        </w:rPr>
        <w:t>pt.</w:t>
      </w:r>
      <w:r w:rsidRPr="00AA0453">
        <w:rPr>
          <w:rStyle w:val="None"/>
        </w:rPr>
        <w:t xml:space="preserve">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 xml:space="preserve">Citations can </w:t>
      </w:r>
      <w:proofErr w:type="gramStart"/>
      <w:r w:rsidRPr="00AA0453">
        <w:rPr>
          <w:rStyle w:val="None"/>
          <w:rFonts w:ascii="Georgia" w:hAnsi="Georgia"/>
          <w:lang w:val="en-US"/>
        </w:rPr>
        <w:t>be embedded</w:t>
      </w:r>
      <w:proofErr w:type="gramEnd"/>
      <w:r w:rsidRPr="00AA0453">
        <w:rPr>
          <w:rStyle w:val="None"/>
          <w:rFonts w:ascii="Georgia" w:hAnsi="Georgia"/>
          <w:lang w:val="en-US"/>
        </w:rPr>
        <w:t xml:space="preserve"> into the grammatical structure of a textual sentence in a variety of ways.</w:t>
      </w:r>
      <w:r w:rsidRPr="00AA0453">
        <w:rPr>
          <w:rStyle w:val="None"/>
          <w:lang w:val="en-US"/>
        </w:rPr>
        <w:t xml:space="preserve"> </w:t>
      </w:r>
      <w:r w:rsidRPr="00AA0453">
        <w:rPr>
          <w:rStyle w:val="None"/>
          <w:rFonts w:ascii="Georgia" w:hAnsi="Georgia"/>
          <w:lang w:val="en-US"/>
        </w:rPr>
        <w:t xml:space="preserve">Because citations embedded in sentences </w:t>
      </w:r>
      <w:proofErr w:type="gramStart"/>
      <w:r w:rsidRPr="00AA0453">
        <w:rPr>
          <w:rStyle w:val="None"/>
          <w:rFonts w:ascii="Georgia" w:hAnsi="Georgia"/>
          <w:lang w:val="en-US"/>
        </w:rPr>
        <w:t>are read</w:t>
      </w:r>
      <w:proofErr w:type="gramEnd"/>
      <w:r w:rsidRPr="00AA0453">
        <w:rPr>
          <w:rStyle w:val="None"/>
          <w:rFonts w:ascii="Georgia" w:hAnsi="Georgia"/>
          <w:lang w:val="en-US"/>
        </w:rPr>
        <w:t xml:space="preserve">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w:t>
      </w:r>
      <w:proofErr w:type="gramStart"/>
      <w:r w:rsidRPr="00AA0453">
        <w:rPr>
          <w:rStyle w:val="None"/>
          <w:shd w:val="clear" w:color="auto" w:fill="FFFFFF"/>
        </w:rPr>
        <w:t>be grounded</w:t>
      </w:r>
      <w:proofErr w:type="gramEnd"/>
      <w:r w:rsidRPr="00AA0453">
        <w:rPr>
          <w:rStyle w:val="None"/>
          <w:shd w:val="clear" w:color="auto" w:fill="FFFFFF"/>
        </w:rPr>
        <w:t xml:space="preserve">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xml:space="preserve">, the Court first eschewed the idea that a constitutional right could </w:t>
      </w:r>
      <w:proofErr w:type="gramStart"/>
      <w:r w:rsidRPr="00AA0453">
        <w:rPr>
          <w:rStyle w:val="None"/>
          <w:shd w:val="clear" w:color="auto" w:fill="FFFFFF"/>
        </w:rPr>
        <w:t>be grounded</w:t>
      </w:r>
      <w:proofErr w:type="gramEnd"/>
      <w:r w:rsidRPr="00AA0453">
        <w:rPr>
          <w:rStyle w:val="None"/>
          <w:shd w:val="clear" w:color="auto" w:fill="FFFFFF"/>
        </w:rPr>
        <w:t xml:space="preserve"> in “the practical opportunities for tax avoidance.” 312 U.S. 359, 366 (1941),</w:t>
      </w:r>
    </w:p>
    <w:p w14:paraId="52153C54" w14:textId="79779E00"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w:t>
      </w:r>
      <w:r w:rsidR="00495238">
        <w:rPr>
          <w:rStyle w:val="None"/>
        </w:rPr>
        <w:t>“</w:t>
      </w:r>
      <w:r w:rsidRPr="00AA0453">
        <w:rPr>
          <w:rStyle w:val="None"/>
        </w:rPr>
        <w:t>COPPA</w:t>
      </w:r>
      <w:r w:rsidR="00495238">
        <w:rPr>
          <w:rStyle w:val="None"/>
        </w:rPr>
        <w:t>”</w:t>
      </w:r>
      <w:r w:rsidRPr="00AA0453">
        <w:rPr>
          <w:rStyle w:val="None"/>
        </w:rPr>
        <w:t>)</w:t>
      </w:r>
      <w:r w:rsidR="00495238">
        <w:rPr>
          <w:rStyle w:val="None"/>
        </w:rPr>
        <w:t>,</w:t>
      </w:r>
      <w:r w:rsidRPr="00AA0453">
        <w:rPr>
          <w:rStyle w:val="None"/>
        </w:rPr>
        <w:t xml:space="preserve"> was the first federal law specifically protecting children under the age of </w:t>
      </w:r>
      <w:proofErr w:type="gramStart"/>
      <w:r w:rsidRPr="00AA0453">
        <w:rPr>
          <w:rStyle w:val="None"/>
        </w:rPr>
        <w:t>13</w:t>
      </w:r>
      <w:proofErr w:type="gramEnd"/>
      <w:r w:rsidRPr="00AA0453">
        <w:rPr>
          <w:rStyle w:val="None"/>
        </w:rPr>
        <w:t>.</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w:t>
      </w:r>
      <w:proofErr w:type="gramStart"/>
      <w:r w:rsidRPr="00AA0453">
        <w:rPr>
          <w:rStyle w:val="None"/>
          <w:lang w:val="en-US"/>
        </w:rPr>
        <w:t>been integrated</w:t>
      </w:r>
      <w:proofErr w:type="gramEnd"/>
      <w:r w:rsidRPr="00AA0453">
        <w:rPr>
          <w:rStyle w:val="None"/>
          <w:lang w:val="en-US"/>
        </w:rPr>
        <w:t xml:space="preserve"> into the main body text. These citations may </w:t>
      </w:r>
      <w:proofErr w:type="gramStart"/>
      <w:r w:rsidRPr="00AA0453">
        <w:rPr>
          <w:rStyle w:val="None"/>
          <w:lang w:val="en-US"/>
        </w:rPr>
        <w:t>be placed</w:t>
      </w:r>
      <w:proofErr w:type="gramEnd"/>
      <w:r w:rsidRPr="00AA0453">
        <w:rPr>
          <w:rStyle w:val="None"/>
          <w:lang w:val="en-US"/>
        </w:rPr>
        <w:t xml:space="preserve">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proofErr w:type="gramStart"/>
      <w:r w:rsidRPr="00AA0453">
        <w:rPr>
          <w:rStyle w:val="None"/>
          <w:lang w:val="en-US"/>
        </w:rPr>
        <w:t>Some</w:t>
      </w:r>
      <w:proofErr w:type="gramEnd"/>
      <w:r w:rsidRPr="00AA0453">
        <w:rPr>
          <w:rStyle w:val="None"/>
          <w:lang w:val="en-US"/>
        </w:rPr>
        <w:t xml:space="preserv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w:t>
      </w:r>
      <w:proofErr w:type="gramStart"/>
      <w:r w:rsidRPr="00AA0453">
        <w:rPr>
          <w:rStyle w:val="None"/>
          <w:lang w:val="en-US"/>
        </w:rPr>
        <w:t>be accomplished</w:t>
      </w:r>
      <w:proofErr w:type="gramEnd"/>
      <w:r w:rsidRPr="00AA0453">
        <w:rPr>
          <w:rStyle w:val="None"/>
          <w:lang w:val="en-US"/>
        </w:rPr>
        <w:t xml:space="preserve"> with style and grace. The Indigo Book provides citation rules that can </w:t>
      </w:r>
      <w:proofErr w:type="gramStart"/>
      <w:r w:rsidRPr="00AA0453">
        <w:rPr>
          <w:rStyle w:val="None"/>
          <w:lang w:val="en-US"/>
        </w:rPr>
        <w:t>be used</w:t>
      </w:r>
      <w:proofErr w:type="gramEnd"/>
      <w:r w:rsidRPr="00AA0453">
        <w:rPr>
          <w:rStyle w:val="None"/>
          <w:lang w:val="en-US"/>
        </w:rPr>
        <w:t xml:space="preserve">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785CEE4C" w:rsidR="00135932" w:rsidRPr="00AA0453" w:rsidRDefault="00104DAB" w:rsidP="00EA1B28">
      <w:pPr>
        <w:pStyle w:val="Inkling"/>
        <w:rPr>
          <w:lang w:val="en-US"/>
        </w:rPr>
      </w:pPr>
      <w:r>
        <w:rPr>
          <w:rStyle w:val="None"/>
          <w:lang w:val="en-US"/>
        </w:rPr>
        <w:t>The original edition of</w:t>
      </w:r>
      <w:r w:rsidR="00EA1B28" w:rsidRPr="00AA0453">
        <w:rPr>
          <w:rStyle w:val="None"/>
          <w:lang w:val="en-US"/>
        </w:rPr>
        <w:t xml:space="preserve"> </w:t>
      </w:r>
      <w:r w:rsidR="00EA1B28" w:rsidRPr="00104DAB">
        <w:rPr>
          <w:rStyle w:val="None"/>
          <w:i/>
          <w:iCs/>
          <w:lang w:val="en-US"/>
        </w:rPr>
        <w:t>The Indigo Book</w:t>
      </w:r>
      <w:r w:rsidR="00EA1B28" w:rsidRPr="00AA0453">
        <w:rPr>
          <w:rStyle w:val="None"/>
          <w:lang w:val="en-US"/>
        </w:rPr>
        <w:t xml:space="preserve"> advised writers</w:t>
      </w:r>
      <w:r>
        <w:rPr>
          <w:rStyle w:val="None"/>
          <w:lang w:val="en-US"/>
        </w:rPr>
        <w:t xml:space="preserve"> to use footnotes only </w:t>
      </w:r>
      <w:r w:rsidR="00EA1B28" w:rsidRPr="00AA0453">
        <w:rPr>
          <w:rStyle w:val="None"/>
          <w:lang w:val="en-US"/>
        </w:rPr>
        <w:t xml:space="preserve">when allowed by a court’s local rules. This remains good advice, although we note that </w:t>
      </w:r>
      <w:proofErr w:type="gramStart"/>
      <w:r w:rsidR="00EA1B28" w:rsidRPr="00AA0453">
        <w:rPr>
          <w:rStyle w:val="None"/>
          <w:lang w:val="en-US"/>
        </w:rPr>
        <w:t>some</w:t>
      </w:r>
      <w:proofErr w:type="gramEnd"/>
      <w:r w:rsidR="00EA1B28" w:rsidRPr="00AA0453">
        <w:rPr>
          <w:rStyle w:val="None"/>
          <w:lang w:val="en-US"/>
        </w:rPr>
        <w:t xml:space="preserve"> writers use footnotes when not expressly prohibited by a court’s local rules. </w:t>
      </w:r>
      <w:r w:rsidR="00EA1B28" w:rsidRPr="00104DAB">
        <w:rPr>
          <w:rStyle w:val="Rulereferencecharacterstyle"/>
        </w:rPr>
        <w:t xml:space="preserve">Rule </w:t>
      </w:r>
      <w:r w:rsidR="00D20719" w:rsidRPr="00104DAB">
        <w:rPr>
          <w:rStyle w:val="Rulereferencecharacterstyle"/>
        </w:rPr>
        <w:t>R</w:t>
      </w:r>
      <w:r w:rsidR="00EA1B28" w:rsidRPr="00104DAB">
        <w:rPr>
          <w:rStyle w:val="Rulereferencecharacterstyle"/>
        </w:rPr>
        <w:t>3</w:t>
      </w:r>
      <w:r w:rsidR="00EA1B28" w:rsidRPr="00AA0453">
        <w:rPr>
          <w:rStyle w:val="None"/>
          <w:lang w:val="en-US"/>
        </w:rPr>
        <w:t xml:space="preserve"> has been modified to </w:t>
      </w:r>
      <w:r>
        <w:rPr>
          <w:rStyle w:val="None"/>
          <w:lang w:val="en-US"/>
        </w:rPr>
        <w:t xml:space="preserve">more </w:t>
      </w:r>
      <w:r w:rsidR="00EA1B28" w:rsidRPr="00AA0453">
        <w:rPr>
          <w:rStyle w:val="None"/>
          <w:lang w:val="en-US"/>
        </w:rPr>
        <w:t xml:space="preserve">fully accommodate the writer’s discretion. As with </w:t>
      </w:r>
      <w:proofErr w:type="gramStart"/>
      <w:r w:rsidR="00EA1B28" w:rsidRPr="00AA0453">
        <w:rPr>
          <w:rStyle w:val="None"/>
          <w:lang w:val="en-US"/>
        </w:rPr>
        <w:t>many</w:t>
      </w:r>
      <w:proofErr w:type="gramEnd"/>
      <w:r w:rsidR="00EA1B28" w:rsidRPr="00AA0453">
        <w:rPr>
          <w:rStyle w:val="None"/>
          <w:lang w:val="en-US"/>
        </w:rPr>
        <w:t xml:space="preserve">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5AFEB6D6" w:rsidR="00E9398D" w:rsidRPr="00AA0453" w:rsidRDefault="00E9398D" w:rsidP="005B425F">
      <w:pPr>
        <w:pStyle w:val="Rule"/>
        <w:rPr>
          <w:rStyle w:val="None"/>
        </w:rPr>
      </w:pPr>
      <w:r w:rsidRPr="00AA0453">
        <w:rPr>
          <w:rStyle w:val="None"/>
        </w:rPr>
        <w:t>A signal</w:t>
      </w:r>
      <w:r w:rsidR="00AA3BEE">
        <w:rPr>
          <w:rStyle w:val="None"/>
        </w:rPr>
        <w:t xml:space="preserve"> represents </w:t>
      </w:r>
      <w:r w:rsidRPr="00AA0453">
        <w:rPr>
          <w:rStyle w:val="None"/>
        </w:rPr>
        <w:t xml:space="preserve">the relationship between the author’s </w:t>
      </w:r>
      <w:r w:rsidR="00EB6A8F">
        <w:rPr>
          <w:rStyle w:val="None"/>
        </w:rPr>
        <w:t>assertion</w:t>
      </w:r>
      <w:r w:rsidRPr="00AA0453">
        <w:rPr>
          <w:rStyle w:val="None"/>
        </w:rPr>
        <w:t xml:space="preserve"> and the source or sources cited following that </w:t>
      </w:r>
      <w:r w:rsidR="00EB6A8F">
        <w:rPr>
          <w:rStyle w:val="None"/>
        </w:rPr>
        <w:t>assertion</w:t>
      </w:r>
      <w:r w:rsidR="00081E3F">
        <w:rPr>
          <w:rStyle w:val="None"/>
        </w:rPr>
        <w:t xml:space="preserve">, a relationship that can run the gamut from supporting it directly to supporting the exact opposite </w:t>
      </w:r>
      <w:r w:rsidR="005B425F">
        <w:rPr>
          <w:rStyle w:val="None"/>
        </w:rPr>
        <w:t>of that assertion</w:t>
      </w:r>
      <w:r w:rsidRPr="00AA0453">
        <w:rPr>
          <w:rStyle w:val="None"/>
        </w:rPr>
        <w:t xml:space="preserve">. </w:t>
      </w:r>
      <w:r w:rsidR="005B425F">
        <w:rPr>
          <w:rStyle w:val="None"/>
        </w:rPr>
        <w:t>To show this relationship, the</w:t>
      </w:r>
      <w:r w:rsidRPr="00AA0453">
        <w:rPr>
          <w:rStyle w:val="None"/>
        </w:rPr>
        <w:t xml:space="preserv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7D52D32F" w14:textId="53DD8855" w:rsidR="00756AF5" w:rsidRPr="00AA0453" w:rsidRDefault="00E9398D" w:rsidP="005B425F">
      <w:pPr>
        <w:pStyle w:val="Rule"/>
        <w:rPr>
          <w:rStyle w:val="None"/>
        </w:rPr>
      </w:pPr>
      <w:r w:rsidRPr="00AA0453">
        <w:rPr>
          <w:rStyle w:val="None"/>
        </w:rPr>
        <w:t xml:space="preserve">There are four basic categories of </w:t>
      </w:r>
      <w:r w:rsidR="00FA58FE" w:rsidRPr="00AA0453">
        <w:rPr>
          <w:rStyle w:val="None"/>
        </w:rPr>
        <w:t>signals:</w:t>
      </w: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060"/>
        <w:gridCol w:w="7300"/>
      </w:tblGrid>
      <w:tr w:rsidR="00756AF5" w:rsidRPr="00AA0453" w14:paraId="1DE5A8AB" w14:textId="77777777" w:rsidTr="00CF2B0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CF2B08">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CF2B0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2025B39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F05F38">
              <w:rPr>
                <w:rFonts w:ascii="Georgia" w:hAnsi="Georgia"/>
                <w:i/>
                <w:iCs/>
                <w:color w:val="000000"/>
                <w:sz w:val="20"/>
                <w:szCs w:val="20"/>
              </w:rPr>
              <w:t>Compare</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t>
            </w:r>
            <w:r w:rsidRPr="00F05F38">
              <w:rPr>
                <w:rFonts w:ascii="Georgia" w:hAnsi="Georgia"/>
                <w:i/>
                <w:iCs/>
                <w:color w:val="000000"/>
                <w:sz w:val="20"/>
                <w:szCs w:val="20"/>
              </w:rPr>
              <w:t>with</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p>
        </w:tc>
      </w:tr>
      <w:tr w:rsidR="00756AF5" w:rsidRPr="00AA0453" w14:paraId="7449E387" w14:textId="77777777" w:rsidTr="00CF2B08">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CF2B0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w:t>
      </w:r>
      <w:proofErr w:type="gramStart"/>
      <w:r w:rsidRPr="00AA0453">
        <w:rPr>
          <w:rStyle w:val="None"/>
        </w:rPr>
        <w:t>is used</w:t>
      </w:r>
      <w:proofErr w:type="gramEnd"/>
      <w:r w:rsidRPr="00AA0453">
        <w:rPr>
          <w:rStyle w:val="None"/>
        </w:rPr>
        <w:t xml:space="preserve">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w:t>
      </w:r>
      <w:proofErr w:type="gramStart"/>
      <w:r w:rsidRPr="00AA0453">
        <w:rPr>
          <w:rStyle w:val="None"/>
        </w:rPr>
        <w:t>is provided</w:t>
      </w:r>
      <w:proofErr w:type="gramEnd"/>
      <w:r w:rsidRPr="00AA0453">
        <w:rPr>
          <w:rStyle w:val="None"/>
        </w:rPr>
        <w:t xml:space="preserve">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 xml:space="preserve">In citation sentences, signals in the same category </w:t>
      </w:r>
      <w:proofErr w:type="gramStart"/>
      <w:r w:rsidRPr="00AA0453">
        <w:rPr>
          <w:rStyle w:val="None"/>
        </w:rPr>
        <w:t>are listed</w:t>
      </w:r>
      <w:proofErr w:type="gramEnd"/>
      <w:r w:rsidRPr="00AA0453">
        <w:rPr>
          <w:rStyle w:val="None"/>
        </w:rPr>
        <w:t xml:space="preserve"> within a single sentence, and each one is marked off by semicolons. Signals in separate categories, however, </w:t>
      </w:r>
      <w:proofErr w:type="gramStart"/>
      <w:r w:rsidRPr="00AA0453">
        <w:rPr>
          <w:rStyle w:val="None"/>
        </w:rPr>
        <w:t>are listed</w:t>
      </w:r>
      <w:proofErr w:type="gramEnd"/>
      <w:r w:rsidRPr="00AA0453">
        <w:rPr>
          <w:rStyle w:val="None"/>
        </w:rPr>
        <w:t xml:space="preserve">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3200A783"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 xml:space="preserve">In citation clauses, all signals </w:t>
      </w:r>
      <w:r w:rsidR="009C2CE5">
        <w:rPr>
          <w:rStyle w:val="None"/>
          <w:rFonts w:ascii="Georgia" w:hAnsi="Georgia"/>
          <w:lang w:val="en-US"/>
        </w:rPr>
        <w:t xml:space="preserve">(regardless of category) </w:t>
      </w:r>
      <w:proofErr w:type="gramStart"/>
      <w:r w:rsidRPr="00AA0453">
        <w:rPr>
          <w:rStyle w:val="None"/>
          <w:rFonts w:ascii="Georgia" w:hAnsi="Georgia"/>
          <w:lang w:val="en-US"/>
        </w:rPr>
        <w:t>are listed</w:t>
      </w:r>
      <w:proofErr w:type="gramEnd"/>
      <w:r w:rsidRPr="00AA0453">
        <w:rPr>
          <w:rStyle w:val="None"/>
          <w:rFonts w:ascii="Georgia" w:hAnsi="Georgia"/>
          <w:lang w:val="en-US"/>
        </w:rPr>
        <w:t xml:space="preserve">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xml:space="preserve">, 569 U.S. 435, 481 (2013) (Scalia, J., dissenting) (“Solving unsolved crimes is a noble objective, but it occupies a lower place in the American pantheon of noble objectives than the protection of our people from </w:t>
      </w:r>
      <w:proofErr w:type="spellStart"/>
      <w:r w:rsidRPr="00AA0453">
        <w:rPr>
          <w:rStyle w:val="None"/>
        </w:rPr>
        <w:t>suspicionless</w:t>
      </w:r>
      <w:proofErr w:type="spellEnd"/>
      <w:r w:rsidRPr="00AA0453">
        <w:rPr>
          <w:rStyle w:val="None"/>
        </w:rPr>
        <w:t xml:space="preserve">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7A8A46F9"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Judge </w:t>
      </w:r>
      <w:proofErr w:type="spellStart"/>
      <w:r w:rsidRPr="00AA0453">
        <w:rPr>
          <w:rStyle w:val="None"/>
          <w:lang w:val="en-US"/>
        </w:rPr>
        <w:t>Ruggero</w:t>
      </w:r>
      <w:proofErr w:type="spellEnd"/>
      <w:r w:rsidRPr="00AA0453">
        <w:rPr>
          <w:rStyle w:val="None"/>
          <w:lang w:val="en-US"/>
        </w:rPr>
        <w:t xml:space="preserve"> J. </w:t>
      </w:r>
      <w:proofErr w:type="spellStart"/>
      <w:r w:rsidRPr="00AA0453">
        <w:rPr>
          <w:rStyle w:val="None"/>
          <w:lang w:val="en-US"/>
        </w:rPr>
        <w:t>Aldisert</w:t>
      </w:r>
      <w:proofErr w:type="spellEnd"/>
      <w:r w:rsidRPr="00AA0453">
        <w:rPr>
          <w:rStyle w:val="None"/>
          <w:lang w:val="en-US"/>
        </w:rPr>
        <w:t xml:space="preserve">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w:t>
      </w:r>
      <w:proofErr w:type="spellStart"/>
      <w:r w:rsidRPr="00AA0453">
        <w:rPr>
          <w:rStyle w:val="None"/>
          <w:lang w:val="en-US"/>
        </w:rPr>
        <w:t>Aldisert</w:t>
      </w:r>
      <w:proofErr w:type="spellEnd"/>
      <w:r w:rsidRPr="00AA0453">
        <w:rPr>
          <w:rStyle w:val="None"/>
          <w:lang w:val="en-US"/>
        </w:rPr>
        <w:t xml:space="preserve"> in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w:t>
      </w:r>
      <w:proofErr w:type="gramStart"/>
      <w:r w:rsidRPr="00AA0453">
        <w:rPr>
          <w:rStyle w:val="None"/>
          <w:lang w:val="en-US"/>
        </w:rPr>
        <w:t>several</w:t>
      </w:r>
      <w:proofErr w:type="gramEnd"/>
      <w:r w:rsidRPr="00AA0453">
        <w:rPr>
          <w:rStyle w:val="None"/>
          <w:lang w:val="en-US"/>
        </w:rPr>
        <w:t xml:space="preserve">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401C08CB" w:rsidR="00E9398D" w:rsidRDefault="009B54E2" w:rsidP="009B54E2">
      <w:pPr>
        <w:pStyle w:val="Inkling"/>
        <w:rPr>
          <w:rStyle w:val="None"/>
          <w:lang w:val="en-US"/>
        </w:rPr>
      </w:pPr>
      <w:r w:rsidRPr="00AA0453">
        <w:rPr>
          <w:rStyle w:val="None"/>
          <w:lang w:val="en-US"/>
        </w:rPr>
        <w:t xml:space="preserve">When a string citation is appropriate, the writer must decide how to order the authorities in the string. In </w:t>
      </w:r>
      <w:proofErr w:type="gramStart"/>
      <w:r w:rsidRPr="00AA0453">
        <w:rPr>
          <w:rStyle w:val="None"/>
          <w:lang w:val="en-US"/>
        </w:rPr>
        <w:t>relatively recent</w:t>
      </w:r>
      <w:proofErr w:type="gramEnd"/>
      <w:r w:rsidRPr="00AA0453">
        <w:rPr>
          <w:rStyle w:val="None"/>
          <w:lang w:val="en-US"/>
        </w:rPr>
        <w:t xml:space="preserve">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constitutions before statutes, state statutes in alphabetical order by state, federal cases before state cases, legislative materials before regulatory materials,</w:t>
      </w:r>
      <w:r w:rsidR="0032065F">
        <w:rPr>
          <w:rStyle w:val="None"/>
          <w:lang w:val="en-US"/>
        </w:rPr>
        <w:t xml:space="preserve"> and</w:t>
      </w:r>
      <w:r w:rsidR="00D20719" w:rsidRPr="00AA0453">
        <w:rPr>
          <w:rStyle w:val="None"/>
          <w:lang w:val="en-US"/>
        </w:rPr>
        <w:t xml:space="preserve"> all other primary material</w:t>
      </w:r>
      <w:r w:rsidR="0032065F">
        <w:rPr>
          <w:rStyle w:val="None"/>
          <w:lang w:val="en-US"/>
        </w:rPr>
        <w:t>s, then followed by secondary materials</w:t>
      </w:r>
      <w:r w:rsidR="00D20719" w:rsidRPr="00AA0453">
        <w:rPr>
          <w:rStyle w:val="None"/>
          <w:lang w:val="en-US"/>
        </w:rPr>
        <w:t xml:space="preserve">. See </w:t>
      </w:r>
      <w:r w:rsidR="00D20719" w:rsidRPr="00AA0453">
        <w:rPr>
          <w:rStyle w:val="None"/>
          <w:i/>
          <w:iCs/>
          <w:lang w:val="en-US"/>
        </w:rPr>
        <w:t>The Indigo Book</w:t>
      </w:r>
      <w:r w:rsidR="0069620E">
        <w:rPr>
          <w:rStyle w:val="None"/>
          <w:i/>
          <w:iCs/>
          <w:lang w:val="en-US"/>
        </w:rPr>
        <w:t>: A Manual of Legal Citation</w:t>
      </w:r>
      <w:r w:rsidR="00D20719" w:rsidRPr="00AA0453">
        <w:rPr>
          <w:rStyle w:val="None"/>
          <w:i/>
          <w:iCs/>
          <w:lang w:val="en-US"/>
        </w:rPr>
        <w:t xml:space="preserve">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w:t>
      </w:r>
      <w:r w:rsidR="00DD7A0D">
        <w:rPr>
          <w:rStyle w:val="None"/>
          <w:lang w:val="en-US"/>
        </w:rPr>
        <w:t>it seems unwise to cite</w:t>
      </w:r>
      <w:r w:rsidR="00D20719" w:rsidRPr="00AA0453">
        <w:rPr>
          <w:rStyle w:val="None"/>
          <w:lang w:val="en-US"/>
        </w:rPr>
        <w:t xml:space="preserv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w:t>
      </w:r>
      <w:proofErr w:type="gramStart"/>
      <w:r w:rsidR="00D20719" w:rsidRPr="00AA0453">
        <w:rPr>
          <w:rStyle w:val="None"/>
          <w:lang w:val="en-US"/>
        </w:rPr>
        <w:t>a few</w:t>
      </w:r>
      <w:proofErr w:type="gramEnd"/>
      <w:r w:rsidR="00D20719" w:rsidRPr="00AA0453">
        <w:rPr>
          <w:rStyle w:val="None"/>
          <w:lang w:val="en-US"/>
        </w:rPr>
        <w:t xml:space="preserve">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 xml:space="preserve">Signals that start citation </w:t>
      </w:r>
      <w:proofErr w:type="gramStart"/>
      <w:r w:rsidR="00E9398D" w:rsidRPr="00AA0453">
        <w:rPr>
          <w:rStyle w:val="None"/>
          <w:rFonts w:ascii="Georgia" w:hAnsi="Georgia"/>
        </w:rPr>
        <w:t>sentences</w:t>
      </w:r>
      <w:proofErr w:type="gramEnd"/>
    </w:p>
    <w:p w14:paraId="59F769AC" w14:textId="77777777" w:rsidR="00E9398D" w:rsidRPr="00AA0453" w:rsidRDefault="00E9398D" w:rsidP="00EA1B28">
      <w:pPr>
        <w:pStyle w:val="Rule"/>
        <w:rPr>
          <w:rStyle w:val="None"/>
          <w:rFonts w:eastAsia="Georgia" w:cs="Georgia"/>
        </w:rPr>
      </w:pPr>
      <w:r w:rsidRPr="00AA0453">
        <w:rPr>
          <w:rStyle w:val="None"/>
        </w:rPr>
        <w:t xml:space="preserve">The signal </w:t>
      </w:r>
      <w:proofErr w:type="gramStart"/>
      <w:r w:rsidRPr="00AA0453">
        <w:rPr>
          <w:rStyle w:val="None"/>
        </w:rPr>
        <w:t>is capitalized</w:t>
      </w:r>
      <w:proofErr w:type="gramEnd"/>
      <w:r w:rsidRPr="00AA0453">
        <w:rPr>
          <w:rStyle w:val="None"/>
        </w:rPr>
        <w:t xml:space="preserve">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 xml:space="preserve">See Nix v. </w:t>
      </w:r>
      <w:proofErr w:type="spellStart"/>
      <w:r w:rsidRPr="00AA0453">
        <w:rPr>
          <w:rStyle w:val="None"/>
          <w:i/>
          <w:iCs/>
        </w:rPr>
        <w:t>Heden</w:t>
      </w:r>
      <w:proofErr w:type="spellEnd"/>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 xml:space="preserve">The signal </w:t>
      </w:r>
      <w:proofErr w:type="gramStart"/>
      <w:r w:rsidRPr="00AA0453">
        <w:rPr>
          <w:rStyle w:val="None"/>
        </w:rPr>
        <w:t>is left</w:t>
      </w:r>
      <w:proofErr w:type="gramEnd"/>
      <w:r w:rsidRPr="00AA0453">
        <w:rPr>
          <w:rStyle w:val="None"/>
        </w:rPr>
        <w:t xml:space="preserve">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 xml:space="preserve">Nix v. </w:t>
      </w:r>
      <w:proofErr w:type="spellStart"/>
      <w:r w:rsidRPr="00AA0453">
        <w:rPr>
          <w:rStyle w:val="None"/>
          <w:i/>
          <w:iCs/>
        </w:rPr>
        <w:t>Heden</w:t>
      </w:r>
      <w:proofErr w:type="spellEnd"/>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2DCB36C2" w:rsidR="00E9398D" w:rsidRPr="00AA0453" w:rsidRDefault="00E9398D" w:rsidP="00171F69">
      <w:pPr>
        <w:pStyle w:val="Rule"/>
        <w:numPr>
          <w:ilvl w:val="0"/>
          <w:numId w:val="104"/>
        </w:numPr>
        <w:rPr>
          <w:rStyle w:val="None"/>
        </w:rPr>
      </w:pPr>
      <w:r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742F9CFB" w:rsidR="00E9398D" w:rsidRPr="00AA0453" w:rsidRDefault="00E9398D" w:rsidP="00171F69">
      <w:pPr>
        <w:pStyle w:val="Rule"/>
        <w:numPr>
          <w:ilvl w:val="0"/>
          <w:numId w:val="104"/>
        </w:numPr>
        <w:rPr>
          <w:rStyle w:val="None"/>
          <w:rFonts w:eastAsia="Georgia" w:cs="Georgia"/>
        </w:rPr>
      </w:pPr>
      <w:r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 xml:space="preserve">States </w:t>
      </w:r>
      <w:proofErr w:type="gramStart"/>
      <w:r w:rsidRPr="00AA0453">
        <w:rPr>
          <w:rStyle w:val="None"/>
        </w:rPr>
        <w:t>are prohibited</w:t>
      </w:r>
      <w:proofErr w:type="gramEnd"/>
      <w:r w:rsidRPr="00AA0453">
        <w:rPr>
          <w:rStyle w:val="None"/>
        </w:rPr>
        <w:t xml:space="preserve"> from “inflicting the penalty of death upon a prisoner who is insane.” </w:t>
      </w:r>
      <w:r w:rsidRPr="00AA0453">
        <w:rPr>
          <w:rStyle w:val="None"/>
          <w:i/>
          <w:iCs/>
        </w:rPr>
        <w:t>Ford v. Wainwright</w:t>
      </w:r>
      <w:r w:rsidRPr="00AA0453">
        <w:rPr>
          <w:rStyle w:val="None"/>
        </w:rPr>
        <w:t>, 477 U.S. 399, 410 (1986).</w:t>
      </w:r>
    </w:p>
    <w:p w14:paraId="2FB44911" w14:textId="1DDEDF5B" w:rsidR="00E9398D" w:rsidRPr="00AA0453" w:rsidRDefault="00E9398D" w:rsidP="00171F69">
      <w:pPr>
        <w:pStyle w:val="Rule"/>
        <w:numPr>
          <w:ilvl w:val="0"/>
          <w:numId w:val="104"/>
        </w:numPr>
        <w:rPr>
          <w:rStyle w:val="None"/>
        </w:rPr>
      </w:pPr>
      <w:r w:rsidRPr="00AA0453">
        <w:rPr>
          <w:rStyle w:val="None"/>
        </w:rPr>
        <w:t xml:space="preserve">The source </w:t>
      </w:r>
      <w:proofErr w:type="gramStart"/>
      <w:r w:rsidRPr="00AA0453">
        <w:rPr>
          <w:rStyle w:val="None"/>
        </w:rPr>
        <w:t>is referred</w:t>
      </w:r>
      <w:proofErr w:type="gramEnd"/>
      <w:r w:rsidRPr="00AA0453">
        <w:rPr>
          <w:rStyle w:val="None"/>
        </w:rPr>
        <w:t xml:space="preserve">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xml:space="preserve">, the Supreme Court has established certain classes of individuals upon which the death penalty may not </w:t>
      </w:r>
      <w:proofErr w:type="gramStart"/>
      <w:r w:rsidRPr="00AA0453">
        <w:rPr>
          <w:rStyle w:val="None"/>
        </w:rPr>
        <w:t>be imposed</w:t>
      </w:r>
      <w:proofErr w:type="gramEnd"/>
      <w:r w:rsidRPr="00AA0453">
        <w:rPr>
          <w:rStyle w:val="None"/>
        </w:rPr>
        <w:t>.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w:t>
      </w:r>
      <w:proofErr w:type="gramStart"/>
      <w:r w:rsidRPr="00AA0453">
        <w:rPr>
          <w:rStyle w:val="None"/>
        </w:rPr>
        <w:t>many</w:t>
      </w:r>
      <w:proofErr w:type="gramEnd"/>
      <w:r w:rsidRPr="00AA0453">
        <w:rPr>
          <w:rStyle w:val="None"/>
        </w:rPr>
        <w:t xml:space="preserve"> sources the author finds to be helpful. Note that the comma in the signal </w:t>
      </w:r>
      <w:r w:rsidRPr="00AA0453">
        <w:rPr>
          <w:rStyle w:val="None"/>
          <w:i/>
          <w:iCs/>
        </w:rPr>
        <w:t>e.g.</w:t>
      </w:r>
      <w:r w:rsidRPr="00AA0453">
        <w:rPr>
          <w:rStyle w:val="None"/>
        </w:rPr>
        <w:t xml:space="preserve">, should not </w:t>
      </w:r>
      <w:proofErr w:type="gramStart"/>
      <w:r w:rsidRPr="00AA0453">
        <w:rPr>
          <w:rStyle w:val="None"/>
        </w:rPr>
        <w:t>be italicized</w:t>
      </w:r>
      <w:proofErr w:type="gramEnd"/>
      <w:r w:rsidRPr="00AA0453">
        <w:rPr>
          <w:rStyle w:val="None"/>
        </w:rPr>
        <w:t>.</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70DFEC5C"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814AA1">
        <w:rPr>
          <w:rStyle w:val="None"/>
        </w:rPr>
        <w:t>,</w:t>
      </w:r>
      <w:r w:rsidRPr="00AA0453">
        <w:rPr>
          <w:rStyle w:val="None"/>
        </w:rPr>
        <w:t> </w:t>
      </w:r>
      <w:r w:rsidRPr="00AA0453">
        <w:rPr>
          <w:rStyle w:val="None"/>
          <w:i/>
          <w:iCs/>
        </w:rPr>
        <w:t xml:space="preserve">State v. </w:t>
      </w:r>
      <w:proofErr w:type="spellStart"/>
      <w:r w:rsidRPr="00AA0453">
        <w:rPr>
          <w:rStyle w:val="None"/>
          <w:i/>
          <w:iCs/>
        </w:rPr>
        <w:t>Purrier</w:t>
      </w:r>
      <w:proofErr w:type="spellEnd"/>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xml:space="preserve">, 573 U.S. 373 (2014), several circuits had </w:t>
      </w:r>
      <w:proofErr w:type="gramStart"/>
      <w:r w:rsidRPr="00AA0453">
        <w:rPr>
          <w:rStyle w:val="None"/>
        </w:rPr>
        <w:t>generally allowed</w:t>
      </w:r>
      <w:proofErr w:type="gramEnd"/>
      <w:r w:rsidRPr="00AA0453">
        <w:rPr>
          <w:rStyle w:val="None"/>
        </w:rPr>
        <w:t xml:space="preserve">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567EC389"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w:t>
      </w:r>
      <w:proofErr w:type="gramStart"/>
      <w:r w:rsidRPr="00AA0453">
        <w:rPr>
          <w:rStyle w:val="None"/>
        </w:rPr>
        <w:t>be used</w:t>
      </w:r>
      <w:proofErr w:type="gramEnd"/>
      <w:r w:rsidRPr="00AA0453">
        <w:rPr>
          <w:rStyle w:val="None"/>
        </w:rPr>
        <w:t xml:space="preserve">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proofErr w:type="gramStart"/>
      <w:r w:rsidRPr="00AA0453">
        <w:rPr>
          <w:rStyle w:val="None"/>
        </w:rPr>
        <w:t>is used</w:t>
      </w:r>
      <w:proofErr w:type="gramEnd"/>
      <w:r w:rsidRPr="00AA0453">
        <w:rPr>
          <w:rStyle w:val="None"/>
        </w:rPr>
        <w:t xml:space="preserve">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xml:space="preserve"> may be used as the introductory signal for indicating that the law of one </w:t>
      </w:r>
      <w:proofErr w:type="gramStart"/>
      <w:r w:rsidRPr="00AA0453">
        <w:rPr>
          <w:rStyle w:val="None"/>
        </w:rPr>
        <w:t>jurisdiction</w:t>
      </w:r>
      <w:proofErr w:type="gramEnd"/>
      <w:r w:rsidRPr="00AA0453">
        <w:rPr>
          <w:rStyle w:val="None"/>
        </w:rPr>
        <w:t xml:space="preserve">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40B2E5B6"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 xml:space="preserve">Lunsford v. </w:t>
      </w:r>
      <w:r w:rsidR="009D5976">
        <w:rPr>
          <w:rStyle w:val="None"/>
          <w:i/>
          <w:iCs/>
          <w:shd w:val="clear" w:color="auto" w:fill="FFFFFF"/>
        </w:rPr>
        <w:t>W. States Life</w:t>
      </w:r>
      <w:r w:rsidRPr="00AA0453">
        <w:rPr>
          <w:rStyle w:val="None"/>
          <w:i/>
          <w:iCs/>
          <w:shd w:val="clear" w:color="auto" w:fill="FFFFFF"/>
        </w:rPr>
        <w:t xml:space="preserv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w:t>
      </w:r>
      <w:proofErr w:type="spellStart"/>
      <w:r w:rsidR="00E9398D" w:rsidRPr="00AA0453">
        <w:rPr>
          <w:rStyle w:val="None"/>
        </w:rPr>
        <w:t>ch.</w:t>
      </w:r>
      <w:proofErr w:type="spellEnd"/>
      <w:r w:rsidR="00E9398D" w:rsidRPr="00AA0453">
        <w:rPr>
          <w:rStyle w:val="None"/>
        </w:rPr>
        <w:t xml:space="preserve">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xml:space="preserve"> is used when an authority does not </w:t>
      </w:r>
      <w:proofErr w:type="gramStart"/>
      <w:r w:rsidRPr="00AA0453">
        <w:rPr>
          <w:rStyle w:val="None"/>
        </w:rPr>
        <w:t>directly state</w:t>
      </w:r>
      <w:proofErr w:type="gramEnd"/>
      <w:r w:rsidRPr="00AA0453">
        <w:rPr>
          <w:rStyle w:val="None"/>
        </w:rPr>
        <w:t xml:space="preserve"> but clearly supports the proposition. </w:t>
      </w:r>
      <w:r w:rsidRPr="00AA0453">
        <w:rPr>
          <w:rStyle w:val="None"/>
          <w:i/>
          <w:iCs/>
        </w:rPr>
        <w:t>See </w:t>
      </w:r>
      <w:proofErr w:type="gramStart"/>
      <w:r w:rsidRPr="00AA0453">
        <w:rPr>
          <w:rStyle w:val="None"/>
        </w:rPr>
        <w:t>is used</w:t>
      </w:r>
      <w:proofErr w:type="gramEnd"/>
      <w:r w:rsidRPr="00AA0453">
        <w:rPr>
          <w:rStyle w:val="None"/>
        </w:rPr>
        <w:t xml:space="preserve">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262FCFC8"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009D5976">
        <w:rPr>
          <w:rStyle w:val="None"/>
          <w:i/>
          <w:iCs/>
          <w:shd w:val="clear" w:color="auto" w:fill="FFFFFF"/>
        </w:rPr>
        <w:t>Lunsford v. W. States Life</w:t>
      </w:r>
      <w:r w:rsidRPr="00AA0453">
        <w:rPr>
          <w:rStyle w:val="None"/>
          <w:i/>
          <w:iCs/>
          <w:shd w:val="clear" w:color="auto" w:fill="FFFFFF"/>
        </w:rPr>
        <w:t xml:space="preserv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 xml:space="preserve">See </w:t>
      </w:r>
      <w:proofErr w:type="gramStart"/>
      <w:r w:rsidRPr="00AA0453">
        <w:rPr>
          <w:rStyle w:val="None"/>
          <w:rFonts w:ascii="Georgia" w:hAnsi="Georgia"/>
          <w:i/>
          <w:iCs/>
        </w:rPr>
        <w:t>also</w:t>
      </w:r>
      <w:proofErr w:type="gramEnd"/>
    </w:p>
    <w:p w14:paraId="4A8D7174" w14:textId="0ADD8DF0"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w:t>
      </w:r>
      <w:proofErr w:type="gramStart"/>
      <w:r w:rsidRPr="00AA0453">
        <w:rPr>
          <w:rStyle w:val="None"/>
        </w:rPr>
        <w:t>is used</w:t>
      </w:r>
      <w:proofErr w:type="gramEnd"/>
      <w:r w:rsidRPr="00AA0453">
        <w:rPr>
          <w:rStyle w:val="None"/>
        </w:rPr>
        <w:t xml:space="preserve"> for additional sources that support </w:t>
      </w:r>
      <w:r w:rsidR="00E030BE">
        <w:rPr>
          <w:rStyle w:val="None"/>
        </w:rPr>
        <w:t>an assertion</w:t>
      </w:r>
      <w:r w:rsidRPr="00AA0453">
        <w:rPr>
          <w:rStyle w:val="None"/>
        </w:rPr>
        <w:t>. Use </w:t>
      </w:r>
      <w:proofErr w:type="gramStart"/>
      <w:r w:rsidRPr="00AA0453">
        <w:rPr>
          <w:rStyle w:val="None"/>
          <w:i/>
          <w:iCs/>
        </w:rPr>
        <w:t>see</w:t>
      </w:r>
      <w:proofErr w:type="gramEnd"/>
      <w:r w:rsidRPr="00AA0453">
        <w:rPr>
          <w:rStyle w:val="None"/>
          <w:i/>
          <w:iCs/>
        </w:rPr>
        <w:t xml:space="preserve"> also</w:t>
      </w:r>
      <w:r w:rsidRPr="00AA0453">
        <w:rPr>
          <w:rStyle w:val="None"/>
        </w:rPr>
        <w:t xml:space="preserve"> when authority that states or clearly supports the </w:t>
      </w:r>
      <w:r w:rsidR="00E030BE">
        <w:rPr>
          <w:rStyle w:val="None"/>
        </w:rPr>
        <w:t>assertion</w:t>
      </w:r>
      <w:r w:rsidRPr="00AA0453">
        <w:rPr>
          <w:rStyle w:val="None"/>
        </w:rPr>
        <w:t xml:space="preserve"> has already been cited or discussed. The use of a parenthetical </w:t>
      </w:r>
      <w:proofErr w:type="gramStart"/>
      <w:r w:rsidRPr="00AA0453">
        <w:rPr>
          <w:rStyle w:val="None"/>
        </w:rPr>
        <w:t>is recommended</w:t>
      </w:r>
      <w:proofErr w:type="gramEnd"/>
      <w:r w:rsidRPr="00AA0453">
        <w:rPr>
          <w:rStyle w:val="None"/>
        </w:rPr>
        <w:t xml:space="preserve"> </w:t>
      </w:r>
      <w:r w:rsidR="00E030BE">
        <w:rPr>
          <w:rStyle w:val="None"/>
        </w:rPr>
        <w:t>with</w:t>
      </w:r>
      <w:r w:rsidRPr="00AA0453">
        <w:rPr>
          <w:rStyle w:val="None"/>
        </w:rPr>
        <w:t>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1D7A974B"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 xml:space="preserve">Lunsford v. </w:t>
      </w:r>
      <w:r w:rsidR="009D5976">
        <w:rPr>
          <w:rStyle w:val="None"/>
          <w:i/>
          <w:iCs/>
        </w:rPr>
        <w:t>W.</w:t>
      </w:r>
      <w:r w:rsidRPr="00AA0453">
        <w:rPr>
          <w:rStyle w:val="None"/>
          <w:i/>
          <w:iCs/>
        </w:rPr>
        <w:t xml:space="preserve"> States Life Ins.</w:t>
      </w:r>
      <w:r w:rsidRPr="00AA0453">
        <w:rPr>
          <w:rStyle w:val="None"/>
        </w:rPr>
        <w:t>, 908 P.2d 79, 83 (Colo. 1995)</w:t>
      </w:r>
      <w:r w:rsidR="009D5976">
        <w:rPr>
          <w:rStyle w:val="None"/>
        </w:rPr>
        <w:t xml:space="preserve"> (</w:t>
      </w:r>
      <w:proofErr w:type="spellStart"/>
      <w:r w:rsidR="009D5976">
        <w:rPr>
          <w:rStyle w:val="None"/>
        </w:rPr>
        <w:t>en</w:t>
      </w:r>
      <w:proofErr w:type="spellEnd"/>
      <w:r w:rsidR="009D5976">
        <w:rPr>
          <w:rStyle w:val="None"/>
        </w:rPr>
        <w:t xml:space="preserve"> banc)</w:t>
      </w:r>
      <w:r w:rsidRPr="00AA0453">
        <w:rPr>
          <w:rStyle w:val="None"/>
        </w:rPr>
        <w:t xml:space="preserve">;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676FDEC2" w:rsidR="00E9398D" w:rsidRPr="00AA0453" w:rsidRDefault="00E9398D" w:rsidP="00EA1B28">
      <w:pPr>
        <w:pStyle w:val="Rule"/>
        <w:rPr>
          <w:rStyle w:val="None"/>
          <w:rFonts w:eastAsia="Georgia" w:cs="Georgia"/>
        </w:rPr>
      </w:pPr>
      <w:r w:rsidRPr="00AA0453">
        <w:rPr>
          <w:rStyle w:val="None"/>
          <w:i/>
          <w:iCs/>
        </w:rPr>
        <w:t>Cf.</w:t>
      </w:r>
      <w:r w:rsidRPr="00AA0453">
        <w:rPr>
          <w:rStyle w:val="None"/>
        </w:rPr>
        <w:t> </w:t>
      </w:r>
      <w:r w:rsidR="00E030BE">
        <w:rPr>
          <w:rStyle w:val="None"/>
        </w:rPr>
        <w:t xml:space="preserve">indicates </w:t>
      </w:r>
      <w:r w:rsidR="00B5047B">
        <w:rPr>
          <w:rStyle w:val="None"/>
        </w:rPr>
        <w:t xml:space="preserve">support by analogy to </w:t>
      </w:r>
      <w:r w:rsidR="00E030BE">
        <w:rPr>
          <w:rStyle w:val="None"/>
        </w:rPr>
        <w:t xml:space="preserve">the assertion. It may also </w:t>
      </w:r>
      <w:proofErr w:type="gramStart"/>
      <w:r w:rsidR="00E030BE">
        <w:rPr>
          <w:rStyle w:val="None"/>
        </w:rPr>
        <w:t>be used</w:t>
      </w:r>
      <w:proofErr w:type="gramEnd"/>
      <w:r w:rsidR="00E030BE">
        <w:rPr>
          <w:rStyle w:val="None"/>
        </w:rPr>
        <w:t xml:space="preserve"> </w:t>
      </w:r>
      <w:r w:rsidR="00B5047B">
        <w:rPr>
          <w:rStyle w:val="None"/>
        </w:rPr>
        <w:t>where the source is</w:t>
      </w:r>
      <w:r w:rsidR="00E030BE">
        <w:rPr>
          <w:rStyle w:val="None"/>
        </w:rPr>
        <w:t xml:space="preserve"> </w:t>
      </w:r>
      <w:r w:rsidRPr="00AA0453">
        <w:rPr>
          <w:rStyle w:val="None"/>
        </w:rPr>
        <w:t xml:space="preserve">related but requires some interpretive work to connect to </w:t>
      </w:r>
      <w:r w:rsidR="00B5047B">
        <w:rPr>
          <w:rStyle w:val="None"/>
        </w:rPr>
        <w:t>the assertion</w:t>
      </w:r>
      <w:r w:rsidRPr="00AA0453">
        <w:rPr>
          <w:rStyle w:val="None"/>
        </w:rPr>
        <w:t>.</w:t>
      </w:r>
      <w:r w:rsidR="00B5047B">
        <w:rPr>
          <w:rStyle w:val="None"/>
        </w:rPr>
        <w:t xml:space="preserve"> </w:t>
      </w:r>
      <w:r w:rsidR="00B5047B">
        <w:rPr>
          <w:rStyle w:val="None"/>
          <w:i/>
          <w:iCs/>
        </w:rPr>
        <w:t>Cf.</w:t>
      </w:r>
      <w:r w:rsidR="00B5047B">
        <w:rPr>
          <w:rStyle w:val="None"/>
        </w:rPr>
        <w:t xml:space="preserve"> may also </w:t>
      </w:r>
      <w:proofErr w:type="gramStart"/>
      <w:r w:rsidR="00B5047B">
        <w:rPr>
          <w:rStyle w:val="None"/>
        </w:rPr>
        <w:t>be used</w:t>
      </w:r>
      <w:proofErr w:type="gramEnd"/>
      <w:r w:rsidR="00B5047B">
        <w:rPr>
          <w:rStyle w:val="None"/>
        </w:rPr>
        <w:t xml:space="preserve"> within a string cit</w:t>
      </w:r>
      <w:r w:rsidR="00B817EC">
        <w:rPr>
          <w:rStyle w:val="None"/>
        </w:rPr>
        <w:t>ation</w:t>
      </w:r>
      <w:r w:rsidR="00B5047B">
        <w:rPr>
          <w:rStyle w:val="None"/>
        </w:rPr>
        <w:t xml:space="preserve"> to </w:t>
      </w:r>
      <w:r w:rsidR="00B817EC">
        <w:rPr>
          <w:rStyle w:val="None"/>
        </w:rPr>
        <w:t>provide another source that is analogous to the previously cited source in that string.</w:t>
      </w:r>
      <w:r w:rsidRPr="00AA0453">
        <w:rPr>
          <w:rStyle w:val="None"/>
        </w:rPr>
        <w:t xml:space="preserve"> Always use a parenthetical with </w:t>
      </w:r>
      <w:r w:rsidRPr="00AA0453">
        <w:rPr>
          <w:rStyle w:val="None"/>
          <w:i/>
          <w:iCs/>
        </w:rPr>
        <w:t>cf.</w:t>
      </w:r>
      <w:r w:rsidRPr="00AA0453">
        <w:rPr>
          <w:rStyle w:val="None"/>
        </w:rPr>
        <w:t> to explain the logical connection required for the argument.</w:t>
      </w:r>
    </w:p>
    <w:p w14:paraId="74B9E6F9" w14:textId="49C197DC"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00B817EC">
        <w:rPr>
          <w:rStyle w:val="None"/>
          <w:b/>
          <w:bCs/>
        </w:rPr>
        <w:t>s</w:t>
      </w:r>
      <w:r w:rsidRPr="00AA0453">
        <w:rPr>
          <w:rStyle w:val="None"/>
          <w:b/>
          <w:bCs/>
        </w:rPr>
        <w:t>:</w:t>
      </w:r>
      <w:r w:rsidRPr="00AA0453">
        <w:rPr>
          <w:rStyle w:val="None"/>
        </w:rPr>
        <w:t> </w:t>
      </w:r>
      <w:r w:rsidR="009D0752" w:rsidRPr="00AA0453">
        <w:rPr>
          <w:rStyle w:val="None"/>
          <w:rFonts w:eastAsia="Georgia" w:cs="Georgia"/>
          <w:color w:val="373739"/>
          <w:u w:color="373739"/>
          <w:shd w:val="clear" w:color="auto" w:fill="FFFFFF"/>
        </w:rPr>
        <w:t xml:space="preserve"> </w:t>
      </w:r>
    </w:p>
    <w:p w14:paraId="3EA13D12" w14:textId="137DD3C4" w:rsidR="00B817EC" w:rsidRPr="00B44756" w:rsidRDefault="009D0752" w:rsidP="00B4475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w:t>
      </w:r>
      <w:proofErr w:type="gramStart"/>
      <w:r w:rsidRPr="00AA0453">
        <w:rPr>
          <w:rStyle w:val="None"/>
          <w:rFonts w:eastAsia="Georgia" w:cs="Georgia"/>
          <w:color w:val="373739"/>
          <w:u w:color="373739"/>
          <w:shd w:val="clear" w:color="auto" w:fill="FFFFFF"/>
        </w:rPr>
        <w:t>3</w:t>
      </w:r>
      <w:proofErr w:type="gramEnd"/>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that duty</w:t>
      </w:r>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may be</w:t>
      </w:r>
      <w:r w:rsidRPr="00AA0453">
        <w:rPr>
          <w:rStyle w:val="None"/>
          <w:rFonts w:eastAsia="Georgia" w:cs="Georgia"/>
          <w:color w:val="373739"/>
          <w:u w:color="373739"/>
          <w:shd w:val="clear" w:color="auto" w:fill="FFFFFF"/>
        </w:rPr>
        <w:t xml:space="preserve">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4AB0AD96" w14:textId="047416A7" w:rsidR="00B817EC" w:rsidRPr="00AA0453" w:rsidRDefault="00B817EC" w:rsidP="00B817EC">
      <w:pPr>
        <w:pStyle w:val="Example"/>
        <w:ind w:left="1440"/>
        <w:rPr>
          <w:rStyle w:val="None"/>
        </w:rPr>
      </w:pPr>
      <w:r w:rsidRPr="00AA0453">
        <w:rPr>
          <w:rStyle w:val="None"/>
        </w:rPr>
        <w:t xml:space="preserve">Slayer statutes seek to eliminate any financial incentive to commit murder by prohibiting insurance proceeds to the killer. </w:t>
      </w:r>
      <w:r w:rsidR="00B44756">
        <w:rPr>
          <w:rStyle w:val="None"/>
          <w:i/>
          <w:iCs/>
        </w:rPr>
        <w:t>E.g.</w:t>
      </w:r>
      <w:r w:rsidR="00B44756">
        <w:rPr>
          <w:rStyle w:val="None"/>
        </w:rPr>
        <w:t xml:space="preserve">, </w:t>
      </w:r>
      <w:proofErr w:type="spellStart"/>
      <w:r w:rsidRPr="00AA0453">
        <w:rPr>
          <w:rStyle w:val="None"/>
        </w:rPr>
        <w:t>Unif</w:t>
      </w:r>
      <w:proofErr w:type="spellEnd"/>
      <w:r w:rsidRPr="00AA0453">
        <w:rPr>
          <w:rStyle w:val="None"/>
        </w:rPr>
        <w:t xml:space="preserve">. Prob. Code § 2-803; </w:t>
      </w:r>
      <w:r w:rsidRPr="007A0482">
        <w:rPr>
          <w:rStyle w:val="None"/>
          <w:i/>
          <w:iCs/>
        </w:rPr>
        <w:t>cf.</w:t>
      </w:r>
      <w:r w:rsidRPr="00AA0453">
        <w:rPr>
          <w:rStyle w:val="None"/>
        </w:rPr>
        <w:t xml:space="preserve"> N.Y. Exec. Law § 632-a (2020) (seizing profits from publications by certain incarcerated felons).</w:t>
      </w:r>
    </w:p>
    <w:p w14:paraId="479FD761" w14:textId="77777777" w:rsidR="00B817EC" w:rsidRPr="00AA0453" w:rsidRDefault="00B817EC"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 xml:space="preserve">See </w:t>
      </w:r>
      <w:proofErr w:type="gramStart"/>
      <w:r w:rsidRPr="00AA0453">
        <w:rPr>
          <w:rFonts w:ascii="Georgia" w:hAnsi="Georgia"/>
          <w:i/>
          <w:iCs/>
        </w:rPr>
        <w:t>generally</w:t>
      </w:r>
      <w:proofErr w:type="gramEnd"/>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 xml:space="preserve">See </w:t>
      </w:r>
      <w:proofErr w:type="gramStart"/>
      <w:r w:rsidRPr="00AA0453">
        <w:rPr>
          <w:rStyle w:val="None"/>
          <w:rFonts w:ascii="Georgia" w:hAnsi="Georgia"/>
          <w:i/>
          <w:iCs/>
          <w:lang w:val="en-US"/>
        </w:rPr>
        <w:t>generally</w:t>
      </w:r>
      <w:r w:rsidRPr="00AA0453">
        <w:rPr>
          <w:rStyle w:val="None"/>
          <w:rFonts w:ascii="Georgia" w:hAnsi="Georgia"/>
          <w:lang w:val="en-US"/>
        </w:rPr>
        <w:t> is</w:t>
      </w:r>
      <w:proofErr w:type="gramEnd"/>
      <w:r w:rsidRPr="00AA0453">
        <w:rPr>
          <w:rStyle w:val="None"/>
          <w:rFonts w:ascii="Georgia" w:hAnsi="Georgia"/>
          <w:lang w:val="en-US"/>
        </w:rPr>
        <w:t xml:space="preserve">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w:t>
      </w:r>
      <w:proofErr w:type="gramStart"/>
      <w:r w:rsidRPr="00AA0453">
        <w:rPr>
          <w:rStyle w:val="None"/>
          <w:rFonts w:ascii="Georgia" w:hAnsi="Georgia"/>
          <w:lang w:val="en-US"/>
        </w:rPr>
        <w:t>in order to</w:t>
      </w:r>
      <w:proofErr w:type="gramEnd"/>
      <w:r w:rsidRPr="00AA0453">
        <w:rPr>
          <w:rStyle w:val="None"/>
          <w:rFonts w:ascii="Georgia" w:hAnsi="Georgia"/>
          <w:lang w:val="en-US"/>
        </w:rPr>
        <w:t xml:space="preserve">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5E273824" w:rsidR="00E9398D" w:rsidRDefault="00E9398D" w:rsidP="00124906">
      <w:pPr>
        <w:pStyle w:val="Example"/>
        <w:ind w:left="1440"/>
        <w:rPr>
          <w:rStyle w:val="None"/>
          <w:color w:val="212121"/>
          <w:u w:color="212121"/>
          <w:shd w:val="clear" w:color="auto" w:fill="FFFFFF"/>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w:t>
      </w:r>
      <w:proofErr w:type="gramStart"/>
      <w:r w:rsidRPr="00AA0453">
        <w:rPr>
          <w:rStyle w:val="None"/>
          <w:i/>
          <w:iCs/>
          <w:color w:val="373739"/>
          <w:u w:color="373739"/>
          <w:shd w:val="clear" w:color="auto" w:fill="FFFFFF"/>
        </w:rPr>
        <w:t xml:space="preserve">generally </w:t>
      </w:r>
      <w:r w:rsidRPr="00AA0453">
        <w:rPr>
          <w:rStyle w:val="None"/>
          <w:color w:val="373739"/>
          <w:u w:color="373739"/>
          <w:shd w:val="clear" w:color="auto" w:fill="FFFFFF"/>
        </w:rPr>
        <w:t>Restatement</w:t>
      </w:r>
      <w:proofErr w:type="gramEnd"/>
      <w:r w:rsidRPr="00AA0453">
        <w:rPr>
          <w:rStyle w:val="None"/>
          <w:color w:val="373739"/>
          <w:u w:color="373739"/>
          <w:shd w:val="clear" w:color="auto" w:fill="FFFFFF"/>
        </w:rPr>
        <w:t xml:space="preserve">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21A1B737" w14:textId="77777777" w:rsidR="00133152" w:rsidRPr="00AA0453" w:rsidRDefault="00133152" w:rsidP="00124906">
      <w:pPr>
        <w:pStyle w:val="Example"/>
        <w:ind w:left="1440"/>
        <w:rPr>
          <w:rStyle w:val="None"/>
          <w:rFonts w:eastAsia="Georgia" w:cs="Georgia"/>
        </w:rPr>
      </w:pPr>
    </w:p>
    <w:p w14:paraId="1B1A118F" w14:textId="0924112E" w:rsidR="00DD7388" w:rsidRPr="00ED04F0" w:rsidRDefault="00E9398D" w:rsidP="00ED04F0">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C621C6">
        <w:rPr>
          <w:rStyle w:val="None"/>
          <w:rFonts w:ascii="Georgia" w:hAnsi="Georgia"/>
        </w:rPr>
        <w:tab/>
      </w:r>
      <w:r w:rsidR="00DD7388" w:rsidRPr="00AA0453">
        <w:rPr>
          <w:rStyle w:val="None"/>
          <w:rFonts w:ascii="Georgia" w:hAnsi="Georgia"/>
        </w:rPr>
        <w:t xml:space="preserve">Signal </w:t>
      </w:r>
      <w:r w:rsidRPr="00AA0453">
        <w:rPr>
          <w:rStyle w:val="None"/>
          <w:rFonts w:ascii="Georgia" w:hAnsi="Georgia"/>
        </w:rPr>
        <w:t>for Comparison</w:t>
      </w:r>
      <w:r w:rsidR="00ED04F0">
        <w:rPr>
          <w:rStyle w:val="None"/>
          <w:rFonts w:ascii="Georgia" w:hAnsi="Georgia"/>
        </w:rPr>
        <w:t xml:space="preserve">: </w:t>
      </w:r>
      <w:r w:rsidR="00DD7388" w:rsidRPr="00AA0453">
        <w:rPr>
          <w:rStyle w:val="None"/>
          <w:rFonts w:ascii="Georgia" w:hAnsi="Georgia"/>
          <w:i/>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w:t>
      </w:r>
      <w:proofErr w:type="gramStart"/>
      <w:r w:rsidRPr="00AA0453">
        <w:rPr>
          <w:rStyle w:val="None"/>
        </w:rPr>
        <w:t>is used</w:t>
      </w:r>
      <w:proofErr w:type="gramEnd"/>
      <w:r w:rsidRPr="00AA0453">
        <w:rPr>
          <w:rStyle w:val="None"/>
        </w:rPr>
        <w:t xml:space="preserve"> when the relationship of multiple authorities will demonstrate or offer support for the proposition. It is highly recommended that each authority in the comparison be explained with a parenthetical </w:t>
      </w:r>
      <w:proofErr w:type="gramStart"/>
      <w:r w:rsidRPr="00AA0453">
        <w:rPr>
          <w:rStyle w:val="None"/>
        </w:rPr>
        <w:t>in order to</w:t>
      </w:r>
      <w:proofErr w:type="gramEnd"/>
      <w:r w:rsidRPr="00AA0453">
        <w:rPr>
          <w:rStyle w:val="None"/>
        </w:rPr>
        <w:t xml:space="preserve">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0B9D33B4" w:rsidR="005A2A94" w:rsidRPr="00AA0453" w:rsidRDefault="005A2A94" w:rsidP="00EA1B28">
      <w:pPr>
        <w:pStyle w:val="Rule"/>
        <w:rPr>
          <w:rStyle w:val="None"/>
        </w:rPr>
      </w:pPr>
      <w:r w:rsidRPr="00AA0453">
        <w:rPr>
          <w:rStyle w:val="None"/>
        </w:rPr>
        <w:t xml:space="preserve">Insert a comma before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w:t>
      </w:r>
      <w:r w:rsidR="001D2B34">
        <w:rPr>
          <w:rStyle w:val="None"/>
        </w:rPr>
        <w:t>sted within this rule, but</w:t>
      </w:r>
      <w:r w:rsidRPr="00AA0453">
        <w:rPr>
          <w:rStyle w:val="None"/>
        </w:rPr>
        <w:t xml:space="preserve"> </w:t>
      </w:r>
      <w:proofErr w:type="gramStart"/>
      <w:r w:rsidRPr="00AA0453">
        <w:rPr>
          <w:rStyle w:val="None"/>
        </w:rPr>
        <w:t>probably not</w:t>
      </w:r>
      <w:proofErr w:type="gramEnd"/>
      <w:r w:rsidRPr="00AA0453">
        <w:rPr>
          <w:rStyle w:val="None"/>
        </w:rPr>
        <w:t xml:space="preserve"> advisable. See our Indigo Inkling on string citations.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w:t>
      </w:r>
      <w:proofErr w:type="gramStart"/>
      <w:r w:rsidRPr="00AA0453">
        <w:rPr>
          <w:rStyle w:val="None"/>
          <w:rFonts w:ascii="Georgia" w:hAnsi="Georgia"/>
          <w:lang w:val="en-US"/>
        </w:rPr>
        <w:t>is used</w:t>
      </w:r>
      <w:proofErr w:type="gramEnd"/>
      <w:r w:rsidRPr="00AA0453">
        <w:rPr>
          <w:rStyle w:val="None"/>
          <w:rFonts w:ascii="Georgia" w:hAnsi="Georgia"/>
          <w:lang w:val="en-US"/>
        </w:rPr>
        <w:t xml:space="preserve">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332D93AB"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00C97E11" w:rsidRPr="00AA0453">
        <w:rPr>
          <w:rStyle w:val="None"/>
        </w:rPr>
        <w:t xml:space="preserve">David Ziff, </w:t>
      </w:r>
      <w:r w:rsidR="00C97E11" w:rsidRPr="00AA0453">
        <w:rPr>
          <w:rStyle w:val="None"/>
          <w:i/>
          <w:iCs/>
        </w:rPr>
        <w:t>The Worst System of Citation Except for All the Others</w:t>
      </w:r>
      <w:r w:rsidR="00C97E11">
        <w:rPr>
          <w:rStyle w:val="None"/>
        </w:rPr>
        <w:t>, 66 J. Legal</w:t>
      </w:r>
      <w:r w:rsidR="00C97E11" w:rsidRPr="00AA0453">
        <w:rPr>
          <w:rStyle w:val="None"/>
        </w:rPr>
        <w:t xml:space="preserve"> Educ. 668</w:t>
      </w:r>
      <w:r w:rsidR="00C97E11">
        <w:rPr>
          <w:rStyle w:val="None"/>
        </w:rPr>
        <w:t>, 669</w:t>
      </w:r>
      <w:r w:rsidR="00C97E11" w:rsidRPr="00AA0453">
        <w:rPr>
          <w:rStyle w:val="None"/>
        </w:rPr>
        <w:t xml:space="preserve"> (2017)</w:t>
      </w:r>
      <w:r w:rsidR="00C97E11">
        <w:rPr>
          <w:rStyle w:val="None"/>
        </w:rPr>
        <w:t xml:space="preserve"> </w:t>
      </w:r>
      <w:r w:rsidR="00C97E11" w:rsidRPr="00AA0453">
        <w:rPr>
          <w:rStyle w:val="None"/>
        </w:rPr>
        <w:t xml:space="preserve">(reviewing </w:t>
      </w:r>
      <w:r w:rsidR="00C97E11" w:rsidRPr="00AA0453">
        <w:rPr>
          <w:rStyle w:val="None"/>
          <w:i/>
          <w:iCs/>
        </w:rPr>
        <w:t>The Bluebook: A Uniform System of Citation</w:t>
      </w:r>
      <w:r w:rsidR="00C97E11" w:rsidRPr="00AA0453">
        <w:rPr>
          <w:rStyle w:val="None"/>
        </w:rPr>
        <w:t xml:space="preserve"> (Columbia L. Rev. </w:t>
      </w:r>
      <w:proofErr w:type="spellStart"/>
      <w:r w:rsidR="00C97E11" w:rsidRPr="00AA0453">
        <w:rPr>
          <w:rStyle w:val="None"/>
        </w:rPr>
        <w:t>Ass’n</w:t>
      </w:r>
      <w:proofErr w:type="spellEnd"/>
      <w:r w:rsidR="00C97E11" w:rsidRPr="00AA0453">
        <w:rPr>
          <w:rStyle w:val="None"/>
        </w:rPr>
        <w:t xml:space="preserve"> et al. eds</w:t>
      </w:r>
      <w:r w:rsidR="009520F9">
        <w:rPr>
          <w:rStyle w:val="None"/>
        </w:rPr>
        <w:t>.</w:t>
      </w:r>
      <w:r w:rsidR="00C97E11" w:rsidRPr="00AA0453">
        <w:rPr>
          <w:rStyle w:val="None"/>
        </w:rPr>
        <w:t>, 20th ed. 2015)</w:t>
      </w:r>
      <w:r w:rsidR="00C97E11">
        <w:rPr>
          <w:rStyle w:val="None"/>
        </w:rPr>
        <w:t xml:space="preserve"> (“</w:t>
      </w:r>
      <w:r w:rsidR="00C97E11">
        <w:t xml:space="preserve">Perhaps </w:t>
      </w:r>
      <w:proofErr w:type="gramStart"/>
      <w:r w:rsidR="00C97E11" w:rsidRPr="00BD2A8C">
        <w:rPr>
          <w:i/>
          <w:iCs/>
        </w:rPr>
        <w:t>The</w:t>
      </w:r>
      <w:proofErr w:type="gramEnd"/>
      <w:r w:rsidR="00C97E11" w:rsidRPr="00BD2A8C">
        <w:rPr>
          <w:i/>
          <w:iCs/>
        </w:rPr>
        <w:t xml:space="preserve"> Bluebook</w:t>
      </w:r>
      <w:r w:rsidR="00C97E11">
        <w:t xml:space="preserve"> survives because it’s not so terrible after all. Perhaps </w:t>
      </w:r>
      <w:r w:rsidR="00C97E11" w:rsidRPr="00BD2A8C">
        <w:rPr>
          <w:i/>
          <w:iCs/>
        </w:rPr>
        <w:t>The Bluebook</w:t>
      </w:r>
      <w:r w:rsidR="00C97E11">
        <w:t xml:space="preserve"> works quite well for the task it </w:t>
      </w:r>
      <w:proofErr w:type="gramStart"/>
      <w:r w:rsidR="00C97E11">
        <w:t>was designed</w:t>
      </w:r>
      <w:proofErr w:type="gramEnd"/>
      <w:r w:rsidR="00C97E11">
        <w:t xml:space="preserve"> to perform.”)</w:t>
      </w:r>
      <w:r w:rsidR="00C97E11" w:rsidRPr="00AA0453">
        <w:rPr>
          <w:rStyle w:val="None"/>
        </w:rPr>
        <w:t>.</w:t>
      </w:r>
      <w:r w:rsidR="00C97E11">
        <w:rPr>
          <w:rStyle w:val="None"/>
        </w:rPr>
        <w:t xml:space="preserve">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xml:space="preserve">, 120 Yale L.J. 950, 951 (2011) (“It is a monstrous growth, remote from the functional need for legal citation forms, </w:t>
      </w:r>
      <w:proofErr w:type="gramStart"/>
      <w:r w:rsidRPr="00AA0453">
        <w:rPr>
          <w:rStyle w:val="None"/>
        </w:rPr>
        <w:t>that</w:t>
      </w:r>
      <w:proofErr w:type="gramEnd"/>
      <w:r w:rsidRPr="00AA0453">
        <w:rPr>
          <w:rStyle w:val="None"/>
        </w:rPr>
        <w:t xml:space="preserve"> serves obscure needs of the legal culture and its student subculture.”)</w:t>
      </w:r>
      <w:r w:rsidR="006C4436">
        <w:rPr>
          <w:rStyle w:val="None"/>
        </w:rPr>
        <w:t>.</w:t>
      </w:r>
    </w:p>
    <w:p w14:paraId="79CA5997" w14:textId="67FF14D9"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00C97E11">
        <w:rPr>
          <w:rStyle w:val="None"/>
        </w:rPr>
        <w:t>, 66 J. Legal</w:t>
      </w:r>
      <w:r w:rsidRPr="00AA0453">
        <w:rPr>
          <w:rStyle w:val="None"/>
        </w:rPr>
        <w:t xml:space="preserve"> Educ. 668</w:t>
      </w:r>
      <w:r w:rsidR="00C97E11">
        <w:rPr>
          <w:rStyle w:val="None"/>
        </w:rPr>
        <w:t>, 226</w:t>
      </w:r>
      <w:r w:rsidRPr="00AA0453">
        <w:rPr>
          <w:rStyle w:val="None"/>
        </w:rPr>
        <w:t xml:space="preserve"> (2017)</w:t>
      </w:r>
      <w:r w:rsidR="00963ABC">
        <w:rPr>
          <w:rStyle w:val="None"/>
        </w:rPr>
        <w:t xml:space="preserve"> </w:t>
      </w:r>
      <w:r w:rsidR="00963ABC" w:rsidRPr="00AA0453">
        <w:rPr>
          <w:rStyle w:val="None"/>
        </w:rPr>
        <w:t xml:space="preserve">(reviewing </w:t>
      </w:r>
      <w:r w:rsidR="00963ABC" w:rsidRPr="00AA0453">
        <w:rPr>
          <w:rStyle w:val="None"/>
          <w:i/>
          <w:iCs/>
        </w:rPr>
        <w:t>The Bluebook: A Uniform System of Citation</w:t>
      </w:r>
      <w:r w:rsidR="00963ABC" w:rsidRPr="00AA0453">
        <w:rPr>
          <w:rStyle w:val="None"/>
        </w:rPr>
        <w:t xml:space="preserve"> (Columbia L. Rev. </w:t>
      </w:r>
      <w:proofErr w:type="spellStart"/>
      <w:r w:rsidR="00963ABC" w:rsidRPr="00AA0453">
        <w:rPr>
          <w:rStyle w:val="None"/>
        </w:rPr>
        <w:t>Ass’n</w:t>
      </w:r>
      <w:proofErr w:type="spellEnd"/>
      <w:r w:rsidR="00963ABC" w:rsidRPr="00AA0453">
        <w:rPr>
          <w:rStyle w:val="None"/>
        </w:rPr>
        <w:t xml:space="preserve"> et al. eds</w:t>
      </w:r>
      <w:r w:rsidR="00E22053">
        <w:rPr>
          <w:rStyle w:val="None"/>
        </w:rPr>
        <w:t>.</w:t>
      </w:r>
      <w:r w:rsidR="00963ABC" w:rsidRPr="00AA0453">
        <w:rPr>
          <w:rStyle w:val="None"/>
        </w:rPr>
        <w:t>, 20th ed. 2015)</w:t>
      </w:r>
      <w:r w:rsidR="00E22053">
        <w:rPr>
          <w:rStyle w:val="None"/>
        </w:rPr>
        <w:t>)</w:t>
      </w:r>
      <w:r w:rsidR="005E6B14">
        <w:rPr>
          <w:rStyle w:val="None"/>
        </w:rPr>
        <w:t xml:space="preserve"> (</w:t>
      </w:r>
      <w:r w:rsidR="00BD2A8C">
        <w:rPr>
          <w:rStyle w:val="None"/>
        </w:rPr>
        <w:t>“</w:t>
      </w:r>
      <w:r w:rsidR="005E6B14">
        <w:t xml:space="preserve">Perhaps </w:t>
      </w:r>
      <w:proofErr w:type="gramStart"/>
      <w:r w:rsidR="005E6B14" w:rsidRPr="00BD2A8C">
        <w:rPr>
          <w:i/>
          <w:iCs/>
        </w:rPr>
        <w:t>The</w:t>
      </w:r>
      <w:proofErr w:type="gramEnd"/>
      <w:r w:rsidR="005E6B14" w:rsidRPr="00BD2A8C">
        <w:rPr>
          <w:i/>
          <w:iCs/>
        </w:rPr>
        <w:t xml:space="preserve"> Bluebook</w:t>
      </w:r>
      <w:r w:rsidR="005E6B14">
        <w:t xml:space="preserve"> survives because it’s not so terrible after all. Perhaps </w:t>
      </w:r>
      <w:r w:rsidR="005E6B14" w:rsidRPr="00BD2A8C">
        <w:rPr>
          <w:i/>
          <w:iCs/>
        </w:rPr>
        <w:t>The Bluebook</w:t>
      </w:r>
      <w:r w:rsidR="005E6B14">
        <w:t xml:space="preserve"> works quite well for the task it </w:t>
      </w:r>
      <w:proofErr w:type="gramStart"/>
      <w:r w:rsidR="005E6B14">
        <w:t>was designed</w:t>
      </w:r>
      <w:proofErr w:type="gramEnd"/>
      <w:r w:rsidR="005E6B14">
        <w:t xml:space="preserve"> to perform</w:t>
      </w:r>
      <w:r w:rsidR="00BD2A8C">
        <w:t>.”)</w:t>
      </w:r>
      <w:r w:rsidRPr="00AA0453">
        <w:rPr>
          <w:rStyle w:val="None"/>
        </w:rPr>
        <w:t>.</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 xml:space="preserve">But </w:t>
      </w:r>
      <w:proofErr w:type="gramStart"/>
      <w:r w:rsidRPr="00AA0453">
        <w:rPr>
          <w:rStyle w:val="None"/>
          <w:rFonts w:ascii="Georgia" w:hAnsi="Georgia"/>
          <w:i/>
          <w:iCs/>
        </w:rPr>
        <w:t>see</w:t>
      </w:r>
      <w:proofErr w:type="gramEnd"/>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w:t>
      </w:r>
      <w:proofErr w:type="gramStart"/>
      <w:r w:rsidRPr="00AA0453">
        <w:rPr>
          <w:rStyle w:val="None"/>
        </w:rPr>
        <w:t>is used</w:t>
      </w:r>
      <w:proofErr w:type="gramEnd"/>
      <w:r w:rsidRPr="00AA0453">
        <w:rPr>
          <w:rStyle w:val="None"/>
        </w:rPr>
        <w:t xml:space="preserve">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38336147"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proofErr w:type="spellStart"/>
      <w:r w:rsidRPr="00AA0453">
        <w:rPr>
          <w:rStyle w:val="None"/>
          <w:i/>
          <w:iCs/>
        </w:rPr>
        <w:t>Packingham</w:t>
      </w:r>
      <w:proofErr w:type="spellEnd"/>
      <w:r w:rsidRPr="00AA0453">
        <w:rPr>
          <w:rStyle w:val="None"/>
          <w:i/>
          <w:iCs/>
        </w:rPr>
        <w:t xml:space="preserve"> v. North Carolina</w:t>
      </w:r>
      <w:r w:rsidRPr="00AA0453">
        <w:rPr>
          <w:rStyle w:val="None"/>
        </w:rPr>
        <w:t xml:space="preserve">, </w:t>
      </w:r>
      <w:r w:rsidR="00275FFF">
        <w:rPr>
          <w:rStyle w:val="None"/>
        </w:rPr>
        <w:t>582 U.S. 98</w:t>
      </w:r>
      <w:r w:rsidRPr="00AA0453">
        <w:rPr>
          <w:rStyle w:val="None"/>
        </w:rPr>
        <w:t xml:space="preserve"> (2017), that the internet functions as a public square. </w:t>
      </w:r>
      <w:r w:rsidRPr="00AA0453">
        <w:rPr>
          <w:rStyle w:val="None"/>
          <w:i/>
          <w:iCs/>
        </w:rPr>
        <w:t>But see</w:t>
      </w:r>
      <w:r w:rsidRPr="00AA0453">
        <w:rPr>
          <w:rStyle w:val="None"/>
        </w:rPr>
        <w:t> </w:t>
      </w:r>
      <w:r w:rsidRPr="00AA0453">
        <w:rPr>
          <w:rStyle w:val="None"/>
          <w:i/>
          <w:iCs/>
        </w:rPr>
        <w:t xml:space="preserve">Manhattan </w:t>
      </w:r>
      <w:proofErr w:type="spellStart"/>
      <w:r w:rsidRPr="00AA0453">
        <w:rPr>
          <w:rStyle w:val="None"/>
          <w:i/>
          <w:iCs/>
        </w:rPr>
        <w:t>Cmty</w:t>
      </w:r>
      <w:proofErr w:type="spellEnd"/>
      <w:r w:rsidRPr="00AA0453">
        <w:rPr>
          <w:rStyle w:val="None"/>
          <w:i/>
          <w:iCs/>
        </w:rPr>
        <w:t>. Access Corp. v. Halleck</w:t>
      </w:r>
      <w:r w:rsidRPr="00AA0453">
        <w:rPr>
          <w:rStyle w:val="None"/>
        </w:rPr>
        <w:t>, 13</w:t>
      </w:r>
      <w:r w:rsidR="002376CC">
        <w:rPr>
          <w:rStyle w:val="None"/>
        </w:rPr>
        <w:t>9</w:t>
      </w:r>
      <w:r w:rsidRPr="00AA0453">
        <w:rPr>
          <w:rStyle w:val="None"/>
        </w:rPr>
        <w:t xml:space="preserve">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0A3E8ECE" w:rsidR="00E9398D" w:rsidRPr="00AA0453" w:rsidRDefault="0045211C" w:rsidP="00B35379">
      <w:pPr>
        <w:pStyle w:val="Rule"/>
        <w:rPr>
          <w:rStyle w:val="None"/>
          <w:rFonts w:eastAsia="Georgia" w:cs="Georgia"/>
        </w:rPr>
      </w:pPr>
      <w:r>
        <w:rPr>
          <w:rStyle w:val="None"/>
        </w:rPr>
        <w:t xml:space="preserve">Prepare </w:t>
      </w:r>
      <w:proofErr w:type="gramStart"/>
      <w:r>
        <w:rPr>
          <w:rStyle w:val="None"/>
        </w:rPr>
        <w:t>yourself, and</w:t>
      </w:r>
      <w:proofErr w:type="gramEnd"/>
      <w:r>
        <w:rPr>
          <w:rStyle w:val="None"/>
        </w:rPr>
        <w:t xml:space="preserve"> use this one sparingly: </w:t>
      </w:r>
      <w:r w:rsidR="00E9398D" w:rsidRPr="00AA0453">
        <w:rPr>
          <w:rStyle w:val="None"/>
          <w:i/>
          <w:iCs/>
        </w:rPr>
        <w:t>But cf.</w:t>
      </w:r>
      <w:r w:rsidR="00E9398D" w:rsidRPr="00AA0453">
        <w:rPr>
          <w:rStyle w:val="None"/>
        </w:rPr>
        <w:t> </w:t>
      </w:r>
      <w:r w:rsidR="00F85F2C">
        <w:rPr>
          <w:rStyle w:val="None"/>
        </w:rPr>
        <w:t xml:space="preserve">indicates that the cited source </w:t>
      </w:r>
      <w:r>
        <w:rPr>
          <w:rStyle w:val="None"/>
        </w:rPr>
        <w:t xml:space="preserve">supports an assertion that is </w:t>
      </w:r>
      <w:r w:rsidR="00E9398D" w:rsidRPr="00AA0453">
        <w:rPr>
          <w:rStyle w:val="None"/>
        </w:rPr>
        <w:t>similar to the opposite o</w:t>
      </w:r>
      <w:r w:rsidR="00B544C9">
        <w:rPr>
          <w:rStyle w:val="None"/>
        </w:rPr>
        <w:t>f the main assertion</w:t>
      </w:r>
      <w:r w:rsidR="00E9398D" w:rsidRPr="00AA0453">
        <w:rPr>
          <w:rStyle w:val="None"/>
        </w:rPr>
        <w:t>.</w:t>
      </w:r>
      <w:r w:rsidR="00B544C9">
        <w:rPr>
          <w:rStyle w:val="None"/>
        </w:rPr>
        <w:t xml:space="preserve"> It follows that</w:t>
      </w:r>
      <w:r w:rsidR="00E9398D" w:rsidRPr="00AA0453">
        <w:rPr>
          <w:rStyle w:val="None"/>
        </w:rPr>
        <w:t> </w:t>
      </w:r>
      <w:proofErr w:type="gramStart"/>
      <w:r w:rsidR="00E9398D" w:rsidRPr="00AA0453">
        <w:rPr>
          <w:rStyle w:val="None"/>
          <w:i/>
          <w:iCs/>
        </w:rPr>
        <w:t>But</w:t>
      </w:r>
      <w:proofErr w:type="gramEnd"/>
      <w:r w:rsidR="00E9398D" w:rsidRPr="00AA0453">
        <w:rPr>
          <w:rStyle w:val="None"/>
          <w:i/>
          <w:iCs/>
        </w:rPr>
        <w:t xml:space="preserve"> cf.</w:t>
      </w:r>
      <w:r w:rsidR="00E9398D" w:rsidRPr="00AA0453">
        <w:rPr>
          <w:rStyle w:val="None"/>
        </w:rPr>
        <w:t> is the opposite signal to </w:t>
      </w:r>
      <w:r w:rsidR="00E9398D" w:rsidRPr="00AA0453">
        <w:rPr>
          <w:rStyle w:val="None"/>
          <w:i/>
          <w:iCs/>
        </w:rPr>
        <w:t>cf.</w:t>
      </w:r>
      <w:r w:rsidR="00B544C9">
        <w:rPr>
          <w:rStyle w:val="None"/>
        </w:rPr>
        <w:t xml:space="preserve"> indicating support by</w:t>
      </w:r>
      <w:r w:rsidR="00F85F2C">
        <w:rPr>
          <w:rStyle w:val="None"/>
        </w:rPr>
        <w:t xml:space="preserve"> analogy</w:t>
      </w:r>
      <w:r w:rsidR="00B544C9">
        <w:rPr>
          <w:rStyle w:val="None"/>
        </w:rPr>
        <w:t>.</w:t>
      </w:r>
      <w:r w:rsidR="00E9398D" w:rsidRPr="00AA0453">
        <w:rPr>
          <w:rStyle w:val="None"/>
        </w:rPr>
        <w:t> Always use a parenthetical with </w:t>
      </w:r>
      <w:r w:rsidR="00E9398D" w:rsidRPr="00AA0453">
        <w:rPr>
          <w:rStyle w:val="None"/>
          <w:i/>
          <w:iCs/>
        </w:rPr>
        <w:t>but cf.</w:t>
      </w:r>
      <w:r w:rsidR="00E9398D"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w:t>
      </w:r>
      <w:proofErr w:type="spellStart"/>
      <w:r w:rsidRPr="00AA0453">
        <w:rPr>
          <w:rStyle w:val="None"/>
        </w:rPr>
        <w:t>Riscica</w:t>
      </w:r>
      <w:proofErr w:type="spellEnd"/>
      <w:r w:rsidRPr="00AA0453">
        <w:rPr>
          <w:rStyle w:val="None"/>
        </w:rPr>
        <w:t xml:space="preserve">, </w:t>
      </w:r>
      <w:proofErr w:type="gramStart"/>
      <w:r w:rsidRPr="00AA0453">
        <w:rPr>
          <w:rStyle w:val="None"/>
          <w:i/>
          <w:iCs/>
        </w:rPr>
        <w:t>Why</w:t>
      </w:r>
      <w:proofErr w:type="gramEnd"/>
      <w:r w:rsidRPr="00AA0453">
        <w:rPr>
          <w:rStyle w:val="None"/>
          <w:i/>
          <w:iCs/>
        </w:rPr>
        <w:t xml:space="preserve"> (Smart &amp; Talented) People Fail the Architect Exam</w:t>
      </w:r>
      <w:r w:rsidRPr="00AA0453">
        <w:rPr>
          <w:rStyle w:val="None"/>
        </w:rPr>
        <w:t xml:space="preserve">, </w:t>
      </w:r>
      <w:proofErr w:type="spellStart"/>
      <w:r w:rsidRPr="00AA0453">
        <w:rPr>
          <w:rStyle w:val="None"/>
        </w:rPr>
        <w:t>Architizer</w:t>
      </w:r>
      <w:proofErr w:type="spellEnd"/>
      <w:r w:rsidRPr="00AA0453">
        <w:rPr>
          <w:rStyle w:val="None"/>
        </w:rPr>
        <w:t xml:space="preserve">, https://architizer.com/blog/practice/details/5-reasons-why-smart-and-talented-people-fail-the-architect-exam/ (last visited June 1, 2021) (“There is no correlation between success in architecture school and success with completing the exam. In fact, I </w:t>
      </w:r>
      <w:proofErr w:type="gramStart"/>
      <w:r w:rsidRPr="00AA0453">
        <w:rPr>
          <w:rStyle w:val="None"/>
        </w:rPr>
        <w:t>truly believe</w:t>
      </w:r>
      <w:proofErr w:type="gramEnd"/>
      <w:r w:rsidRPr="00AA0453">
        <w:rPr>
          <w:rStyle w:val="None"/>
        </w:rPr>
        <w:t xml:space="preser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28B0CDFC"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w:t>
      </w:r>
      <w:r w:rsidR="00AD5505">
        <w:rPr>
          <w:rStyle w:val="None"/>
          <w:rFonts w:ascii="Georgia" w:hAnsi="Georgia"/>
        </w:rPr>
        <w:t>, and Related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w:t>
      </w:r>
      <w:proofErr w:type="gramStart"/>
      <w:r w:rsidRPr="00AA0453">
        <w:rPr>
          <w:rStyle w:val="None"/>
        </w:rPr>
        <w:t>being referred</w:t>
      </w:r>
      <w:proofErr w:type="gramEnd"/>
      <w:r w:rsidRPr="00AA0453">
        <w:rPr>
          <w:rStyle w:val="None"/>
        </w:rPr>
        <w:t xml:space="preserve"> to. For cases, these specific references are known as </w:t>
      </w:r>
      <w:proofErr w:type="spellStart"/>
      <w:r w:rsidRPr="00AA0453">
        <w:rPr>
          <w:rStyle w:val="None"/>
        </w:rPr>
        <w:t>pincites</w:t>
      </w:r>
      <w:proofErr w:type="spellEnd"/>
      <w:r w:rsidRPr="00AA0453">
        <w:rPr>
          <w:rStyle w:val="None"/>
        </w:rPr>
        <w:t xml:space="preserve">.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68632829" w:rsidR="00E9398D" w:rsidRPr="00AA0453" w:rsidRDefault="00E9398D" w:rsidP="003E757A">
      <w:pPr>
        <w:pStyle w:val="Rule"/>
        <w:rPr>
          <w:rStyle w:val="None"/>
        </w:rPr>
      </w:pPr>
      <w:r w:rsidRPr="00AA0453">
        <w:rPr>
          <w:rStyle w:val="None"/>
        </w:rPr>
        <w:t>Refer to the source’s page by its number or numbers. Do not use p. or pp. to indicate a page reference.</w:t>
      </w:r>
      <w:r w:rsidR="00CF2B08">
        <w:rPr>
          <w:rStyle w:val="None"/>
        </w:rPr>
        <w:t xml:space="preserve"> Use “at” if needed for clarity.”</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4ACD1B33" w14:textId="77777777" w:rsidR="00CF2B08" w:rsidRDefault="00E9398D" w:rsidP="00CF2B08">
      <w:pPr>
        <w:pStyle w:val="Example"/>
        <w:ind w:left="1440"/>
        <w:rPr>
          <w:rStyle w:val="None"/>
        </w:rPr>
      </w:pPr>
      <w:r w:rsidRPr="00AA0453">
        <w:rPr>
          <w:rStyle w:val="None"/>
        </w:rPr>
        <w:t xml:space="preserve">Elizabeth Porter &amp; Kathryn Watts, </w:t>
      </w:r>
      <w:r w:rsidRPr="002D2574">
        <w:rPr>
          <w:rStyle w:val="None"/>
          <w:i/>
          <w:iCs/>
        </w:rPr>
        <w:t>Visual Rulemaking</w:t>
      </w:r>
      <w:r w:rsidRPr="00AA0453">
        <w:rPr>
          <w:rStyle w:val="None"/>
        </w:rPr>
        <w:t>, 91 N.Y.U. L. Rev. 1183, 1240 (2016).</w:t>
      </w:r>
    </w:p>
    <w:p w14:paraId="52012474" w14:textId="1F8EF802" w:rsidR="00CF2B08" w:rsidRPr="00CF2B08" w:rsidRDefault="00CF2B08" w:rsidP="00CF2B08">
      <w:pPr>
        <w:pStyle w:val="Example"/>
        <w:ind w:left="1440"/>
      </w:pPr>
      <w:r>
        <w:rPr>
          <w:rStyle w:val="normaltextrun"/>
          <w:rFonts w:cs="Segoe UI"/>
        </w:rPr>
        <w:t xml:space="preserve">Anjali Vats, </w:t>
      </w:r>
      <w:r>
        <w:rPr>
          <w:rStyle w:val="normaltextrun"/>
          <w:rFonts w:cs="Segoe UI"/>
          <w:i/>
          <w:iCs/>
        </w:rPr>
        <w:t>The Color of Creatorship: Intellectual Property, Race, and the Making of Americans</w:t>
      </w:r>
      <w:r>
        <w:rPr>
          <w:rStyle w:val="normaltextrun"/>
          <w:rFonts w:cs="Segoe UI"/>
        </w:rPr>
        <w:t xml:space="preserve"> 35 (2020).</w:t>
      </w:r>
      <w:r>
        <w:rPr>
          <w:rStyle w:val="eop"/>
          <w:rFonts w:cs="Segoe UI"/>
        </w:rPr>
        <w:t> </w:t>
      </w:r>
    </w:p>
    <w:p w14:paraId="3E24D682" w14:textId="0945B36D" w:rsidR="00CF2B08" w:rsidRDefault="00CF2B08" w:rsidP="00CF2B08">
      <w:pPr>
        <w:pStyle w:val="paragraph"/>
        <w:spacing w:before="0" w:beforeAutospacing="0" w:after="0" w:afterAutospacing="0"/>
        <w:ind w:left="1440"/>
        <w:textAlignment w:val="baseline"/>
        <w:rPr>
          <w:rFonts w:ascii="Segoe UI" w:hAnsi="Segoe UI" w:cs="Segoe UI"/>
          <w:sz w:val="18"/>
          <w:szCs w:val="18"/>
        </w:rPr>
      </w:pPr>
      <w:r>
        <w:rPr>
          <w:rStyle w:val="normaltextrun"/>
          <w:rFonts w:ascii="Georgia" w:hAnsi="Georgia" w:cs="Segoe UI"/>
        </w:rPr>
        <w:t xml:space="preserve">George Orwell, </w:t>
      </w:r>
      <w:r>
        <w:rPr>
          <w:rStyle w:val="normaltextrun"/>
          <w:rFonts w:ascii="Georgia" w:hAnsi="Georgia" w:cs="Segoe UI"/>
          <w:i/>
          <w:iCs/>
        </w:rPr>
        <w:t>1984</w:t>
      </w:r>
      <w:r>
        <w:rPr>
          <w:rStyle w:val="normaltextrun"/>
          <w:rFonts w:ascii="Georgia" w:hAnsi="Georgia" w:cs="Segoe UI"/>
        </w:rPr>
        <w:t>, at 12 (1961).</w:t>
      </w:r>
      <w:r>
        <w:rPr>
          <w:rStyle w:val="eop"/>
          <w:rFonts w:ascii="Georgia" w:hAnsi="Georgia" w:cs="Segoe UI"/>
        </w:rPr>
        <w:t> </w:t>
      </w:r>
    </w:p>
    <w:p w14:paraId="26F48D9B" w14:textId="77777777" w:rsidR="00CF2B08" w:rsidRPr="00AA0453" w:rsidRDefault="00CF2B08" w:rsidP="003E757A">
      <w:pPr>
        <w:pStyle w:val="Example"/>
        <w:ind w:left="1440"/>
        <w:rPr>
          <w:rStyle w:val="None"/>
        </w:rPr>
      </w:pP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 xml:space="preserve">Refer to a span of pages with a hyphen (-), an </w:t>
      </w:r>
      <w:proofErr w:type="spellStart"/>
      <w:r w:rsidRPr="00AA0453">
        <w:rPr>
          <w:rStyle w:val="None"/>
        </w:rPr>
        <w:t>en</w:t>
      </w:r>
      <w:proofErr w:type="spellEnd"/>
      <w:r w:rsidRPr="00AA0453">
        <w:rPr>
          <w:rStyle w:val="None"/>
        </w:rPr>
        <w:t xml:space="preserve"> dash (–)</w:t>
      </w:r>
      <w:r w:rsidR="00264D99" w:rsidRPr="00AA0453">
        <w:rPr>
          <w:rStyle w:val="None"/>
        </w:rPr>
        <w:t>, or</w:t>
      </w:r>
      <w:r w:rsidRPr="00AA0453">
        <w:rPr>
          <w:rStyle w:val="None"/>
        </w:rPr>
        <w:t xml:space="preserve"> the word “to” if needed for clarity. Note that an </w:t>
      </w:r>
      <w:proofErr w:type="spellStart"/>
      <w:r w:rsidRPr="00AA0453">
        <w:rPr>
          <w:rStyle w:val="None"/>
        </w:rPr>
        <w:t>en</w:t>
      </w:r>
      <w:proofErr w:type="spellEnd"/>
      <w:r w:rsidRPr="00AA0453">
        <w:rPr>
          <w:rStyle w:val="None"/>
        </w:rPr>
        <w:t xml:space="preserve"> dash is the proper standard for providing a span of pages in a formal legal publication, but hyphens </w:t>
      </w:r>
      <w:proofErr w:type="gramStart"/>
      <w:r w:rsidRPr="00AA0453">
        <w:rPr>
          <w:rStyle w:val="None"/>
        </w:rPr>
        <w:t>are commonly used</w:t>
      </w:r>
      <w:proofErr w:type="gramEnd"/>
      <w:r w:rsidRPr="00AA0453">
        <w:rPr>
          <w:rStyle w:val="None"/>
        </w:rPr>
        <w:t xml:space="preserve">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proofErr w:type="spellStart"/>
      <w:r w:rsidRPr="00AA0453">
        <w:rPr>
          <w:rStyle w:val="None"/>
          <w:i/>
          <w:iCs/>
        </w:rPr>
        <w:t>Selmon</w:t>
      </w:r>
      <w:proofErr w:type="spellEnd"/>
      <w:r w:rsidRPr="00AA0453">
        <w:rPr>
          <w:rStyle w:val="None"/>
          <w:i/>
          <w:iCs/>
        </w:rPr>
        <w:t xml:space="preserve">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 xml:space="preserve">Hyphens, </w:t>
      </w:r>
      <w:proofErr w:type="spellStart"/>
      <w:r w:rsidRPr="00AA0453">
        <w:rPr>
          <w:rStyle w:val="None"/>
          <w:lang w:val="en-US"/>
        </w:rPr>
        <w:t>en</w:t>
      </w:r>
      <w:proofErr w:type="spellEnd"/>
      <w:r w:rsidRPr="00AA0453">
        <w:rPr>
          <w:rStyle w:val="None"/>
          <w:lang w:val="en-US"/>
        </w:rPr>
        <w:t xml:space="preserve"> dashes, and </w:t>
      </w:r>
      <w:proofErr w:type="spellStart"/>
      <w:r w:rsidRPr="00AA0453">
        <w:rPr>
          <w:rStyle w:val="None"/>
          <w:lang w:val="en-US"/>
        </w:rPr>
        <w:t>em</w:t>
      </w:r>
      <w:proofErr w:type="spellEnd"/>
      <w:r w:rsidRPr="00AA0453">
        <w:rPr>
          <w:rStyle w:val="None"/>
          <w:lang w:val="en-US"/>
        </w:rPr>
        <w:t xml:space="preserve"> dashes are three separate marks with mostly separate functions in citations and sentences. These marks all comprise short, horizontal lines that—with the help of glasses and/or a magnifying glass—you will see have microscopically varying lengths.</w:t>
      </w:r>
    </w:p>
    <w:p w14:paraId="3F38B66A" w14:textId="77777777" w:rsidR="00CD4218" w:rsidRDefault="00CD4218" w:rsidP="00CD4218">
      <w:pPr>
        <w:pStyle w:val="Inkling"/>
        <w:rPr>
          <w:rStyle w:val="None"/>
          <w:b/>
          <w:bCs/>
          <w:lang w:val="en-US"/>
        </w:rPr>
      </w:pPr>
    </w:p>
    <w:p w14:paraId="0D2793D8" w14:textId="7B5CB180" w:rsidR="004247CB" w:rsidRPr="00AA0453" w:rsidRDefault="00E9398D" w:rsidP="004247CB">
      <w:pPr>
        <w:pStyle w:val="Inkling"/>
        <w:rPr>
          <w:lang w:val="en-US"/>
        </w:rPr>
      </w:pPr>
      <w:r w:rsidRPr="00AA0453">
        <w:rPr>
          <w:rStyle w:val="None"/>
          <w:b/>
          <w:bCs/>
          <w:lang w:val="en-US"/>
        </w:rPr>
        <w:t>Hyphens</w:t>
      </w:r>
      <w:r w:rsidRPr="00AA0453">
        <w:rPr>
          <w:rStyle w:val="None"/>
          <w:lang w:val="en-US"/>
        </w:rPr>
        <w:t> (shortest in length) are used for phrasal adjectives (e.g., “laser-sharp focus,” “larger-than-life character,” and compound words (e.g., “daughter-in-law,” “</w:t>
      </w:r>
      <w:proofErr w:type="gramStart"/>
      <w:r w:rsidRPr="00AA0453">
        <w:rPr>
          <w:rStyle w:val="None"/>
          <w:lang w:val="en-US"/>
        </w:rPr>
        <w:t>over-the-counter</w:t>
      </w:r>
      <w:proofErr w:type="gramEnd"/>
      <w:r w:rsidRPr="00AA0453">
        <w:rPr>
          <w:rStyle w:val="None"/>
          <w:lang w:val="en-US"/>
        </w:rPr>
        <w:t xml:space="preserve">”). Hyphens are also a feature of </w:t>
      </w:r>
      <w:proofErr w:type="gramStart"/>
      <w:r w:rsidRPr="00AA0453">
        <w:rPr>
          <w:rStyle w:val="None"/>
          <w:lang w:val="en-US"/>
        </w:rPr>
        <w:t>many</w:t>
      </w:r>
      <w:proofErr w:type="gramEnd"/>
      <w:r w:rsidRPr="00AA0453">
        <w:rPr>
          <w:rStyle w:val="None"/>
          <w:lang w:val="en-US"/>
        </w:rPr>
        <w:t xml:space="preserve"> statutory citation formats, such as Ala. Code § 27-14-24 and O.C.G.A. § 33-24-41. </w:t>
      </w:r>
      <w:r w:rsidR="00D76528">
        <w:rPr>
          <w:rStyle w:val="None"/>
          <w:lang w:val="en-US"/>
        </w:rPr>
        <w:t>Meticulously preserve</w:t>
      </w:r>
      <w:r w:rsidRPr="00AA0453">
        <w:rPr>
          <w:rStyle w:val="None"/>
          <w:lang w:val="en-US"/>
        </w:rPr>
        <w:t xml:space="preserve"> hyphens when they are intrinsically part of a citation, such as 42 U.S.C. § 2000e-2(a)(1). </w:t>
      </w:r>
      <w:r w:rsidR="004247CB" w:rsidRPr="00AA0453">
        <w:rPr>
          <w:rStyle w:val="None"/>
          <w:lang w:val="en-US"/>
        </w:rPr>
        <w:t xml:space="preserve">Hyphens </w:t>
      </w:r>
      <w:proofErr w:type="gramStart"/>
      <w:r w:rsidR="004247CB">
        <w:rPr>
          <w:rStyle w:val="None"/>
          <w:lang w:val="en-US"/>
        </w:rPr>
        <w:t>are commonly</w:t>
      </w:r>
      <w:r w:rsidR="004247CB" w:rsidRPr="00AA0453">
        <w:rPr>
          <w:rStyle w:val="None"/>
          <w:lang w:val="en-US"/>
        </w:rPr>
        <w:t xml:space="preserve"> used</w:t>
      </w:r>
      <w:proofErr w:type="gramEnd"/>
      <w:r w:rsidR="004247CB" w:rsidRPr="00AA0453">
        <w:rPr>
          <w:rStyle w:val="None"/>
          <w:lang w:val="en-US"/>
        </w:rPr>
        <w:t xml:space="preserve"> for page ranges in standard legal documents.</w:t>
      </w:r>
    </w:p>
    <w:p w14:paraId="01241EDE" w14:textId="77777777" w:rsidR="00CD4218" w:rsidRDefault="00CD4218" w:rsidP="00CD4218">
      <w:pPr>
        <w:pStyle w:val="Inkling"/>
        <w:rPr>
          <w:rStyle w:val="None"/>
          <w:b/>
          <w:bCs/>
          <w:lang w:val="en-US"/>
        </w:rPr>
      </w:pPr>
    </w:p>
    <w:p w14:paraId="140CA856" w14:textId="7448D543" w:rsidR="00E9398D" w:rsidRPr="00AA0453" w:rsidRDefault="00E9398D" w:rsidP="00CD4218">
      <w:pPr>
        <w:pStyle w:val="Inkling"/>
        <w:rPr>
          <w:lang w:val="en-US"/>
        </w:rPr>
      </w:pPr>
      <w:r w:rsidRPr="00AA0453">
        <w:rPr>
          <w:rStyle w:val="None"/>
          <w:b/>
          <w:bCs/>
          <w:lang w:val="en-US"/>
        </w:rPr>
        <w:t>En dashes</w:t>
      </w:r>
      <w:r w:rsidRPr="00AA0453">
        <w:rPr>
          <w:rStyle w:val="None"/>
          <w:lang w:val="en-US"/>
        </w:rPr>
        <w:t xml:space="preserve"> (longer than hyphens, shorter than </w:t>
      </w:r>
      <w:proofErr w:type="spellStart"/>
      <w:r w:rsidRPr="00AA0453">
        <w:rPr>
          <w:rStyle w:val="None"/>
          <w:lang w:val="en-US"/>
        </w:rPr>
        <w:t>em</w:t>
      </w:r>
      <w:proofErr w:type="spellEnd"/>
      <w:r w:rsidRPr="00AA0453">
        <w:rPr>
          <w:rStyle w:val="None"/>
          <w:lang w:val="en-US"/>
        </w:rPr>
        <w:t xml:space="preserve"> dashes) </w:t>
      </w:r>
      <w:r w:rsidR="00612B3C">
        <w:rPr>
          <w:rStyle w:val="None"/>
          <w:lang w:val="en-US"/>
        </w:rPr>
        <w:t xml:space="preserve">can </w:t>
      </w:r>
      <w:proofErr w:type="gramStart"/>
      <w:r w:rsidR="00612B3C">
        <w:rPr>
          <w:rStyle w:val="None"/>
          <w:lang w:val="en-US"/>
        </w:rPr>
        <w:t>be</w:t>
      </w:r>
      <w:r w:rsidRPr="00AA0453">
        <w:rPr>
          <w:rStyle w:val="None"/>
          <w:lang w:val="en-US"/>
        </w:rPr>
        <w:t xml:space="preserve"> used</w:t>
      </w:r>
      <w:proofErr w:type="gramEnd"/>
      <w:r w:rsidRPr="00AA0453">
        <w:rPr>
          <w:rStyle w:val="None"/>
          <w:lang w:val="en-US"/>
        </w:rPr>
        <w:t xml:space="preserve"> for ranges of values (e.g., page ranges) and contrasting or connected pairs of words (e.g., Sarbanes–Oxley Act), especially in academic legal documents.</w:t>
      </w:r>
    </w:p>
    <w:p w14:paraId="3CD19D6C" w14:textId="77777777" w:rsidR="00CD4218" w:rsidRDefault="00CD4218" w:rsidP="00CD4218">
      <w:pPr>
        <w:pStyle w:val="Inkling"/>
        <w:rPr>
          <w:rStyle w:val="None"/>
          <w:b/>
          <w:bCs/>
          <w:lang w:val="en-US"/>
        </w:rPr>
      </w:pPr>
    </w:p>
    <w:p w14:paraId="44A2A456" w14:textId="00405E08" w:rsidR="00E9398D" w:rsidRPr="00AA0453" w:rsidRDefault="00E9398D" w:rsidP="00CD4218">
      <w:pPr>
        <w:pStyle w:val="Inkling"/>
        <w:rPr>
          <w:lang w:val="en-US"/>
        </w:rPr>
      </w:pPr>
      <w:proofErr w:type="spellStart"/>
      <w:r w:rsidRPr="00AA0453">
        <w:rPr>
          <w:rStyle w:val="None"/>
          <w:b/>
          <w:bCs/>
          <w:lang w:val="en-US"/>
        </w:rPr>
        <w:t>Em</w:t>
      </w:r>
      <w:proofErr w:type="spellEnd"/>
      <w:r w:rsidRPr="00AA0453">
        <w:rPr>
          <w:rStyle w:val="None"/>
          <w:b/>
          <w:bCs/>
          <w:lang w:val="en-US"/>
        </w:rPr>
        <w:t xml:space="preserve"> dashes</w:t>
      </w:r>
      <w:r w:rsidRPr="00AA0453">
        <w:rPr>
          <w:rStyle w:val="None"/>
          <w:lang w:val="en-US"/>
        </w:rPr>
        <w:t xml:space="preserve"> (longest in length) </w:t>
      </w:r>
      <w:proofErr w:type="gramStart"/>
      <w:r w:rsidRPr="00AA0453">
        <w:rPr>
          <w:rStyle w:val="None"/>
          <w:lang w:val="en-US"/>
        </w:rPr>
        <w:t>are used</w:t>
      </w:r>
      <w:proofErr w:type="gramEnd"/>
      <w:r w:rsidRPr="00AA0453">
        <w:rPr>
          <w:rStyle w:val="None"/>
          <w:lang w:val="en-US"/>
        </w:rPr>
        <w:t xml:space="preserve"> for inserting a break in a thought; isolating a concluding phrase; setting on a parenthetical explanation or amplification; and signaling a collection of ideas</w:t>
      </w:r>
      <w:r w:rsidR="004247CB">
        <w:rPr>
          <w:rStyle w:val="None"/>
          <w:lang w:val="en-US"/>
        </w:rPr>
        <w:t xml:space="preserve">. </w:t>
      </w:r>
      <w:proofErr w:type="gramStart"/>
      <w:r w:rsidR="008F5B6D">
        <w:rPr>
          <w:rStyle w:val="None"/>
          <w:lang w:val="en-US"/>
        </w:rPr>
        <w:t>Here’s</w:t>
      </w:r>
      <w:proofErr w:type="gramEnd"/>
      <w:r w:rsidR="008F5B6D">
        <w:rPr>
          <w:rStyle w:val="None"/>
          <w:lang w:val="en-US"/>
        </w:rPr>
        <w:t xml:space="preserve"> one example: “</w:t>
      </w:r>
      <w:r w:rsidRPr="00AA0453">
        <w:rPr>
          <w:rStyle w:val="None"/>
          <w:lang w:val="en-US"/>
        </w:rPr>
        <w:t>When her new Volkswagen was finally delivered—nearly three months after it was ordered and following the revelation of VW's massive scheme of emissions control fraud—Alice decided she didn't want it</w:t>
      </w:r>
      <w:r w:rsidR="004247CB">
        <w:rPr>
          <w:rStyle w:val="None"/>
          <w:lang w:val="en-US"/>
        </w:rPr>
        <w:t>.</w:t>
      </w:r>
      <w:r w:rsidR="008F5B6D">
        <w:rPr>
          <w:rStyle w:val="None"/>
          <w:lang w:val="en-US"/>
        </w:rPr>
        <w:t>”</w:t>
      </w:r>
    </w:p>
    <w:p w14:paraId="2E8760D1" w14:textId="77777777" w:rsidR="00E9398D" w:rsidRPr="00AA0453" w:rsidRDefault="00E9398D" w:rsidP="003E757A">
      <w:pPr>
        <w:pStyle w:val="Inkling"/>
        <w:rPr>
          <w:rStyle w:val="None"/>
          <w:lang w:val="en-US"/>
        </w:rPr>
      </w:pPr>
    </w:p>
    <w:p w14:paraId="225D9467" w14:textId="028EA961"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w:t>
      </w:r>
      <w:r w:rsidR="00AC307B">
        <w:rPr>
          <w:rStyle w:val="None"/>
          <w:rFonts w:ascii="Georgia" w:hAnsi="Georgia"/>
        </w:rPr>
        <w:t>, figures, historical notes, and tables</w:t>
      </w:r>
    </w:p>
    <w:p w14:paraId="1811DA0C" w14:textId="7432C303" w:rsidR="00AC307B" w:rsidRPr="00AC307B" w:rsidRDefault="00E9398D" w:rsidP="00AC307B">
      <w:pPr>
        <w:pStyle w:val="Rule"/>
        <w:rPr>
          <w:rStyle w:val="None"/>
        </w:rPr>
      </w:pPr>
      <w:r w:rsidRPr="00AA0453">
        <w:rPr>
          <w:rStyle w:val="None"/>
        </w:rPr>
        <w:t>Cite a footnote on a page by providing the page,</w:t>
      </w:r>
      <w:r w:rsidR="00986807">
        <w:rPr>
          <w:rStyle w:val="None"/>
        </w:rPr>
        <w:t xml:space="preserve"> one space,</w:t>
      </w:r>
      <w:r w:rsidRPr="00AA0453">
        <w:rPr>
          <w:rStyle w:val="None"/>
        </w:rPr>
        <w:t xml:space="preserve"> the abbreviation “n.</w:t>
      </w:r>
      <w:proofErr w:type="gramStart"/>
      <w:r w:rsidRPr="00AA0453">
        <w:rPr>
          <w:rStyle w:val="None"/>
        </w:rPr>
        <w:t>”</w:t>
      </w:r>
      <w:r w:rsidR="00986807">
        <w:rPr>
          <w:rStyle w:val="None"/>
        </w:rPr>
        <w:t>,</w:t>
      </w:r>
      <w:proofErr w:type="gramEnd"/>
      <w:r w:rsidRPr="00AA0453">
        <w:rPr>
          <w:rStyle w:val="None"/>
        </w:rPr>
        <w:t xml:space="preserve"> and the footnote number. </w:t>
      </w:r>
      <w:r w:rsidR="00AC307B">
        <w:rPr>
          <w:rStyle w:val="None"/>
        </w:rPr>
        <w:t xml:space="preserve">Follow the same format for figures, historical notes, tables, and similar features. </w:t>
      </w:r>
      <w:r w:rsidR="00AC307B">
        <w:rPr>
          <w:rStyle w:val="None"/>
          <w:rFonts w:eastAsia="Georgia" w:cs="Georgia"/>
        </w:rPr>
        <w:t xml:space="preserve">Refer to </w:t>
      </w:r>
      <w:r w:rsidR="00AC307B" w:rsidRPr="008F5B6D">
        <w:rPr>
          <w:rStyle w:val="Rulereferencecharacterstyle"/>
        </w:rPr>
        <w:t>Table T13</w:t>
      </w:r>
      <w:r w:rsidR="00AC307B">
        <w:rPr>
          <w:rStyle w:val="None"/>
          <w:rFonts w:eastAsia="Georgia" w:cs="Georgia"/>
        </w:rPr>
        <w:t xml:space="preserve"> for abbreviations such as “fig.” for “figure.” Do not add a space between the abbreviation and the number or letter designating the figure, footnote, historical note, or table. </w:t>
      </w:r>
    </w:p>
    <w:p w14:paraId="3AA1D059" w14:textId="0644CA4F" w:rsidR="00AC307B" w:rsidRPr="00AA0453" w:rsidRDefault="00AC307B" w:rsidP="00124906">
      <w:pPr>
        <w:pStyle w:val="Rule"/>
        <w:rPr>
          <w:rStyle w:val="None"/>
        </w:rPr>
      </w:pP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4372DD35" w:rsidR="00E9398D" w:rsidRPr="00AA0453" w:rsidRDefault="00E9398D" w:rsidP="003E757A">
      <w:pPr>
        <w:pStyle w:val="Example"/>
        <w:ind w:left="1440"/>
        <w:rPr>
          <w:rStyle w:val="None"/>
          <w:rFonts w:eastAsia="Georgia" w:cs="Georgia"/>
        </w:rPr>
      </w:pPr>
      <w:r w:rsidRPr="00AA0453">
        <w:rPr>
          <w:rStyle w:val="None"/>
        </w:rPr>
        <w:t xml:space="preserve">Elizabeth Porter &amp; Kathryn Watts, </w:t>
      </w:r>
      <w:r w:rsidRPr="00AA0453">
        <w:rPr>
          <w:rStyle w:val="None"/>
          <w:i/>
          <w:iCs/>
        </w:rPr>
        <w:t>Visual Rulemaking</w:t>
      </w:r>
      <w:r w:rsidRPr="00AA0453">
        <w:rPr>
          <w:rStyle w:val="None"/>
        </w:rPr>
        <w:t>, 91 N.Y.U. L. Rev. 1183, 1239 n.270 (2016).</w:t>
      </w:r>
    </w:p>
    <w:p w14:paraId="765546C0" w14:textId="77777777" w:rsidR="00171F69" w:rsidRDefault="00E9398D" w:rsidP="00171F69">
      <w:pPr>
        <w:pStyle w:val="Example"/>
        <w:ind w:left="1440"/>
        <w:rPr>
          <w:rStyle w:val="None"/>
        </w:rPr>
      </w:pPr>
      <w:r w:rsidRPr="00AA0453">
        <w:rPr>
          <w:rStyle w:val="None"/>
          <w:i/>
          <w:iCs/>
        </w:rPr>
        <w:t>Cunningham v. State</w:t>
      </w:r>
      <w:r w:rsidRPr="00AA0453">
        <w:rPr>
          <w:rStyle w:val="None"/>
        </w:rPr>
        <w:t>, 822 S.E.2d 281, 285 n.4 (Ga. 2018)</w:t>
      </w:r>
      <w:r w:rsidR="00AC307B">
        <w:rPr>
          <w:rStyle w:val="None"/>
        </w:rPr>
        <w:t xml:space="preserve"> (</w:t>
      </w:r>
      <w:proofErr w:type="spellStart"/>
      <w:r w:rsidR="00AC307B">
        <w:rPr>
          <w:rStyle w:val="None"/>
        </w:rPr>
        <w:t>Hunstein</w:t>
      </w:r>
      <w:proofErr w:type="spellEnd"/>
      <w:r w:rsidR="00AC307B">
        <w:rPr>
          <w:rStyle w:val="None"/>
        </w:rPr>
        <w:t>, J.) (“</w:t>
      </w:r>
      <w:r w:rsidR="00AC307B" w:rsidRPr="00AA0453">
        <w:rPr>
          <w:rStyle w:val="None"/>
        </w:rPr>
        <w:t>And that’s all she wrote.”</w:t>
      </w:r>
      <w:r w:rsidR="00AC307B">
        <w:rPr>
          <w:rStyle w:val="None"/>
        </w:rPr>
        <w:t>).</w:t>
      </w:r>
    </w:p>
    <w:p w14:paraId="54E39EE3" w14:textId="5066BB6A" w:rsidR="00AC307B" w:rsidRPr="00171F69" w:rsidRDefault="00AC307B" w:rsidP="00171F69">
      <w:pPr>
        <w:pStyle w:val="Example"/>
        <w:ind w:left="1440"/>
        <w:rPr>
          <w:rStyle w:val="None"/>
        </w:rPr>
      </w:pPr>
      <w:r>
        <w:rPr>
          <w:rStyle w:val="None"/>
          <w:rFonts w:eastAsia="Georgia" w:cs="Georgia"/>
          <w:i/>
          <w:iCs/>
        </w:rPr>
        <w:t xml:space="preserve">U.S. v. </w:t>
      </w:r>
      <w:proofErr w:type="spellStart"/>
      <w:r>
        <w:rPr>
          <w:rStyle w:val="None"/>
          <w:rFonts w:eastAsia="Georgia" w:cs="Georgia"/>
          <w:i/>
          <w:iCs/>
        </w:rPr>
        <w:t>Rentz</w:t>
      </w:r>
      <w:proofErr w:type="spellEnd"/>
      <w:r>
        <w:rPr>
          <w:rStyle w:val="None"/>
          <w:rFonts w:eastAsia="Georgia" w:cs="Georgia"/>
        </w:rPr>
        <w:t>, 777 F.3d 1105, 1110 fig. (10th Cir. 2015)</w:t>
      </w:r>
      <w:r w:rsidR="00162C76">
        <w:rPr>
          <w:rStyle w:val="None"/>
          <w:rFonts w:eastAsia="Georgia" w:cs="Georgia"/>
        </w:rPr>
        <w:t xml:space="preserve"> (Gorsuch, J.)</w:t>
      </w:r>
      <w:r>
        <w:rPr>
          <w:rStyle w:val="None"/>
          <w:rFonts w:eastAsia="Georgia" w:cs="Georgia"/>
        </w:rPr>
        <w:t xml:space="preserve"> (diagramming 18 U.S.C. § 924(c)).</w:t>
      </w:r>
    </w:p>
    <w:p w14:paraId="34EB5997" w14:textId="77777777" w:rsidR="00AC307B" w:rsidRPr="00AA0453" w:rsidRDefault="00AC307B" w:rsidP="003E757A">
      <w:pPr>
        <w:pStyle w:val="Example"/>
        <w:ind w:left="1440"/>
        <w:rPr>
          <w:rStyle w:val="None"/>
          <w:rFonts w:eastAsia="Georgia" w:cs="Georgia"/>
        </w:rPr>
      </w:pPr>
    </w:p>
    <w:p w14:paraId="27EDD702" w14:textId="77777777" w:rsidR="00E9398D" w:rsidRPr="00AA0453" w:rsidRDefault="00E9398D" w:rsidP="003E757A">
      <w:pPr>
        <w:pStyle w:val="Example"/>
        <w:rPr>
          <w:rStyle w:val="None"/>
          <w:rFonts w:eastAsia="Georgia" w:cs="Georgia"/>
          <w:shd w:val="clear" w:color="auto" w:fill="FFFF00"/>
        </w:rPr>
      </w:pPr>
    </w:p>
    <w:p w14:paraId="39B90F5F" w14:textId="46B356DC"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 xml:space="preserve">Sections, </w:t>
      </w:r>
      <w:r w:rsidR="00AD5505">
        <w:rPr>
          <w:rFonts w:ascii="Georgia" w:hAnsi="Georgia"/>
        </w:rPr>
        <w:t>S</w:t>
      </w:r>
      <w:r w:rsidR="00E9398D" w:rsidRPr="00AA0453">
        <w:rPr>
          <w:rFonts w:ascii="Georgia" w:hAnsi="Georgia"/>
        </w:rPr>
        <w:t xml:space="preserve">ubsections, and </w:t>
      </w:r>
      <w:r w:rsidR="00700182">
        <w:rPr>
          <w:rFonts w:ascii="Georgia" w:hAnsi="Georgia"/>
        </w:rPr>
        <w:t>Related</w:t>
      </w:r>
      <w:r w:rsidR="00AD5505">
        <w:rPr>
          <w:rFonts w:ascii="Georgia" w:hAnsi="Georgia"/>
        </w:rPr>
        <w:t xml:space="preserve"> Subdivisions</w:t>
      </w:r>
    </w:p>
    <w:p w14:paraId="0BB53EC5" w14:textId="686A1872" w:rsidR="00C05DAB" w:rsidRPr="00AA0453" w:rsidRDefault="00ED0BA6" w:rsidP="00D1288A">
      <w:pPr>
        <w:pStyle w:val="Heading5"/>
      </w:pPr>
      <w:r w:rsidRPr="00AA0453">
        <w:t>R</w:t>
      </w:r>
      <w:r w:rsidR="00C05DAB" w:rsidRPr="00AA0453">
        <w:t xml:space="preserve">5.2.1 </w:t>
      </w:r>
      <w:r w:rsidR="00124906" w:rsidRPr="00AA0453">
        <w:tab/>
      </w:r>
      <w:r w:rsidR="00124906" w:rsidRPr="00AA0453">
        <w:tab/>
      </w:r>
      <w:r w:rsidR="00C05DAB" w:rsidRPr="00AA0453">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6F6C635B" w:rsidR="00E9398D" w:rsidRPr="00AA0453" w:rsidRDefault="00E9398D" w:rsidP="003E757A">
      <w:pPr>
        <w:pStyle w:val="Example"/>
      </w:pPr>
      <w:r w:rsidRPr="00AA0453">
        <w:tab/>
      </w:r>
      <w:r w:rsidRPr="00AA0453">
        <w:tab/>
        <w:t>21 U.S.C. § 343</w:t>
      </w:r>
      <w:r w:rsidR="00814AA1">
        <w:t>.</w:t>
      </w:r>
    </w:p>
    <w:p w14:paraId="66F72CF6" w14:textId="77777777" w:rsidR="0044593F" w:rsidRDefault="00E9398D" w:rsidP="0044593F">
      <w:pPr>
        <w:pStyle w:val="Example"/>
      </w:pPr>
      <w:r w:rsidRPr="00AA0453">
        <w:tab/>
      </w:r>
      <w:r w:rsidRPr="00AA0453">
        <w:tab/>
        <w:t>21 C.F.R. § 164.150 (2020)</w:t>
      </w:r>
      <w:r w:rsidR="00814AA1">
        <w:t>.</w:t>
      </w:r>
    </w:p>
    <w:p w14:paraId="66CD91FE" w14:textId="47E89386" w:rsidR="00E9398D" w:rsidRDefault="0044593F" w:rsidP="0044593F">
      <w:pPr>
        <w:pStyle w:val="Example"/>
      </w:pPr>
      <w:r>
        <w:tab/>
      </w:r>
      <w:r>
        <w:tab/>
      </w:r>
      <w:r w:rsidR="00E9398D" w:rsidRPr="00AA0453">
        <w:t>Restatement (Third) of Agency § 2.01 (Am. L. Inst. 2006)</w:t>
      </w:r>
      <w:r w:rsidR="00814AA1">
        <w:t>.</w:t>
      </w:r>
    </w:p>
    <w:p w14:paraId="3AF449E1" w14:textId="48C30D70" w:rsidR="00814AA1" w:rsidRDefault="00814AA1" w:rsidP="003E757A">
      <w:pPr>
        <w:pStyle w:val="Example"/>
      </w:pPr>
    </w:p>
    <w:p w14:paraId="7DE74D36" w14:textId="17DA8EC3" w:rsidR="00814AA1" w:rsidRDefault="00814AA1" w:rsidP="008F5B6D">
      <w:pPr>
        <w:pStyle w:val="InklingTitle"/>
      </w:pPr>
      <w:r>
        <w:t>Indigo Inkling</w:t>
      </w:r>
    </w:p>
    <w:p w14:paraId="21BE8CEC" w14:textId="77777777" w:rsidR="00CE20C9" w:rsidRPr="00A47EE3" w:rsidRDefault="00CE20C9" w:rsidP="008F5B6D">
      <w:pPr>
        <w:pStyle w:val="Inkling"/>
      </w:pPr>
      <w:r w:rsidRPr="00A47EE3">
        <w:t xml:space="preserve">The symbol “§” means “section,” and “§§” is the plural form. The section symbol can be inserted as a special character. Computer-keyboard shortcuts create the § symbol with just a few key strokes: [Option-6] on an Apple keyboard or [Alt-0167] on a Windows keyboard using the numeric keypad. Setting up a customized keyboard shortcut may be a good option for Windows users who generate legal citations on a regular basis. If using a mobile device, you may be able to insert a section into text such as by tapping and holding the “&amp;” key. </w:t>
      </w:r>
    </w:p>
    <w:p w14:paraId="22F70D2B" w14:textId="77777777" w:rsidR="00814AA1" w:rsidRPr="00AA0453" w:rsidRDefault="00814AA1" w:rsidP="00BF13D9">
      <w:pPr>
        <w:pStyle w:val="Example"/>
        <w:ind w:left="0"/>
      </w:pPr>
    </w:p>
    <w:p w14:paraId="7766B5E8" w14:textId="77777777" w:rsidR="00E9398D" w:rsidRPr="00AA0453" w:rsidRDefault="00E9398D" w:rsidP="003E757A"/>
    <w:p w14:paraId="3A5D700E" w14:textId="725115DE" w:rsidR="00E9398D" w:rsidRPr="00AA0453" w:rsidRDefault="00ED0BA6" w:rsidP="00D1288A">
      <w:pPr>
        <w:pStyle w:val="Heading5"/>
      </w:pPr>
      <w:r w:rsidRPr="00AA0453">
        <w:t>R</w:t>
      </w:r>
      <w:r w:rsidR="00E9398D" w:rsidRPr="00AA0453">
        <w:t xml:space="preserve">5.2.2 </w:t>
      </w:r>
      <w:r w:rsidR="00124906" w:rsidRPr="00AA0453">
        <w:tab/>
      </w:r>
      <w:r w:rsidR="00E9398D" w:rsidRPr="00AA0453">
        <w:t>Subsections</w:t>
      </w:r>
    </w:p>
    <w:p w14:paraId="2DA09CC8" w14:textId="2D5AEB5A" w:rsidR="00E9398D" w:rsidRPr="00AA0453" w:rsidRDefault="00E9398D" w:rsidP="003E757A">
      <w:pPr>
        <w:pStyle w:val="Rule"/>
      </w:pPr>
      <w:r w:rsidRPr="00AA0453">
        <w:t>Specifically cite a subsection using the punctuation in the original source</w:t>
      </w:r>
      <w:r w:rsidR="00ED38AB">
        <w:t xml:space="preserve"> and </w:t>
      </w:r>
      <w:r w:rsidRPr="00AA0453">
        <w:t>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C0915C0" w:rsidR="00E9398D" w:rsidRPr="00AA0453" w:rsidRDefault="00E9398D" w:rsidP="003E757A">
      <w:pPr>
        <w:pStyle w:val="Example"/>
      </w:pPr>
      <w:r w:rsidRPr="00AA0453">
        <w:tab/>
        <w:t>42 U.S.C. § 2000ff–5(a)</w:t>
      </w:r>
      <w:r w:rsidR="00BF13D9">
        <w:t>.</w:t>
      </w:r>
      <w:r w:rsidRPr="00AA0453">
        <w:t xml:space="preserve"> </w:t>
      </w:r>
    </w:p>
    <w:p w14:paraId="107EE19B" w14:textId="739420E4" w:rsidR="00E9398D" w:rsidRPr="00AA0453" w:rsidRDefault="00E9398D" w:rsidP="003E757A">
      <w:pPr>
        <w:pStyle w:val="Example"/>
      </w:pPr>
      <w:r w:rsidRPr="00AA0453">
        <w:tab/>
        <w:t>42 U.S.C. § 2000ff–1(b)(2)(A)</w:t>
      </w:r>
      <w:r w:rsidR="00BF13D9">
        <w:t>.</w:t>
      </w:r>
    </w:p>
    <w:p w14:paraId="6EA1B0ED" w14:textId="14BEC93C" w:rsidR="00E9398D" w:rsidRPr="00AA0453" w:rsidRDefault="00E9398D" w:rsidP="003E757A">
      <w:pPr>
        <w:pStyle w:val="Example"/>
      </w:pPr>
      <w:r w:rsidRPr="00AA0453">
        <w:tab/>
        <w:t>42 U.S.C. § 2000</w:t>
      </w:r>
      <w:proofErr w:type="gramStart"/>
      <w:r w:rsidRPr="00AA0453">
        <w:t>ff(</w:t>
      </w:r>
      <w:proofErr w:type="gramEnd"/>
      <w:r w:rsidRPr="00AA0453">
        <w:t>2)</w:t>
      </w:r>
      <w:r w:rsidR="00BF13D9">
        <w:t>.</w:t>
      </w:r>
      <w:r w:rsidRPr="00AA0453">
        <w:t xml:space="preserve">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1274F5DF" w:rsidR="00ED0BA6" w:rsidRPr="00AA0453" w:rsidRDefault="00E9398D" w:rsidP="003E757A">
      <w:pPr>
        <w:pStyle w:val="Example"/>
      </w:pPr>
      <w:r w:rsidRPr="00AA0453">
        <w:tab/>
        <w:t>21 C.F.R. § 133.3 (2021)</w:t>
      </w:r>
      <w:r w:rsidR="00BF13D9">
        <w:t>.</w:t>
      </w:r>
    </w:p>
    <w:p w14:paraId="2772928B" w14:textId="78638572" w:rsidR="00E9398D" w:rsidRPr="00AA0453" w:rsidRDefault="00ED0BA6" w:rsidP="00D1288A">
      <w:pPr>
        <w:pStyle w:val="Heading5"/>
        <w:rPr>
          <w:rStyle w:val="None"/>
          <w:rFonts w:ascii="Georgia" w:hAnsi="Georgia"/>
        </w:rPr>
      </w:pPr>
      <w:r w:rsidRPr="00AA0453">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700182">
        <w:rPr>
          <w:rStyle w:val="None"/>
          <w:rFonts w:ascii="Georgia" w:hAnsi="Georgia"/>
        </w:rPr>
        <w:t>s</w:t>
      </w:r>
      <w:r w:rsidR="00E9398D" w:rsidRPr="00AA0453">
        <w:rPr>
          <w:rStyle w:val="None"/>
          <w:rFonts w:ascii="Georgia" w:hAnsi="Georgia"/>
        </w:rPr>
        <w:t xml:space="preserve">ections, </w:t>
      </w:r>
      <w:r w:rsidR="00700182">
        <w:rPr>
          <w:rStyle w:val="None"/>
          <w:rFonts w:ascii="Georgia" w:hAnsi="Georgia"/>
        </w:rPr>
        <w:t>s</w:t>
      </w:r>
      <w:r w:rsidR="00E9398D" w:rsidRPr="00AA0453">
        <w:rPr>
          <w:rStyle w:val="None"/>
          <w:rFonts w:ascii="Georgia" w:hAnsi="Georgia"/>
        </w:rPr>
        <w:t>ub</w:t>
      </w:r>
      <w:r w:rsidR="00AD5505">
        <w:rPr>
          <w:rStyle w:val="None"/>
          <w:rFonts w:ascii="Georgia" w:hAnsi="Georgia"/>
        </w:rPr>
        <w:t>s</w:t>
      </w:r>
      <w:r w:rsidR="00E9398D" w:rsidRPr="00AA0453">
        <w:rPr>
          <w:rStyle w:val="None"/>
          <w:rFonts w:ascii="Georgia" w:hAnsi="Georgia"/>
        </w:rPr>
        <w:t xml:space="preserve">ections, and </w:t>
      </w:r>
      <w:r w:rsidR="00700182">
        <w:rPr>
          <w:rStyle w:val="None"/>
          <w:rFonts w:ascii="Georgia" w:hAnsi="Georgia"/>
        </w:rPr>
        <w:t>s</w:t>
      </w:r>
      <w:r w:rsidR="00E9398D" w:rsidRPr="00AA0453">
        <w:rPr>
          <w:rStyle w:val="None"/>
          <w:rFonts w:ascii="Georgia" w:hAnsi="Georgia"/>
        </w:rPr>
        <w:t xml:space="preserve">cattered </w:t>
      </w:r>
      <w:r w:rsidR="00700182">
        <w:rPr>
          <w:rStyle w:val="None"/>
          <w:rFonts w:ascii="Georgia" w:hAnsi="Georgia"/>
        </w:rPr>
        <w:t>s</w:t>
      </w:r>
      <w:r w:rsidR="00E9398D" w:rsidRPr="00AA0453">
        <w:rPr>
          <w:rStyle w:val="None"/>
          <w:rFonts w:ascii="Georgia" w:hAnsi="Georgia"/>
        </w:rPr>
        <w:t>ubsections</w:t>
      </w:r>
    </w:p>
    <w:p w14:paraId="27A231EE" w14:textId="142EFD72" w:rsidR="00ED0BA6" w:rsidRPr="00AA0453" w:rsidRDefault="00E9398D" w:rsidP="003E757A">
      <w:pPr>
        <w:pStyle w:val="Rule"/>
        <w:rPr>
          <w:rStyle w:val="None"/>
        </w:rPr>
      </w:pPr>
      <w:r w:rsidRPr="00AA0453">
        <w:rPr>
          <w:rStyle w:val="None"/>
        </w:rPr>
        <w:t xml:space="preserve">Use a hyphen, </w:t>
      </w:r>
      <w:proofErr w:type="spellStart"/>
      <w:r w:rsidRPr="00AA0453">
        <w:rPr>
          <w:rStyle w:val="None"/>
        </w:rPr>
        <w:t>en</w:t>
      </w:r>
      <w:proofErr w:type="spellEnd"/>
      <w:r w:rsidRPr="00AA0453">
        <w:rPr>
          <w:rStyle w:val="None"/>
        </w:rPr>
        <w:t xml:space="preserve"> dash (–), or the word “to” to indicate a span of sections or subsections. In a span or collection of scattered sections, include the last portion of a citation and omit the identical first part, unless repetition of all portions </w:t>
      </w:r>
      <w:proofErr w:type="gramStart"/>
      <w:r w:rsidRPr="00AA0453">
        <w:rPr>
          <w:rStyle w:val="None"/>
        </w:rPr>
        <w:t>is needed</w:t>
      </w:r>
      <w:proofErr w:type="gramEnd"/>
      <w:r w:rsidRPr="00AA0453">
        <w:rPr>
          <w:rStyle w:val="None"/>
        </w:rPr>
        <w:t xml:space="preserve">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0DC75D46" w:rsidR="00E9398D" w:rsidRPr="00AA0453" w:rsidRDefault="00E9398D" w:rsidP="003E757A">
      <w:pPr>
        <w:pStyle w:val="Rule"/>
        <w:ind w:left="1440"/>
        <w:rPr>
          <w:rStyle w:val="None"/>
          <w:rFonts w:ascii="Times New Roman" w:hAnsi="Times New Roman"/>
        </w:rPr>
      </w:pPr>
      <w:r w:rsidRPr="00AA0453">
        <w:rPr>
          <w:rStyle w:val="None"/>
        </w:rPr>
        <w:t>18 U.S.C. §§ 3681-82</w:t>
      </w:r>
      <w:r w:rsidR="00814AA1">
        <w:rPr>
          <w:rStyle w:val="None"/>
        </w:rPr>
        <w:t>.</w:t>
      </w:r>
    </w:p>
    <w:p w14:paraId="5B408FE1" w14:textId="34520166"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r w:rsidR="00814AA1">
        <w:rPr>
          <w:rStyle w:val="None"/>
        </w:rPr>
        <w:t>.</w:t>
      </w:r>
    </w:p>
    <w:p w14:paraId="56DC84BA" w14:textId="490C7E05" w:rsidR="00E9398D" w:rsidRPr="00AA0453" w:rsidRDefault="00E9398D" w:rsidP="003E757A">
      <w:pPr>
        <w:pStyle w:val="Rule"/>
        <w:ind w:left="1440"/>
        <w:rPr>
          <w:rStyle w:val="None"/>
        </w:rPr>
      </w:pPr>
      <w:r w:rsidRPr="00AA0453">
        <w:rPr>
          <w:rStyle w:val="None"/>
        </w:rPr>
        <w:t>O.C.G.A. §§ 51-30-20 to -26 (2021)</w:t>
      </w:r>
      <w:r w:rsidR="00814AA1">
        <w:rPr>
          <w:rStyle w:val="None"/>
        </w:rPr>
        <w:t>.</w:t>
      </w:r>
    </w:p>
    <w:p w14:paraId="64DCB32D" w14:textId="2B5F8DF7"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r w:rsidR="00AD5505">
        <w:rPr>
          <w:rStyle w:val="None"/>
        </w:rPr>
        <w:t>Table T13 provides the abbreviation for the subdivision “Part.”</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7F4B6918"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 xml:space="preserve">21 C.F.R. </w:t>
      </w:r>
      <w:r w:rsidR="00814AA1">
        <w:rPr>
          <w:rStyle w:val="None"/>
          <w:color w:val="222222"/>
          <w:sz w:val="23"/>
          <w:szCs w:val="23"/>
          <w:u w:color="222222"/>
          <w:shd w:val="clear" w:color="auto" w:fill="FFFFFF"/>
        </w:rPr>
        <w:t>pt.</w:t>
      </w:r>
      <w:r w:rsidRPr="00AA0453">
        <w:rPr>
          <w:rStyle w:val="None"/>
          <w:color w:val="222222"/>
          <w:sz w:val="23"/>
          <w:szCs w:val="23"/>
          <w:u w:color="222222"/>
          <w:shd w:val="clear" w:color="auto" w:fill="FFFFFF"/>
        </w:rPr>
        <w:t xml:space="preserve"> 133 (2020)</w:t>
      </w:r>
      <w:r w:rsidR="00814AA1">
        <w:rPr>
          <w:rStyle w:val="None"/>
          <w:color w:val="222222"/>
          <w:sz w:val="23"/>
          <w:szCs w:val="23"/>
          <w:u w:color="222222"/>
          <w:shd w:val="clear" w:color="auto" w:fill="FFFFFF"/>
        </w:rPr>
        <w:t>.</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02785C95" w:rsidR="00E9398D" w:rsidRDefault="00E9398D" w:rsidP="003E757A">
      <w:pPr>
        <w:pStyle w:val="Example"/>
        <w:ind w:left="1440"/>
        <w:rPr>
          <w:rStyle w:val="None"/>
        </w:rPr>
      </w:pPr>
      <w:r w:rsidRPr="00AA0453">
        <w:rPr>
          <w:rStyle w:val="None"/>
        </w:rPr>
        <w:t xml:space="preserve">N.Y. </w:t>
      </w:r>
      <w:r w:rsidR="00493B03">
        <w:rPr>
          <w:rStyle w:val="None"/>
        </w:rPr>
        <w:t xml:space="preserve">Comp. Codes R. &amp; Regs. tit. </w:t>
      </w:r>
      <w:r w:rsidR="00493B03" w:rsidRPr="00AA0453">
        <w:rPr>
          <w:rStyle w:val="None"/>
        </w:rPr>
        <w:t>16</w:t>
      </w:r>
      <w:r w:rsidR="00493B03">
        <w:rPr>
          <w:rStyle w:val="None"/>
        </w:rPr>
        <w:t xml:space="preserve">, </w:t>
      </w:r>
      <w:r w:rsidR="008A24E4">
        <w:rPr>
          <w:rStyle w:val="None"/>
        </w:rPr>
        <w:t>§§ 895.1(f), 897.1</w:t>
      </w:r>
      <w:r w:rsidRPr="00AA0453">
        <w:rPr>
          <w:rStyle w:val="None"/>
        </w:rPr>
        <w:t>(b) (2021)</w:t>
      </w:r>
      <w:r w:rsidR="00814AA1">
        <w:rPr>
          <w:rStyle w:val="None"/>
        </w:rPr>
        <w:t>.</w:t>
      </w:r>
    </w:p>
    <w:p w14:paraId="52D49885" w14:textId="77777777" w:rsidR="00AD5505" w:rsidRPr="00AA0453" w:rsidRDefault="00AD5505" w:rsidP="00700182">
      <w:pPr>
        <w:pStyle w:val="Example"/>
        <w:ind w:left="0"/>
        <w:rPr>
          <w:rStyle w:val="None"/>
        </w:rPr>
      </w:pPr>
    </w:p>
    <w:p w14:paraId="7A43FED3" w14:textId="5DB59AD2" w:rsidR="00E9398D" w:rsidRPr="00700182" w:rsidRDefault="00B10744" w:rsidP="00700182">
      <w:pPr>
        <w:pStyle w:val="Heading4"/>
        <w:rPr>
          <w:rFonts w:ascii="Georgia" w:hAnsi="Georgia"/>
        </w:rPr>
      </w:pPr>
      <w:r w:rsidRPr="00700182">
        <w:rPr>
          <w:rFonts w:ascii="Georgia" w:hAnsi="Georgia"/>
        </w:rPr>
        <w:t>R</w:t>
      </w:r>
      <w:r w:rsidR="00E9398D" w:rsidRPr="00700182">
        <w:rPr>
          <w:rFonts w:ascii="Georgia" w:hAnsi="Georgia"/>
        </w:rPr>
        <w:t>5.3</w:t>
      </w:r>
      <w:r w:rsidR="00E9398D" w:rsidRPr="00700182">
        <w:rPr>
          <w:rFonts w:ascii="Georgia" w:hAnsi="Georgia"/>
        </w:rPr>
        <w:tab/>
        <w:t>Par</w:t>
      </w:r>
      <w:r w:rsidR="00AD5505" w:rsidRPr="00700182">
        <w:rPr>
          <w:rFonts w:ascii="Georgia" w:hAnsi="Georgia"/>
        </w:rPr>
        <w:t>a</w:t>
      </w:r>
      <w:r w:rsidR="00E9398D" w:rsidRPr="00700182">
        <w:rPr>
          <w:rFonts w:ascii="Georgia" w:hAnsi="Georgia"/>
        </w:rPr>
        <w:t>graphs</w:t>
      </w:r>
    </w:p>
    <w:p w14:paraId="1D93D755" w14:textId="4C8F9B29" w:rsidR="00E9398D" w:rsidRPr="00AA0453" w:rsidRDefault="00E9398D" w:rsidP="00B10744">
      <w:pPr>
        <w:pStyle w:val="Rule"/>
        <w:rPr>
          <w:rStyle w:val="None"/>
          <w:rFonts w:eastAsia="Georgia" w:cs="Georgia"/>
        </w:rPr>
      </w:pPr>
      <w:r w:rsidRPr="00AA0453">
        <w:rPr>
          <w:rStyle w:val="None"/>
          <w:rFonts w:eastAsia="Georgia" w:cs="Georgia"/>
        </w:rPr>
        <w:t xml:space="preserve">Sources organized into formal paragraphs should </w:t>
      </w:r>
      <w:proofErr w:type="gramStart"/>
      <w:r w:rsidRPr="00AA0453">
        <w:rPr>
          <w:rStyle w:val="None"/>
          <w:rFonts w:eastAsia="Georgia" w:cs="Georgia"/>
        </w:rPr>
        <w:t>be cited</w:t>
      </w:r>
      <w:proofErr w:type="gramEnd"/>
      <w:r w:rsidRPr="00AA0453">
        <w:rPr>
          <w:rStyle w:val="None"/>
          <w:rFonts w:eastAsia="Georgia" w:cs="Georgia"/>
        </w:rPr>
        <w:t xml:space="preserve"> with specific reference to the paragraph referred to in the cited proposition.</w:t>
      </w:r>
      <w:r w:rsidR="00CF2B08">
        <w:rPr>
          <w:rStyle w:val="None"/>
          <w:rFonts w:eastAsia="Georgia" w:cs="Georgia"/>
        </w:rPr>
        <w:t xml:space="preserve"> Do not use “at” with </w:t>
      </w:r>
      <w:r w:rsidR="00CF2B08" w:rsidRPr="00AA0453">
        <w:rPr>
          <w:rStyle w:val="None"/>
        </w:rPr>
        <w:t>¶</w:t>
      </w:r>
      <w:r w:rsidR="00CF2B08">
        <w:rPr>
          <w:rStyle w:val="None"/>
        </w:rPr>
        <w:t xml:space="preserve"> citations.</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5AA1CE01"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w:t>
      </w:r>
      <w:proofErr w:type="spellStart"/>
      <w:r w:rsidRPr="00AA0453">
        <w:rPr>
          <w:rStyle w:val="None"/>
          <w:rFonts w:eastAsia="Georgia" w:cs="Georgia"/>
        </w:rPr>
        <w:t>Aff</w:t>
      </w:r>
      <w:proofErr w:type="spellEnd"/>
      <w:r w:rsidRPr="00AA0453">
        <w:rPr>
          <w:rStyle w:val="None"/>
          <w:rFonts w:eastAsia="Georgia" w:cs="Georgia"/>
        </w:rPr>
        <w:t xml:space="preserve">. </w:t>
      </w:r>
      <w:r w:rsidRPr="00AA0453">
        <w:rPr>
          <w:rStyle w:val="None"/>
        </w:rPr>
        <w:t>¶ 8, Jan. 12, 2015</w:t>
      </w:r>
      <w:r w:rsidR="00814AA1">
        <w:rPr>
          <w:rStyle w:val="None"/>
        </w:rPr>
        <w:t>.</w:t>
      </w:r>
    </w:p>
    <w:p w14:paraId="6B77DE1D" w14:textId="0BD5F6F4" w:rsidR="00E9398D" w:rsidRDefault="00E9398D" w:rsidP="00B10744">
      <w:pPr>
        <w:pStyle w:val="Example"/>
        <w:ind w:left="1440"/>
        <w:rPr>
          <w:rStyle w:val="None"/>
        </w:rPr>
      </w:pPr>
      <w:r w:rsidRPr="00AA0453">
        <w:rPr>
          <w:rStyle w:val="None"/>
          <w:i/>
          <w:iCs/>
        </w:rPr>
        <w:t>In re N.A.</w:t>
      </w:r>
      <w:r w:rsidRPr="00AA0453">
        <w:rPr>
          <w:rStyle w:val="None"/>
        </w:rPr>
        <w:t>, 2021-NCCOA-2, ¶ 11</w:t>
      </w:r>
      <w:r w:rsidR="00814AA1">
        <w:rPr>
          <w:rStyle w:val="None"/>
        </w:rPr>
        <w:t>.</w:t>
      </w:r>
    </w:p>
    <w:p w14:paraId="57931288" w14:textId="403ABEF4" w:rsidR="00AD5505" w:rsidRDefault="00AD5505" w:rsidP="00AD5505">
      <w:pPr>
        <w:pStyle w:val="Example"/>
        <w:ind w:left="0"/>
        <w:rPr>
          <w:rStyle w:val="None"/>
          <w:rFonts w:eastAsia="Georgia" w:cs="Georgia"/>
        </w:rPr>
      </w:pPr>
    </w:p>
    <w:p w14:paraId="558786E2" w14:textId="77777777" w:rsidR="00AD5505" w:rsidRPr="00AA0453" w:rsidRDefault="00AD5505" w:rsidP="00B10744">
      <w:pPr>
        <w:pStyle w:val="Example"/>
        <w:ind w:left="1440"/>
        <w:rPr>
          <w:rStyle w:val="None"/>
          <w:rFonts w:eastAsia="Georgia" w:cs="Georgia"/>
        </w:rPr>
      </w:pP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w:t>
      </w:r>
      <w:proofErr w:type="gramStart"/>
      <w:r w:rsidRPr="00AA0453">
        <w:rPr>
          <w:rStyle w:val="None"/>
          <w:rFonts w:eastAsia="Georgia" w:cs="Georgia"/>
        </w:rPr>
        <w:t>is cited</w:t>
      </w:r>
      <w:proofErr w:type="gramEnd"/>
      <w:r w:rsidRPr="00AA0453">
        <w:rPr>
          <w:rStyle w:val="None"/>
          <w:rFonts w:eastAsia="Georgia" w:cs="Georgia"/>
        </w:rPr>
        <w:t xml:space="preserve">.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w:t>
      </w:r>
      <w:proofErr w:type="gramStart"/>
      <w:r w:rsidRPr="00AA0453">
        <w:rPr>
          <w:rStyle w:val="None"/>
          <w:rFonts w:eastAsia="Georgia" w:cs="Georgia"/>
        </w:rPr>
        <w:t>sources as a whole, but</w:t>
      </w:r>
      <w:proofErr w:type="gramEnd"/>
      <w:r w:rsidRPr="00AA0453">
        <w:rPr>
          <w:rStyle w:val="None"/>
          <w:rFonts w:eastAsia="Georgia" w:cs="Georgia"/>
        </w:rPr>
        <w:t xml:space="preserve"> to specific pages within sources. In </w:t>
      </w:r>
      <w:proofErr w:type="gramStart"/>
      <w:r w:rsidRPr="00AA0453">
        <w:rPr>
          <w:rStyle w:val="None"/>
          <w:rFonts w:eastAsia="Georgia" w:cs="Georgia"/>
        </w:rPr>
        <w:t>some</w:t>
      </w:r>
      <w:proofErr w:type="gramEnd"/>
      <w:r w:rsidRPr="00AA0453">
        <w:rPr>
          <w:rStyle w:val="None"/>
          <w:rFonts w:eastAsia="Georgia" w:cs="Georgia"/>
        </w:rPr>
        <w:t xml:space="preserve"> standard legal documents, every textual sentence is followed by a citation to a supporting legal source. Short-citation forms allow frequent citation in a less intrusive and repetitive </w:t>
      </w:r>
      <w:proofErr w:type="gramStart"/>
      <w:r w:rsidRPr="00AA0453">
        <w:rPr>
          <w:rStyle w:val="None"/>
          <w:rFonts w:eastAsia="Georgia" w:cs="Georgia"/>
        </w:rPr>
        <w:t>way, since</w:t>
      </w:r>
      <w:proofErr w:type="gramEnd"/>
      <w:r w:rsidRPr="00AA0453">
        <w:rPr>
          <w:rStyle w:val="None"/>
          <w:rFonts w:eastAsia="Georgia" w:cs="Georgia"/>
        </w:rPr>
        <w:t xml:space="preserv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proofErr w:type="gramStart"/>
      <w:r w:rsidR="00704D45" w:rsidRPr="00AA0453">
        <w:rPr>
          <w:rStyle w:val="None"/>
          <w:rFonts w:ascii="Georgia" w:eastAsia="Georgia" w:hAnsi="Georgia" w:cs="Georgia"/>
        </w:rPr>
        <w:t>c</w:t>
      </w:r>
      <w:r w:rsidR="00E9398D" w:rsidRPr="00AA0453">
        <w:rPr>
          <w:rStyle w:val="None"/>
          <w:rFonts w:ascii="Georgia" w:eastAsia="Georgia" w:hAnsi="Georgia" w:cs="Georgia"/>
        </w:rPr>
        <w:t>itation</w:t>
      </w:r>
      <w:proofErr w:type="gramEnd"/>
    </w:p>
    <w:p w14:paraId="21282139" w14:textId="3A90579B" w:rsidR="00E9398D" w:rsidRPr="00AA0453" w:rsidRDefault="00E9398D" w:rsidP="003E757A">
      <w:pPr>
        <w:pStyle w:val="Rule"/>
        <w:rPr>
          <w:rStyle w:val="None"/>
        </w:rPr>
      </w:pPr>
      <w:r w:rsidRPr="00AA0453">
        <w:rPr>
          <w:rStyle w:val="None"/>
        </w:rPr>
        <w:t xml:space="preserve">Short-form citations enable various sources to </w:t>
      </w:r>
      <w:proofErr w:type="gramStart"/>
      <w:r w:rsidR="008A24E4">
        <w:rPr>
          <w:rStyle w:val="None"/>
        </w:rPr>
        <w:t xml:space="preserve">be </w:t>
      </w:r>
      <w:r w:rsidRPr="00AA0453">
        <w:rPr>
          <w:rStyle w:val="None"/>
        </w:rPr>
        <w:t>used</w:t>
      </w:r>
      <w:proofErr w:type="gramEnd"/>
      <w:r w:rsidRPr="00AA0453">
        <w:rPr>
          <w:rStyle w:val="None"/>
        </w:rPr>
        <w:t xml:space="preserve"> throughout a passage without repeating the entire full citation every time. Short-form citations </w:t>
      </w:r>
      <w:proofErr w:type="gramStart"/>
      <w:r w:rsidRPr="00AA0453">
        <w:rPr>
          <w:rStyle w:val="None"/>
        </w:rPr>
        <w:t>generally identify</w:t>
      </w:r>
      <w:proofErr w:type="gramEnd"/>
      <w:r w:rsidRPr="00AA0453">
        <w:rPr>
          <w:rStyle w:val="None"/>
        </w:rPr>
        <w:t xml:space="preserve"> the source and </w:t>
      </w:r>
      <w:proofErr w:type="spellStart"/>
      <w:r w:rsidRPr="00AA0453">
        <w:rPr>
          <w:rStyle w:val="None"/>
        </w:rPr>
        <w:t>pincite</w:t>
      </w:r>
      <w:proofErr w:type="spellEnd"/>
      <w:r w:rsidRPr="00AA0453">
        <w:rPr>
          <w:rStyle w:val="None"/>
        </w:rPr>
        <w:t>,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w:t>
      </w:r>
      <w:proofErr w:type="gramStart"/>
      <w:r w:rsidRPr="00AA0453">
        <w:rPr>
          <w:rStyle w:val="None"/>
        </w:rPr>
        <w:t>be used</w:t>
      </w:r>
      <w:proofErr w:type="gramEnd"/>
      <w:r w:rsidRPr="00AA0453">
        <w:rPr>
          <w:rStyle w:val="None"/>
        </w:rPr>
        <w:t xml:space="preserve">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0BAD169C"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w:t>
      </w:r>
      <w:proofErr w:type="gramStart"/>
      <w:r w:rsidRPr="00AA0453">
        <w:rPr>
          <w:rStyle w:val="None"/>
        </w:rPr>
        <w:t>uncapitalized</w:t>
      </w:r>
      <w:proofErr w:type="gramEnd"/>
      <w:r w:rsidRPr="00AA0453">
        <w:rPr>
          <w:rStyle w:val="None"/>
        </w:rPr>
        <w:t xml:space="preserve">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w:t>
      </w:r>
      <w:proofErr w:type="gramStart"/>
      <w:r w:rsidRPr="00AA0453">
        <w:t xml:space="preserve">. </w:t>
      </w:r>
      <w:r w:rsidRPr="00AA0453">
        <w:rPr>
          <w:rStyle w:val="None"/>
          <w:i/>
          <w:iCs/>
        </w:rPr>
        <w:t xml:space="preserve"> </w:t>
      </w:r>
      <w:proofErr w:type="gramEnd"/>
    </w:p>
    <w:p w14:paraId="3C66132A" w14:textId="639FC1CC" w:rsidR="00E9398D" w:rsidRDefault="00E9398D" w:rsidP="003E757A">
      <w:pPr>
        <w:pStyle w:val="Rule"/>
        <w:rPr>
          <w:rStyle w:val="None"/>
        </w:rPr>
      </w:pPr>
      <w:r w:rsidRPr="00AA0453">
        <w:rPr>
          <w:rStyle w:val="None"/>
          <w:i/>
          <w:iCs/>
        </w:rPr>
        <w:t xml:space="preserve">Id. </w:t>
      </w:r>
      <w:r w:rsidRPr="00AA0453">
        <w:rPr>
          <w:rStyle w:val="None"/>
        </w:rPr>
        <w:t xml:space="preserve">can </w:t>
      </w:r>
      <w:proofErr w:type="gramStart"/>
      <w:r w:rsidRPr="00AA0453">
        <w:rPr>
          <w:rStyle w:val="None"/>
        </w:rPr>
        <w:t>be used</w:t>
      </w:r>
      <w:proofErr w:type="gramEnd"/>
      <w:r w:rsidRPr="00AA0453">
        <w:rPr>
          <w:rStyle w:val="None"/>
        </w:rPr>
        <w:t xml:space="preserve"> alone, to indicate the same page of the same source. It can </w:t>
      </w:r>
      <w:proofErr w:type="gramStart"/>
      <w:r w:rsidRPr="00AA0453">
        <w:rPr>
          <w:rStyle w:val="None"/>
        </w:rPr>
        <w:t>be used</w:t>
      </w:r>
      <w:proofErr w:type="gramEnd"/>
      <w:r w:rsidRPr="00AA0453">
        <w:rPr>
          <w:rStyle w:val="None"/>
        </w:rPr>
        <w:t xml:space="preserve"> with a new </w:t>
      </w:r>
      <w:proofErr w:type="spellStart"/>
      <w:r w:rsidRPr="00AA0453">
        <w:rPr>
          <w:rStyle w:val="None"/>
        </w:rPr>
        <w:t>pincite</w:t>
      </w:r>
      <w:proofErr w:type="spellEnd"/>
      <w:r w:rsidRPr="00AA0453">
        <w:rPr>
          <w:rStyle w:val="None"/>
        </w:rPr>
        <w:t xml:space="preserv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r w:rsidR="00CF2B08">
        <w:rPr>
          <w:rStyle w:val="None"/>
        </w:rPr>
        <w:t xml:space="preserve">Use “at” to indicate a </w:t>
      </w:r>
      <w:proofErr w:type="spellStart"/>
      <w:r w:rsidR="00CF2B08">
        <w:rPr>
          <w:rStyle w:val="None"/>
        </w:rPr>
        <w:t>pincite</w:t>
      </w:r>
      <w:proofErr w:type="spellEnd"/>
      <w:r w:rsidR="00CF2B08">
        <w:rPr>
          <w:rStyle w:val="None"/>
        </w:rPr>
        <w:t xml:space="preserve"> to a page. Do not use “at” with </w:t>
      </w:r>
      <w:r w:rsidR="00CF2B08">
        <w:rPr>
          <w:rStyle w:val="None"/>
          <w:i/>
        </w:rPr>
        <w:t>Id.</w:t>
      </w:r>
      <w:r w:rsidR="00CF2B08">
        <w:rPr>
          <w:rStyle w:val="None"/>
        </w:rPr>
        <w:t xml:space="preserve"> followed by a section or paragraph </w:t>
      </w:r>
      <w:proofErr w:type="spellStart"/>
      <w:r w:rsidR="00CF2B08">
        <w:rPr>
          <w:rStyle w:val="None"/>
        </w:rPr>
        <w:t>pincite</w:t>
      </w:r>
      <w:proofErr w:type="spellEnd"/>
      <w:r w:rsidR="00CF2B08">
        <w:rPr>
          <w:rStyle w:val="None"/>
        </w:rPr>
        <w:t>.</w:t>
      </w:r>
    </w:p>
    <w:p w14:paraId="02DAA5FD" w14:textId="70C8C009" w:rsidR="00CF2B08" w:rsidRDefault="00CF2B08" w:rsidP="003E757A">
      <w:pPr>
        <w:pStyle w:val="Rule"/>
        <w:rPr>
          <w:rStyle w:val="eop"/>
          <w:color w:val="000000"/>
          <w:shd w:val="clear" w:color="auto" w:fill="FFFFFF"/>
        </w:rPr>
      </w:pPr>
      <w:r>
        <w:rPr>
          <w:rStyle w:val="None"/>
        </w:rPr>
        <w:tab/>
      </w:r>
      <w:r>
        <w:rPr>
          <w:rStyle w:val="normaltextrun"/>
          <w:i/>
          <w:color w:val="000000"/>
          <w:shd w:val="clear" w:color="auto" w:fill="FFFFFF"/>
        </w:rPr>
        <w:t>Id.</w:t>
      </w:r>
      <w:r>
        <w:rPr>
          <w:rStyle w:val="normaltextrun"/>
          <w:color w:val="000000"/>
          <w:shd w:val="clear" w:color="auto" w:fill="FFFFFF"/>
        </w:rPr>
        <w:t xml:space="preserve"> at 1512</w:t>
      </w:r>
      <w:proofErr w:type="gramStart"/>
      <w:r>
        <w:rPr>
          <w:rStyle w:val="normaltextrun"/>
          <w:color w:val="000000"/>
          <w:shd w:val="clear" w:color="auto" w:fill="FFFFFF"/>
        </w:rPr>
        <w:t>. </w:t>
      </w:r>
      <w:r>
        <w:rPr>
          <w:rStyle w:val="eop"/>
          <w:color w:val="000000"/>
          <w:shd w:val="clear" w:color="auto" w:fill="FFFFFF"/>
        </w:rPr>
        <w:t> </w:t>
      </w:r>
      <w:proofErr w:type="gramEnd"/>
    </w:p>
    <w:p w14:paraId="607C0FF4" w14:textId="5B5EC116" w:rsidR="00CF2B08" w:rsidRDefault="00CF2B08" w:rsidP="003E757A">
      <w:pPr>
        <w:pStyle w:val="Rule"/>
        <w:rPr>
          <w:rStyle w:val="None"/>
        </w:rPr>
      </w:pPr>
      <w:r>
        <w:rPr>
          <w:rStyle w:val="normaltextrun"/>
          <w:i/>
          <w:color w:val="000000"/>
          <w:shd w:val="clear" w:color="auto" w:fill="FFFFFF"/>
        </w:rPr>
        <w:tab/>
        <w:t>Id.</w:t>
      </w:r>
      <w:r>
        <w:rPr>
          <w:rStyle w:val="normaltextrun"/>
          <w:color w:val="000000"/>
          <w:shd w:val="clear" w:color="auto" w:fill="FFFFFF"/>
        </w:rPr>
        <w:t xml:space="preserve"> </w:t>
      </w:r>
      <w:r w:rsidRPr="00AA0453">
        <w:rPr>
          <w:rStyle w:val="None"/>
        </w:rPr>
        <w:t>§</w:t>
      </w:r>
      <w:r>
        <w:rPr>
          <w:rStyle w:val="None"/>
        </w:rPr>
        <w:t xml:space="preserve"> 9.</w:t>
      </w:r>
    </w:p>
    <w:p w14:paraId="1EF4E056" w14:textId="3981BFF2" w:rsidR="00CF2B08" w:rsidRPr="00AA0453" w:rsidRDefault="00CF2B08" w:rsidP="00CF2B08">
      <w:pPr>
        <w:pStyle w:val="Rule"/>
        <w:rPr>
          <w:rStyle w:val="None"/>
        </w:rPr>
      </w:pPr>
      <w:r>
        <w:rPr>
          <w:rStyle w:val="normaltextrun"/>
          <w:i/>
          <w:color w:val="000000"/>
          <w:shd w:val="clear" w:color="auto" w:fill="FFFFFF"/>
        </w:rPr>
        <w:tab/>
        <w:t>Id.</w:t>
      </w:r>
      <w:r>
        <w:rPr>
          <w:rStyle w:val="normaltextrun"/>
          <w:color w:val="000000"/>
          <w:shd w:val="clear" w:color="auto" w:fill="FFFFFF"/>
        </w:rPr>
        <w:t xml:space="preserve"> </w:t>
      </w:r>
      <w:r w:rsidRPr="00AA0453">
        <w:rPr>
          <w:rStyle w:val="None"/>
        </w:rPr>
        <w:t>¶</w:t>
      </w:r>
      <w:r>
        <w:rPr>
          <w:rStyle w:val="None"/>
        </w:rPr>
        <w:t xml:space="preserve"> 12.</w:t>
      </w:r>
      <w:r>
        <w:rPr>
          <w:rStyle w:val="eop"/>
          <w:color w:val="000000"/>
          <w:shd w:val="clear" w:color="auto" w:fill="FFFFFF"/>
        </w:rPr>
        <w:tab/>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w:t>
      </w:r>
      <w:proofErr w:type="gramStart"/>
      <w:r w:rsidRPr="00AA0453">
        <w:t>be used</w:t>
      </w:r>
      <w:proofErr w:type="gramEnd"/>
      <w:r w:rsidRPr="00AA0453">
        <w:t xml:space="preserve"> after a string citation, even to refer to the final source listed in that string. Do not use </w:t>
      </w:r>
      <w:r w:rsidRPr="00AA0453">
        <w:rPr>
          <w:i/>
          <w:iCs/>
        </w:rPr>
        <w:t>id.</w:t>
      </w:r>
      <w:r w:rsidRPr="00AA0453">
        <w:t xml:space="preserve"> to refer to appellate-record citations such as R. at 2. It may </w:t>
      </w:r>
      <w:proofErr w:type="gramStart"/>
      <w:r w:rsidRPr="00AA0453">
        <w:t>be used</w:t>
      </w:r>
      <w:proofErr w:type="gramEnd"/>
      <w:r w:rsidRPr="00AA0453">
        <w:t xml:space="preserve"> for sources with longer names in litigation documents, so long as the reference remains clear. </w:t>
      </w:r>
    </w:p>
    <w:p w14:paraId="3D78BA7E" w14:textId="2819D29F" w:rsidR="00E9398D" w:rsidRPr="00AA0453" w:rsidRDefault="00E9398D" w:rsidP="003E757A">
      <w:pPr>
        <w:pStyle w:val="Rule"/>
        <w:rPr>
          <w:rStyle w:val="None"/>
        </w:rPr>
      </w:pPr>
      <w:r w:rsidRPr="00AA0453">
        <w:rPr>
          <w:rStyle w:val="None"/>
          <w:i/>
          <w:iCs/>
        </w:rPr>
        <w:t>Id.</w:t>
      </w:r>
      <w:r w:rsidRPr="00AA0453">
        <w:rPr>
          <w:rStyle w:val="None"/>
        </w:rPr>
        <w:t xml:space="preserve"> can </w:t>
      </w:r>
      <w:proofErr w:type="gramStart"/>
      <w:r w:rsidRPr="00AA0453">
        <w:rPr>
          <w:rStyle w:val="None"/>
        </w:rPr>
        <w:t>be used</w:t>
      </w:r>
      <w:proofErr w:type="gramEnd"/>
      <w:r w:rsidRPr="00AA0453">
        <w:rPr>
          <w:rStyle w:val="None"/>
        </w:rPr>
        <w:t xml:space="preserve"> in </w:t>
      </w:r>
      <w:r w:rsidR="00452908" w:rsidRPr="00AA0453">
        <w:rPr>
          <w:rStyle w:val="None"/>
        </w:rPr>
        <w:t xml:space="preserve">either </w:t>
      </w:r>
      <w:r w:rsidRPr="00AA0453">
        <w:rPr>
          <w:rStyle w:val="None"/>
        </w:rPr>
        <w:t xml:space="preserve">in-text citations or footnotes. </w:t>
      </w:r>
      <w:r w:rsidR="00452908" w:rsidRPr="00AA0453">
        <w:rPr>
          <w:rStyle w:val="None"/>
          <w:i/>
          <w:iCs/>
        </w:rPr>
        <w:t>Id.</w:t>
      </w:r>
      <w:r w:rsidR="00452908" w:rsidRPr="00AA0453">
        <w:rPr>
          <w:rStyle w:val="None"/>
        </w:rPr>
        <w:t xml:space="preserve"> </w:t>
      </w:r>
      <w:proofErr w:type="gramStart"/>
      <w:r w:rsidR="00452908" w:rsidRPr="00AA0453">
        <w:rPr>
          <w:rStyle w:val="None"/>
        </w:rPr>
        <w:t>is typically not used</w:t>
      </w:r>
      <w:proofErr w:type="gramEnd"/>
      <w:r w:rsidR="00452908" w:rsidRPr="00AA0453">
        <w:rPr>
          <w:rStyle w:val="None"/>
        </w:rPr>
        <w:t xml:space="preserve">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099BC84D" w14:textId="76CA9859" w:rsidR="00AB104A" w:rsidRDefault="00E9398D" w:rsidP="004B1AFD">
      <w:pPr>
        <w:pStyle w:val="Rule"/>
        <w:rPr>
          <w:rStyle w:val="None"/>
        </w:rPr>
      </w:pPr>
      <w:r w:rsidRPr="00AA0453">
        <w:rPr>
          <w:rStyle w:val="None"/>
          <w:i/>
          <w:iCs/>
        </w:rPr>
        <w:t>Supra</w:t>
      </w:r>
      <w:r w:rsidRPr="00AA0453">
        <w:rPr>
          <w:rStyle w:val="None"/>
        </w:rPr>
        <w:t xml:space="preserve"> may </w:t>
      </w:r>
      <w:proofErr w:type="gramStart"/>
      <w:r w:rsidRPr="00AA0453">
        <w:rPr>
          <w:rStyle w:val="None"/>
        </w:rPr>
        <w:t>be used</w:t>
      </w:r>
      <w:proofErr w:type="gramEnd"/>
      <w:r w:rsidRPr="00AA0453">
        <w:rPr>
          <w:rStyle w:val="None"/>
        </w:rPr>
        <w:t xml:space="preserve"> </w:t>
      </w:r>
      <w:r w:rsidR="000F6DA2">
        <w:rPr>
          <w:rStyle w:val="None"/>
        </w:rPr>
        <w:t xml:space="preserve">as part of a short-form citation with </w:t>
      </w:r>
      <w:r w:rsidRPr="00AA0453">
        <w:rPr>
          <w:rStyle w:val="None"/>
        </w:rPr>
        <w:t>secondary sources such as books</w:t>
      </w:r>
      <w:r w:rsidR="008501E8">
        <w:rPr>
          <w:rStyle w:val="None"/>
        </w:rPr>
        <w:t xml:space="preserve">, </w:t>
      </w:r>
      <w:r w:rsidRPr="00AA0453">
        <w:rPr>
          <w:rStyle w:val="None"/>
        </w:rPr>
        <w:t>periodicals</w:t>
      </w:r>
      <w:r w:rsidR="008501E8">
        <w:rPr>
          <w:rStyle w:val="None"/>
        </w:rPr>
        <w:t>, internet sources</w:t>
      </w:r>
      <w:r w:rsidRPr="00AA0453">
        <w:rPr>
          <w:rStyle w:val="None"/>
        </w:rPr>
        <w:t>.</w:t>
      </w:r>
      <w:r w:rsidR="008501E8">
        <w:rPr>
          <w:rStyle w:val="None"/>
        </w:rPr>
        <w:t xml:space="preserve"> </w:t>
      </w:r>
      <w:r w:rsidR="00AB104A" w:rsidRPr="00AA0453">
        <w:rPr>
          <w:rStyle w:val="None"/>
        </w:rPr>
        <w:t xml:space="preserve">Legislative hearings may </w:t>
      </w:r>
      <w:proofErr w:type="gramStart"/>
      <w:r w:rsidR="00AB104A" w:rsidRPr="00AA0453">
        <w:rPr>
          <w:rStyle w:val="None"/>
        </w:rPr>
        <w:t>be referred</w:t>
      </w:r>
      <w:proofErr w:type="gramEnd"/>
      <w:r w:rsidR="00AB104A" w:rsidRPr="00AA0453">
        <w:rPr>
          <w:rStyle w:val="None"/>
        </w:rPr>
        <w:t xml:space="preserve"> to with </w:t>
      </w:r>
      <w:r w:rsidR="00AB104A" w:rsidRPr="00AA0453">
        <w:rPr>
          <w:rStyle w:val="None"/>
          <w:i/>
          <w:iCs/>
        </w:rPr>
        <w:t>supra</w:t>
      </w:r>
      <w:r w:rsidR="00AB104A">
        <w:rPr>
          <w:rStyle w:val="None"/>
        </w:rPr>
        <w:t xml:space="preserve">. </w:t>
      </w:r>
      <w:r w:rsidR="008501E8">
        <w:rPr>
          <w:rStyle w:val="None"/>
        </w:rPr>
        <w:t xml:space="preserve">Do not use </w:t>
      </w:r>
      <w:r w:rsidR="008501E8">
        <w:rPr>
          <w:rStyle w:val="None"/>
          <w:i/>
          <w:iCs/>
        </w:rPr>
        <w:t>supra</w:t>
      </w:r>
      <w:r w:rsidR="008501E8">
        <w:rPr>
          <w:rStyle w:val="None"/>
        </w:rPr>
        <w:t xml:space="preserve"> with </w:t>
      </w:r>
      <w:r w:rsidR="00821656">
        <w:rPr>
          <w:rStyle w:val="None"/>
        </w:rPr>
        <w:t>primary sources such as cases, statutes, constitutions, and most legislative materials</w:t>
      </w:r>
      <w:r w:rsidR="00AB104A">
        <w:rPr>
          <w:rStyle w:val="None"/>
        </w:rPr>
        <w:t xml:space="preserve"> (hearings excepted)</w:t>
      </w:r>
      <w:r w:rsidR="00821656">
        <w:rPr>
          <w:rStyle w:val="None"/>
        </w:rPr>
        <w:t xml:space="preserve">. Also do not use </w:t>
      </w:r>
      <w:r w:rsidR="00932FC5">
        <w:rPr>
          <w:rStyle w:val="None"/>
          <w:i/>
          <w:iCs/>
        </w:rPr>
        <w:t>supra</w:t>
      </w:r>
      <w:r w:rsidR="00932FC5">
        <w:rPr>
          <w:rStyle w:val="None"/>
        </w:rPr>
        <w:t xml:space="preserve"> with Restatements, model codes, or regulations.</w:t>
      </w:r>
      <w:r w:rsidRPr="00AA0453">
        <w:rPr>
          <w:rStyle w:val="None"/>
        </w:rPr>
        <w:t xml:space="preserve"> </w:t>
      </w:r>
    </w:p>
    <w:p w14:paraId="55BA5B04" w14:textId="109A46D3" w:rsidR="00E9398D" w:rsidRPr="00932FC5" w:rsidRDefault="00AB104A" w:rsidP="004B1AFD">
      <w:pPr>
        <w:pStyle w:val="Rule"/>
        <w:rPr>
          <w:rStyle w:val="None"/>
          <w:rFonts w:eastAsia="Georgia" w:cs="Georgia"/>
        </w:rPr>
      </w:pPr>
      <w:r>
        <w:rPr>
          <w:rStyle w:val="None"/>
        </w:rPr>
        <w:t xml:space="preserve">Apart from its use in selected legal citations, </w:t>
      </w:r>
      <w:r>
        <w:rPr>
          <w:rStyle w:val="None"/>
          <w:i/>
          <w:iCs/>
        </w:rPr>
        <w:t>supra</w:t>
      </w:r>
      <w:r w:rsidR="00932FC5">
        <w:rPr>
          <w:rStyle w:val="None"/>
          <w:i/>
          <w:iCs/>
        </w:rPr>
        <w:t xml:space="preserve"> </w:t>
      </w:r>
      <w:r w:rsidR="00932FC5">
        <w:rPr>
          <w:rStyle w:val="None"/>
        </w:rPr>
        <w:t xml:space="preserve">may also </w:t>
      </w:r>
      <w:proofErr w:type="gramStart"/>
      <w:r w:rsidR="00932FC5">
        <w:rPr>
          <w:rStyle w:val="None"/>
        </w:rPr>
        <w:t>be used</w:t>
      </w:r>
      <w:proofErr w:type="gramEnd"/>
      <w:r w:rsidR="00932FC5">
        <w:rPr>
          <w:rStyle w:val="None"/>
        </w:rPr>
        <w:t xml:space="preserve"> as an internal cross referenc</w:t>
      </w:r>
      <w:r>
        <w:rPr>
          <w:rStyle w:val="None"/>
        </w:rPr>
        <w:t>e.</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763AC6C1"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w:t>
      </w:r>
      <w:r w:rsidR="00BF13D9">
        <w:rPr>
          <w:rStyle w:val="None"/>
        </w:rPr>
        <w:t>.</w:t>
      </w:r>
      <w:r w:rsidRPr="00AA0453">
        <w:rPr>
          <w:rStyle w:val="None"/>
        </w:rPr>
        <w:t xml:space="preserve">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at </w:t>
      </w:r>
      <w:proofErr w:type="gramStart"/>
      <w:r w:rsidR="00E9398D" w:rsidRPr="00AA0453">
        <w:rPr>
          <w:rStyle w:val="None"/>
        </w:rPr>
        <w:t>100</w:t>
      </w:r>
      <w:proofErr w:type="gramEnd"/>
      <w:r w:rsidR="00E9398D" w:rsidRPr="00AA0453">
        <w:rPr>
          <w:rStyle w:val="None"/>
        </w:rPr>
        <w:t>.</w:t>
      </w:r>
    </w:p>
    <w:p w14:paraId="38F211EA" w14:textId="77777777" w:rsidR="004B1AFD" w:rsidRPr="00AA0453" w:rsidRDefault="00E9398D" w:rsidP="004B1AFD">
      <w:pPr>
        <w:pStyle w:val="Example"/>
        <w:ind w:left="2160"/>
        <w:rPr>
          <w:rStyle w:val="None"/>
          <w:b/>
          <w:bCs/>
        </w:rPr>
      </w:pPr>
      <w:r w:rsidRPr="00AA0453">
        <w:rPr>
          <w:rStyle w:val="None"/>
          <w:b/>
          <w:bCs/>
        </w:rPr>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w:t>
      </w:r>
      <w:proofErr w:type="gramStart"/>
      <w:r w:rsidR="00E9398D" w:rsidRPr="00AA0453">
        <w:rPr>
          <w:rStyle w:val="None"/>
        </w:rPr>
        <w:t>5</w:t>
      </w:r>
      <w:proofErr w:type="gramEnd"/>
      <w:r w:rsidR="00E9398D" w:rsidRPr="00AA0453">
        <w:rPr>
          <w:rStyle w:val="None"/>
        </w:rPr>
        <w:t>,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 xml:space="preserve">In academic legal documents using footnotes, a “preceding five” norm has developed wherein one may continue to use a short form citation </w:t>
      </w:r>
      <w:proofErr w:type="gramStart"/>
      <w:r w:rsidRPr="00AA0453">
        <w:rPr>
          <w:rStyle w:val="None"/>
          <w:rFonts w:ascii="Georgia" w:hAnsi="Georgia"/>
          <w:lang w:val="en-US"/>
        </w:rPr>
        <w:t>as long as</w:t>
      </w:r>
      <w:proofErr w:type="gramEnd"/>
      <w:r w:rsidRPr="00AA0453">
        <w:rPr>
          <w:rStyle w:val="None"/>
          <w:rFonts w:ascii="Georgia" w:hAnsi="Georgia"/>
          <w:lang w:val="en-US"/>
        </w:rPr>
        <w:t xml:space="preserve">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 xml:space="preserve">There has been </w:t>
      </w:r>
      <w:proofErr w:type="gramStart"/>
      <w:r w:rsidRPr="00AA0453">
        <w:rPr>
          <w:rStyle w:val="None"/>
          <w:rFonts w:ascii="Georgia" w:hAnsi="Georgia"/>
          <w:lang w:val="en-US"/>
        </w:rPr>
        <w:t>some</w:t>
      </w:r>
      <w:proofErr w:type="gramEnd"/>
      <w:r w:rsidRPr="00AA0453">
        <w:rPr>
          <w:rStyle w:val="None"/>
          <w:rFonts w:ascii="Georgia" w:hAnsi="Georgia"/>
          <w:lang w:val="en-US"/>
        </w:rPr>
        <w:t xml:space="preserv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xml:space="preserve">” repeatedly, in which event they follow the “preceding five” rule to avoid potential ambiguity. However, none of these conventions are absolute. Short-citation forms should </w:t>
      </w:r>
      <w:proofErr w:type="gramStart"/>
      <w:r w:rsidRPr="00AA0453">
        <w:rPr>
          <w:rStyle w:val="None"/>
          <w:rFonts w:ascii="Georgia" w:hAnsi="Georgia"/>
          <w:lang w:val="en-US"/>
        </w:rPr>
        <w:t>be used</w:t>
      </w:r>
      <w:proofErr w:type="gramEnd"/>
      <w:r w:rsidRPr="00AA0453">
        <w:rPr>
          <w:rStyle w:val="None"/>
          <w:rFonts w:ascii="Georgia" w:hAnsi="Georgia"/>
          <w:lang w:val="en-US"/>
        </w:rPr>
        <w:t xml:space="preserve">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3F2AADFB" w14:textId="77777777" w:rsidR="000312EE"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w:t>
      </w:r>
    </w:p>
    <w:p w14:paraId="6E1EE7B7"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T1</w:t>
      </w:r>
      <w:r>
        <w:rPr>
          <w:rStyle w:val="None"/>
          <w:rFonts w:eastAsia="Georgia" w:cs="Georgia"/>
        </w:rPr>
        <w:t>,</w:t>
      </w:r>
      <w:r w:rsidR="000312EE">
        <w:rPr>
          <w:rStyle w:val="None"/>
          <w:rFonts w:eastAsia="Georgia" w:cs="Georgia"/>
        </w:rPr>
        <w:t xml:space="preserve"> </w:t>
      </w:r>
      <w:r w:rsidR="000312EE" w:rsidRPr="00946189">
        <w:rPr>
          <w:rStyle w:val="Rulereferencecharacterstyle"/>
        </w:rPr>
        <w:t>Table</w:t>
      </w:r>
      <w:r w:rsidRPr="00946189">
        <w:rPr>
          <w:rStyle w:val="Rulereferencecharacterstyle"/>
        </w:rPr>
        <w:t xml:space="preserve"> T2</w:t>
      </w:r>
      <w:r>
        <w:rPr>
          <w:rStyle w:val="None"/>
          <w:rFonts w:eastAsia="Georgia" w:cs="Georgia"/>
        </w:rPr>
        <w:t>, and</w:t>
      </w:r>
      <w:r w:rsidRPr="00946189">
        <w:rPr>
          <w:rStyle w:val="Rulereferencecharacterstyle"/>
        </w:rPr>
        <w:t xml:space="preserve"> </w:t>
      </w:r>
      <w:r w:rsidR="000312EE" w:rsidRPr="00946189">
        <w:rPr>
          <w:rStyle w:val="Rulereferencecharacterstyle"/>
        </w:rPr>
        <w:t xml:space="preserve">Table </w:t>
      </w:r>
      <w:r w:rsidRPr="00946189">
        <w:rPr>
          <w:rStyle w:val="Rulereferencecharacterstyle"/>
        </w:rPr>
        <w:t>T3</w:t>
      </w:r>
      <w:r>
        <w:rPr>
          <w:rStyle w:val="None"/>
          <w:rFonts w:eastAsia="Georgia" w:cs="Georgia"/>
        </w:rPr>
        <w:t xml:space="preserve"> provide information and abbreviations relevant to federal and state primary-source citations. </w:t>
      </w:r>
    </w:p>
    <w:p w14:paraId="19677DD8"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T4</w:t>
      </w:r>
      <w:r>
        <w:rPr>
          <w:rStyle w:val="None"/>
          <w:rFonts w:eastAsia="Georgia" w:cs="Georgia"/>
        </w:rPr>
        <w:t xml:space="preserve"> provides abbreviation for looseleaf services compiling cases and other legal sources in frequently updated topical collections. </w:t>
      </w:r>
    </w:p>
    <w:p w14:paraId="47A90733"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T5</w:t>
      </w:r>
      <w:r>
        <w:rPr>
          <w:rStyle w:val="None"/>
          <w:rFonts w:eastAsia="Georgia" w:cs="Georgia"/>
        </w:rPr>
        <w:t xml:space="preserve"> provides legislative abbreviations. </w:t>
      </w:r>
    </w:p>
    <w:p w14:paraId="4136A2EF" w14:textId="2C97B562" w:rsidR="00421E61" w:rsidRDefault="00DB7B3F" w:rsidP="00421E61">
      <w:pPr>
        <w:pStyle w:val="Rule"/>
        <w:numPr>
          <w:ilvl w:val="0"/>
          <w:numId w:val="105"/>
        </w:numPr>
        <w:rPr>
          <w:rStyle w:val="None"/>
          <w:rFonts w:eastAsia="Georgia" w:cs="Georgia"/>
        </w:rPr>
      </w:pPr>
      <w:r w:rsidRPr="00946189">
        <w:rPr>
          <w:rStyle w:val="Rulereferencecharacterstyle"/>
        </w:rPr>
        <w:t>Tables T6, T7, and T8</w:t>
      </w:r>
      <w:r>
        <w:rPr>
          <w:rStyle w:val="None"/>
          <w:rFonts w:eastAsia="Georgia" w:cs="Georgia"/>
        </w:rPr>
        <w:t xml:space="preserve"> provide abbreviations for international, treaty, and arbitration sources</w:t>
      </w:r>
      <w:r w:rsidR="00E04D71">
        <w:rPr>
          <w:rStyle w:val="None"/>
          <w:rFonts w:eastAsia="Georgia" w:cs="Georgia"/>
        </w:rPr>
        <w:t>.</w:t>
      </w:r>
      <w:r w:rsidR="00602747">
        <w:rPr>
          <w:rStyle w:val="None"/>
          <w:rFonts w:eastAsia="Georgia" w:cs="Georgia"/>
        </w:rPr>
        <w:t xml:space="preserve"> </w:t>
      </w:r>
    </w:p>
    <w:p w14:paraId="31E85A8F" w14:textId="321524B2" w:rsidR="00EE6733" w:rsidRDefault="00602747" w:rsidP="00EE6733">
      <w:pPr>
        <w:pStyle w:val="Rule"/>
        <w:numPr>
          <w:ilvl w:val="0"/>
          <w:numId w:val="105"/>
        </w:numPr>
        <w:rPr>
          <w:rStyle w:val="None"/>
          <w:rFonts w:eastAsia="Georgia" w:cs="Georgia"/>
        </w:rPr>
      </w:pPr>
      <w:r w:rsidRPr="00E04D71">
        <w:rPr>
          <w:rStyle w:val="Rulereferencecharacterstyle"/>
        </w:rPr>
        <w:t>Table T9</w:t>
      </w:r>
      <w:r>
        <w:rPr>
          <w:rStyle w:val="None"/>
          <w:rFonts w:eastAsia="Georgia" w:cs="Georgia"/>
        </w:rPr>
        <w:t xml:space="preserve"> and </w:t>
      </w:r>
      <w:r w:rsidR="00E04D71" w:rsidRPr="00E04D71">
        <w:rPr>
          <w:rStyle w:val="Rulereferencecharacterstyle"/>
        </w:rPr>
        <w:t xml:space="preserve">Table </w:t>
      </w:r>
      <w:r w:rsidRPr="00E04D71">
        <w:rPr>
          <w:rStyle w:val="Rulereferencecharacterstyle"/>
        </w:rPr>
        <w:t>T10</w:t>
      </w:r>
      <w:r>
        <w:rPr>
          <w:rStyle w:val="None"/>
          <w:rFonts w:eastAsia="Georgia" w:cs="Georgia"/>
        </w:rPr>
        <w:t xml:space="preserve"> provide abbreviations for specific types of U.S. courts and the titles of judges and officials.</w:t>
      </w:r>
    </w:p>
    <w:p w14:paraId="65278049" w14:textId="77777777" w:rsidR="00EE6733" w:rsidRDefault="00602747" w:rsidP="00EE6733">
      <w:pPr>
        <w:pStyle w:val="Rule"/>
        <w:numPr>
          <w:ilvl w:val="0"/>
          <w:numId w:val="105"/>
        </w:numPr>
        <w:rPr>
          <w:rStyle w:val="None"/>
          <w:rFonts w:eastAsia="Georgia" w:cs="Georgia"/>
        </w:rPr>
      </w:pPr>
      <w:r w:rsidRPr="00E04D71">
        <w:rPr>
          <w:rStyle w:val="Rulereferencecharacterstyle"/>
        </w:rPr>
        <w:t>Table T11</w:t>
      </w:r>
      <w:r w:rsidRPr="00EE6733">
        <w:rPr>
          <w:rStyle w:val="None"/>
          <w:rFonts w:eastAsia="Georgia" w:cs="Georgia"/>
        </w:rPr>
        <w:t xml:space="preserve"> is of particular interest to </w:t>
      </w:r>
      <w:proofErr w:type="gramStart"/>
      <w:r w:rsidRPr="00EE6733">
        <w:rPr>
          <w:rStyle w:val="None"/>
          <w:rFonts w:eastAsia="Georgia" w:cs="Georgia"/>
        </w:rPr>
        <w:t>many</w:t>
      </w:r>
      <w:proofErr w:type="gramEnd"/>
      <w:r w:rsidRPr="00EE6733">
        <w:rPr>
          <w:rStyle w:val="None"/>
          <w:rFonts w:eastAsia="Georgia" w:cs="Georgia"/>
        </w:rPr>
        <w:t xml:space="preserve"> law students and others grappling with cases and periodical citations. It provides common-word abbreviations used in case names and for institutional authors and periodical titles. </w:t>
      </w:r>
      <w:r w:rsidRPr="00E04D71">
        <w:rPr>
          <w:rStyle w:val="Rulereferencecharacterstyle"/>
        </w:rPr>
        <w:t>Table T12</w:t>
      </w:r>
      <w:r w:rsidRPr="00EE6733">
        <w:rPr>
          <w:rStyle w:val="None"/>
          <w:rFonts w:eastAsia="Georgia" w:cs="Georgia"/>
        </w:rPr>
        <w:t xml:space="preserve"> provides geographical abbreviations.</w:t>
      </w:r>
    </w:p>
    <w:p w14:paraId="7FCA4F5F" w14:textId="77777777" w:rsidR="00E04D71" w:rsidRDefault="00602747" w:rsidP="00E04D71">
      <w:pPr>
        <w:pStyle w:val="Rule"/>
        <w:numPr>
          <w:ilvl w:val="0"/>
          <w:numId w:val="105"/>
        </w:numPr>
        <w:rPr>
          <w:rStyle w:val="None"/>
          <w:rFonts w:eastAsia="Georgia" w:cs="Georgia"/>
        </w:rPr>
      </w:pPr>
      <w:r w:rsidRPr="00E04D71">
        <w:rPr>
          <w:rStyle w:val="Rulereferencecharacterstyle"/>
        </w:rPr>
        <w:t>Table T13</w:t>
      </w:r>
      <w:r w:rsidRPr="00EE6733">
        <w:rPr>
          <w:rStyle w:val="None"/>
          <w:rFonts w:eastAsia="Georgia" w:cs="Georgia"/>
        </w:rPr>
        <w:t xml:space="preserve"> provides abbreviations for document subdivisions, and </w:t>
      </w:r>
      <w:r w:rsidR="00E04D71">
        <w:rPr>
          <w:rStyle w:val="None"/>
          <w:rFonts w:eastAsia="Georgia" w:cs="Georgia"/>
        </w:rPr>
        <w:t xml:space="preserve">Table </w:t>
      </w:r>
      <w:r w:rsidRPr="00EE6733">
        <w:rPr>
          <w:rStyle w:val="None"/>
          <w:rFonts w:eastAsia="Georgia" w:cs="Georgia"/>
        </w:rPr>
        <w:t>T14 provides abbreviations for explanatory phrases.</w:t>
      </w:r>
    </w:p>
    <w:p w14:paraId="230D66B5" w14:textId="77777777" w:rsidR="00E04D71" w:rsidRDefault="00602747" w:rsidP="00E04D71">
      <w:pPr>
        <w:pStyle w:val="Rule"/>
        <w:numPr>
          <w:ilvl w:val="0"/>
          <w:numId w:val="105"/>
        </w:numPr>
        <w:rPr>
          <w:rStyle w:val="None"/>
          <w:rFonts w:eastAsia="Georgia" w:cs="Georgia"/>
        </w:rPr>
      </w:pPr>
      <w:r w:rsidRPr="00E04D71">
        <w:rPr>
          <w:rStyle w:val="Rulereferencecharacterstyle"/>
        </w:rPr>
        <w:t xml:space="preserve">Table </w:t>
      </w:r>
      <w:r w:rsidR="00E04D71" w:rsidRPr="00E04D71">
        <w:rPr>
          <w:rStyle w:val="Rulereferencecharacterstyle"/>
        </w:rPr>
        <w:t>T</w:t>
      </w:r>
      <w:r w:rsidRPr="00E04D71">
        <w:rPr>
          <w:rStyle w:val="Rulereferencecharacterstyle"/>
        </w:rPr>
        <w:t>15</w:t>
      </w:r>
      <w:r w:rsidRPr="00E04D71">
        <w:rPr>
          <w:rStyle w:val="None"/>
          <w:rFonts w:eastAsia="Georgia" w:cs="Georgia"/>
        </w:rPr>
        <w:t xml:space="preserve"> provides abbreviations for specific institutional names in periodical titles, and thus these abbreviations take precedence over any conflicting common-word abbreviations for institutional names from Table </w:t>
      </w:r>
      <w:r w:rsidR="00E04D71">
        <w:rPr>
          <w:rStyle w:val="None"/>
          <w:rFonts w:eastAsia="Georgia" w:cs="Georgia"/>
        </w:rPr>
        <w:t>T</w:t>
      </w:r>
      <w:r w:rsidRPr="00E04D71">
        <w:rPr>
          <w:rStyle w:val="None"/>
          <w:rFonts w:eastAsia="Georgia" w:cs="Georgia"/>
        </w:rPr>
        <w:t xml:space="preserve">12. For example, the American Bar Association is ABA, not Amer. Bar. </w:t>
      </w:r>
      <w:proofErr w:type="spellStart"/>
      <w:r w:rsidRPr="00E04D71">
        <w:rPr>
          <w:rStyle w:val="None"/>
          <w:rFonts w:eastAsia="Georgia" w:cs="Georgia"/>
        </w:rPr>
        <w:t>Ass’n</w:t>
      </w:r>
      <w:proofErr w:type="spellEnd"/>
      <w:r w:rsidRPr="00E04D71">
        <w:rPr>
          <w:rStyle w:val="None"/>
          <w:rFonts w:eastAsia="Georgia" w:cs="Georgia"/>
        </w:rPr>
        <w:t>, when used as an institutional author.</w:t>
      </w:r>
    </w:p>
    <w:p w14:paraId="4BDCEA13" w14:textId="25A6831C" w:rsidR="00E04D71" w:rsidRPr="00E04D71"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E04D71" w:rsidRPr="008565BF">
        <w:rPr>
          <w:rStyle w:val="Rulereferencecharacterstyle"/>
        </w:rPr>
        <w:t>T</w:t>
      </w:r>
      <w:r w:rsidRPr="008565BF">
        <w:rPr>
          <w:rStyle w:val="Rulereferencecharacterstyle"/>
        </w:rPr>
        <w:t>16</w:t>
      </w:r>
      <w:r w:rsidRPr="00E04D71">
        <w:rPr>
          <w:rStyle w:val="None"/>
          <w:rFonts w:eastAsia="Georgia" w:cs="Georgia"/>
        </w:rPr>
        <w:t xml:space="preserve"> provides abbreviations for publishing terms such as editor and translator. </w:t>
      </w:r>
      <w:r w:rsidRPr="008565BF">
        <w:rPr>
          <w:rStyle w:val="Rulereferencecharacterstyle"/>
        </w:rPr>
        <w:t xml:space="preserve">Table </w:t>
      </w:r>
      <w:r w:rsidR="00E04D71" w:rsidRPr="008565BF">
        <w:rPr>
          <w:rStyle w:val="Rulereferencecharacterstyle"/>
        </w:rPr>
        <w:t>T</w:t>
      </w:r>
      <w:r w:rsidRPr="008565BF">
        <w:rPr>
          <w:rStyle w:val="Rulereferencecharacterstyle"/>
        </w:rPr>
        <w:t>17</w:t>
      </w:r>
      <w:r w:rsidRPr="00E04D71">
        <w:rPr>
          <w:rStyle w:val="None"/>
          <w:rFonts w:eastAsia="Georgia" w:cs="Georgia"/>
        </w:rPr>
        <w:t xml:space="preserve"> provides abbreviations for the months of the year, needed in </w:t>
      </w:r>
      <w:proofErr w:type="gramStart"/>
      <w:r w:rsidRPr="00E04D71">
        <w:rPr>
          <w:rStyle w:val="None"/>
          <w:rFonts w:eastAsia="Georgia" w:cs="Georgia"/>
        </w:rPr>
        <w:t>some</w:t>
      </w:r>
      <w:proofErr w:type="gramEnd"/>
      <w:r w:rsidRPr="00E04D71">
        <w:rPr>
          <w:rStyle w:val="None"/>
          <w:rFonts w:eastAsia="Georgia" w:cs="Georgia"/>
        </w:rPr>
        <w:t xml:space="preserve"> periodical citations and </w:t>
      </w:r>
      <w:r w:rsidR="00106D1D" w:rsidRPr="00E04D71">
        <w:rPr>
          <w:rStyle w:val="None"/>
          <w:rFonts w:eastAsia="Georgia" w:cs="Georgia"/>
        </w:rPr>
        <w:t xml:space="preserve">in slip-opinion citations and other cases </w:t>
      </w:r>
      <w:r w:rsidRPr="00E04D71">
        <w:rPr>
          <w:rStyle w:val="None"/>
          <w:rFonts w:eastAsia="Georgia" w:cs="Georgia"/>
        </w:rPr>
        <w:t xml:space="preserve">found online rather than in reporters (thus requiring exact dates). </w:t>
      </w:r>
    </w:p>
    <w:p w14:paraId="1F2C0CC5" w14:textId="77777777" w:rsidR="008565BF"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18</w:t>
      </w:r>
      <w:r w:rsidRPr="00E04D71">
        <w:rPr>
          <w:rStyle w:val="None"/>
          <w:rFonts w:eastAsia="Georgia" w:cs="Georgia"/>
        </w:rPr>
        <w:t xml:space="preserve"> is new to the Second Edition of </w:t>
      </w:r>
      <w:r w:rsidRPr="00E04D71">
        <w:rPr>
          <w:rStyle w:val="None"/>
          <w:rFonts w:eastAsia="Georgia" w:cs="Georgia"/>
          <w:i/>
          <w:iCs/>
        </w:rPr>
        <w:t>The Indigo Book</w:t>
      </w:r>
      <w:r w:rsidRPr="00E04D71">
        <w:rPr>
          <w:rStyle w:val="None"/>
          <w:rFonts w:eastAsia="Georgia" w:cs="Georgia"/>
        </w:rPr>
        <w:t xml:space="preserve"> and </w:t>
      </w:r>
      <w:r w:rsidR="006D190E" w:rsidRPr="00E04D71">
        <w:rPr>
          <w:rStyle w:val="None"/>
          <w:rFonts w:eastAsia="Georgia" w:cs="Georgia"/>
        </w:rPr>
        <w:t xml:space="preserve">provides abbreviations for litigation documents such as citing </w:t>
      </w:r>
      <w:proofErr w:type="gramStart"/>
      <w:r w:rsidR="006D190E" w:rsidRPr="00E04D71">
        <w:rPr>
          <w:rStyle w:val="None"/>
          <w:rFonts w:eastAsia="Georgia" w:cs="Georgia"/>
        </w:rPr>
        <w:t>an affidavit</w:t>
      </w:r>
      <w:proofErr w:type="gramEnd"/>
      <w:r w:rsidR="006D190E" w:rsidRPr="00E04D71">
        <w:rPr>
          <w:rStyle w:val="None"/>
          <w:rFonts w:eastAsia="Georgia" w:cs="Georgia"/>
        </w:rPr>
        <w:t xml:space="preserve"> or petition for certiorari. </w:t>
      </w:r>
    </w:p>
    <w:p w14:paraId="21A72A8E" w14:textId="77777777" w:rsidR="008565BF" w:rsidRDefault="006D190E"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19</w:t>
      </w:r>
      <w:r w:rsidRPr="00E04D71">
        <w:rPr>
          <w:rStyle w:val="None"/>
          <w:rFonts w:eastAsia="Georgia" w:cs="Georgia"/>
        </w:rPr>
        <w:t xml:space="preserve"> is also new and shows selective examples of how the Uniform System of Citation produces citations in standard and academic formats—in other words, a guide to converting the practical citations in </w:t>
      </w:r>
      <w:r w:rsidRPr="00E04D71">
        <w:rPr>
          <w:rStyle w:val="None"/>
          <w:rFonts w:eastAsia="Georgia" w:cs="Georgia"/>
          <w:i/>
          <w:iCs/>
        </w:rPr>
        <w:t>The Indigo Book</w:t>
      </w:r>
      <w:r w:rsidRPr="00E04D71">
        <w:rPr>
          <w:rStyle w:val="None"/>
          <w:rFonts w:eastAsia="Georgia" w:cs="Georgia"/>
        </w:rPr>
        <w:t xml:space="preserve"> into a citation for an academic legal document (a law review). This Table is certainly not comprehensive but provides a</w:t>
      </w:r>
      <w:r w:rsidR="006D08A6" w:rsidRPr="00E04D71">
        <w:rPr>
          <w:rStyle w:val="None"/>
          <w:rFonts w:eastAsia="Georgia" w:cs="Georgia"/>
        </w:rPr>
        <w:t xml:space="preserve"> quick view into the font differences within the two branches of the Uniform System of Citation. </w:t>
      </w:r>
    </w:p>
    <w:p w14:paraId="5A2304D6" w14:textId="25185E1B" w:rsidR="00602747" w:rsidRPr="00E04D71" w:rsidRDefault="006D08A6" w:rsidP="00E04D71">
      <w:pPr>
        <w:pStyle w:val="Rule"/>
        <w:numPr>
          <w:ilvl w:val="0"/>
          <w:numId w:val="105"/>
        </w:numPr>
        <w:rPr>
          <w:rStyle w:val="None"/>
          <w:rFonts w:eastAsia="Georgia" w:cs="Georgia"/>
        </w:rPr>
      </w:pPr>
      <w:r w:rsidRPr="00E04D71">
        <w:rPr>
          <w:rStyle w:val="None"/>
          <w:rFonts w:eastAsia="Georgia" w:cs="Georgia"/>
        </w:rPr>
        <w:t xml:space="preserve">Finally, </w:t>
      </w:r>
      <w:r w:rsidRPr="008565BF">
        <w:rPr>
          <w:rStyle w:val="Rulereferencecharacterstyle"/>
        </w:rPr>
        <w:t>Table T20</w:t>
      </w:r>
      <w:r w:rsidRPr="00E04D71">
        <w:rPr>
          <w:rStyle w:val="None"/>
          <w:rFonts w:eastAsia="Georgia" w:cs="Georgia"/>
        </w:rPr>
        <w:t xml:space="preserve"> provides selective citations to additional online citation guides. </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5D650E1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r w:rsidR="00BF13D9">
        <w:rPr>
          <w:rStyle w:val="None"/>
          <w:rFonts w:ascii="Georgia" w:eastAsia="Georgia" w:hAnsi="Georgia" w:cs="Georgia"/>
        </w:rPr>
        <w:t xml:space="preserve"> in Citations</w:t>
      </w:r>
    </w:p>
    <w:p w14:paraId="7A75E8BA" w14:textId="4B61C62F" w:rsidR="00E9398D" w:rsidRPr="00AA0453" w:rsidRDefault="00452908" w:rsidP="00BF13D9">
      <w:pPr>
        <w:pStyle w:val="Rule"/>
        <w:rPr>
          <w:rStyle w:val="None"/>
          <w:rFonts w:eastAsia="Georgia" w:cs="Georgia"/>
        </w:rPr>
      </w:pPr>
      <w:r w:rsidRPr="00AA0453">
        <w:rPr>
          <w:rStyle w:val="None"/>
          <w:rFonts w:eastAsia="Georgia" w:cs="Georgia"/>
        </w:rPr>
        <w:t>Ordinal ab</w:t>
      </w:r>
      <w:r w:rsidR="001D2B34">
        <w:rPr>
          <w:rStyle w:val="None"/>
          <w:rFonts w:eastAsia="Georgia" w:cs="Georgia"/>
        </w:rPr>
        <w:t>breviations</w:t>
      </w:r>
      <w:r w:rsidRPr="00AA0453">
        <w:rPr>
          <w:rStyle w:val="None"/>
          <w:rFonts w:eastAsia="Georgia" w:cs="Georgia"/>
        </w:rPr>
        <w:t xml:space="preserve"> </w:t>
      </w:r>
      <w:proofErr w:type="gramStart"/>
      <w:r w:rsidR="001D2B34">
        <w:rPr>
          <w:rStyle w:val="None"/>
          <w:rFonts w:eastAsia="Georgia" w:cs="Georgia"/>
        </w:rPr>
        <w:t>are used</w:t>
      </w:r>
      <w:proofErr w:type="gramEnd"/>
      <w:r w:rsidR="001D2B34">
        <w:rPr>
          <w:rStyle w:val="None"/>
          <w:rFonts w:eastAsia="Georgia" w:cs="Georgia"/>
        </w:rPr>
        <w:t xml:space="preserve"> for</w:t>
      </w:r>
      <w:r w:rsidRPr="00AA0453">
        <w:rPr>
          <w:rStyle w:val="None"/>
          <w:rFonts w:eastAsia="Georgia" w:cs="Georgia"/>
        </w:rPr>
        <w:t xml:space="preserve"> the court/year p</w:t>
      </w:r>
      <w:r w:rsidR="001D2B34">
        <w:rPr>
          <w:rStyle w:val="None"/>
          <w:rFonts w:eastAsia="Georgia" w:cs="Georgia"/>
        </w:rPr>
        <w:t>arenthetical in a case citation, the numerical designation of a Congress, a publication’s addition number</w:t>
      </w:r>
      <w:r w:rsidR="00213972">
        <w:rPr>
          <w:rStyle w:val="None"/>
          <w:rFonts w:eastAsia="Georgia" w:cs="Georgia"/>
        </w:rPr>
        <w:t>, and other contexts.</w:t>
      </w:r>
      <w:r w:rsidR="001D2B34">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w:t>
      </w:r>
      <w:r w:rsidRPr="006A2EC1">
        <w:rPr>
          <w:rStyle w:val="Rulereferencecharacterstyle"/>
        </w:rPr>
        <w:t>Rule R11</w:t>
      </w:r>
      <w:r w:rsidRPr="00AA0453">
        <w:rPr>
          <w:rFonts w:eastAsia="Georgia" w:cs="Georgia"/>
        </w:rPr>
        <w:t xml:space="preserve"> </w:t>
      </w:r>
      <w:r w:rsidRPr="00AA0453">
        <w:rPr>
          <w:rStyle w:val="None"/>
          <w:rFonts w:eastAsia="Georgia" w:cs="Georgia"/>
        </w:rPr>
        <w:t xml:space="preserve">generally and </w:t>
      </w:r>
      <w:r w:rsidRPr="008565BF">
        <w:rPr>
          <w:rStyle w:val="Rulereferencecharacterstyle"/>
        </w:rPr>
        <w:t xml:space="preserve">Table </w:t>
      </w:r>
      <w:r w:rsidR="00FF6E25" w:rsidRPr="008565BF">
        <w:rPr>
          <w:rStyle w:val="Rulereferencecharacterstyle"/>
        </w:rPr>
        <w:t>T</w:t>
      </w:r>
      <w:r w:rsidRPr="008565BF">
        <w:rPr>
          <w:rStyle w:val="Rulereferencecharacterstyle"/>
        </w:rPr>
        <w:t>1</w:t>
      </w:r>
      <w:r w:rsidRPr="00AA0453">
        <w:rPr>
          <w:rStyle w:val="None"/>
          <w:rFonts w:eastAsia="Georgia" w:cs="Georgia"/>
        </w:rPr>
        <w:t xml:space="preserve"> for the United States Courts of Appeal</w:t>
      </w:r>
      <w:r w:rsidR="0029598D">
        <w:rPr>
          <w:rStyle w:val="None"/>
          <w:rFonts w:eastAsia="Georgia" w:cs="Georgia"/>
        </w:rPr>
        <w:t>s (</w:t>
      </w:r>
      <w:proofErr w:type="gramStart"/>
      <w:r w:rsidR="0029598D">
        <w:rPr>
          <w:rStyle w:val="None"/>
          <w:rFonts w:eastAsia="Georgia" w:cs="Georgia"/>
        </w:rPr>
        <w:t>i.e.</w:t>
      </w:r>
      <w:proofErr w:type="gramEnd"/>
      <w:r w:rsidR="0029598D">
        <w:rPr>
          <w:rStyle w:val="None"/>
          <w:rFonts w:eastAsia="Georgia" w:cs="Georgia"/>
        </w:rPr>
        <w:t xml:space="preserve"> the various federal circuit courts)</w:t>
      </w:r>
      <w:r w:rsidRPr="00AA0453">
        <w:rPr>
          <w:rStyle w:val="None"/>
          <w:rFonts w:eastAsia="Georgia" w:cs="Georgia"/>
        </w:rPr>
        <w:t>.</w:t>
      </w:r>
      <w:r w:rsidR="00BF13D9">
        <w:rPr>
          <w:rStyle w:val="None"/>
          <w:rFonts w:eastAsia="Georgia" w:cs="Georgia"/>
        </w:rPr>
        <w:t xml:space="preserve"> </w:t>
      </w:r>
      <w:r w:rsidR="00213972">
        <w:rPr>
          <w:rStyle w:val="None"/>
          <w:rFonts w:eastAsia="Georgia" w:cs="Georgia"/>
        </w:rPr>
        <w:t>In citations and in textual references, ordinal abbreviations</w:t>
      </w:r>
      <w:r w:rsidR="00213972" w:rsidRPr="00AA0453">
        <w:rPr>
          <w:rStyle w:val="None"/>
          <w:rFonts w:eastAsia="Georgia" w:cs="Georgia"/>
        </w:rPr>
        <w:t xml:space="preserve"> do not use superscripts. </w:t>
      </w:r>
      <w:r w:rsidR="00213972">
        <w:rPr>
          <w:rStyle w:val="None"/>
          <w:rFonts w:eastAsia="Georgia" w:cs="Georgia"/>
        </w:rPr>
        <w:t>In citations, a</w:t>
      </w:r>
      <w:r w:rsidR="00BF13D9" w:rsidRPr="00AA0453">
        <w:rPr>
          <w:rStyle w:val="None"/>
          <w:rFonts w:eastAsia="Georgia" w:cs="Georgia"/>
        </w:rPr>
        <w:t xml:space="preserve">bbreviations for </w:t>
      </w:r>
      <w:r w:rsidR="00BF13D9" w:rsidRPr="00AA0453">
        <w:rPr>
          <w:rStyle w:val="None"/>
        </w:rPr>
        <w:t xml:space="preserve">“second” and “third” use ordinal style references </w:t>
      </w:r>
      <w:r w:rsidR="00213972">
        <w:rPr>
          <w:rStyle w:val="None"/>
        </w:rPr>
        <w:t>2d and 3d, respectively. Extrapolate to larger ordinal numbers ending in second or third, such as “twenty third” becoming “23d” in a citation.</w:t>
      </w:r>
    </w:p>
    <w:p w14:paraId="186E28AD" w14:textId="5B7D325C" w:rsidR="00E9398D" w:rsidRPr="00AA0453" w:rsidRDefault="00E543E4" w:rsidP="003E757A">
      <w:pPr>
        <w:pStyle w:val="Example"/>
        <w:ind w:left="1440"/>
        <w:rPr>
          <w:rStyle w:val="None"/>
          <w:b/>
          <w:bCs/>
        </w:rPr>
      </w:pPr>
      <w:r w:rsidRPr="00AA0453">
        <w:rPr>
          <w:rStyle w:val="None"/>
          <w:b/>
          <w:bCs/>
        </w:rPr>
        <w:t>Example</w:t>
      </w:r>
      <w:r w:rsidR="00BF13D9">
        <w:rPr>
          <w:rStyle w:val="None"/>
          <w:b/>
          <w:bCs/>
        </w:rPr>
        <w:t>s:</w:t>
      </w:r>
    </w:p>
    <w:p w14:paraId="0572DECC" w14:textId="11143D08" w:rsidR="00E9398D" w:rsidRDefault="00E9398D" w:rsidP="003E757A">
      <w:pPr>
        <w:pStyle w:val="Example"/>
        <w:ind w:left="1440"/>
        <w:rPr>
          <w:rStyle w:val="None"/>
        </w:rPr>
      </w:pPr>
      <w:r w:rsidRPr="00AA0453">
        <w:rPr>
          <w:rStyle w:val="None"/>
        </w:rPr>
        <w:t>1st Dist.</w:t>
      </w:r>
    </w:p>
    <w:p w14:paraId="50762962" w14:textId="00FCCE0C" w:rsidR="00BF13D9" w:rsidRDefault="00BF13D9" w:rsidP="003E757A">
      <w:pPr>
        <w:pStyle w:val="Example"/>
        <w:ind w:left="1440"/>
        <w:rPr>
          <w:rStyle w:val="None"/>
        </w:rPr>
      </w:pPr>
      <w:r>
        <w:rPr>
          <w:rStyle w:val="None"/>
        </w:rPr>
        <w:t>2d Cir.</w:t>
      </w:r>
    </w:p>
    <w:p w14:paraId="7D795515" w14:textId="508A576D" w:rsidR="00213972" w:rsidRDefault="00213972" w:rsidP="003E757A">
      <w:pPr>
        <w:pStyle w:val="Example"/>
        <w:ind w:left="1440"/>
        <w:rPr>
          <w:rStyle w:val="None"/>
        </w:rPr>
      </w:pPr>
      <w:r>
        <w:rPr>
          <w:rStyle w:val="None"/>
        </w:rPr>
        <w:t>2d ed.</w:t>
      </w:r>
    </w:p>
    <w:p w14:paraId="141EB49F" w14:textId="3E5AC4FB" w:rsidR="00213972" w:rsidRDefault="00BF13D9" w:rsidP="00213972">
      <w:pPr>
        <w:pStyle w:val="Example"/>
        <w:ind w:left="1440"/>
        <w:rPr>
          <w:rStyle w:val="None"/>
        </w:rPr>
      </w:pPr>
      <w:r>
        <w:rPr>
          <w:rStyle w:val="None"/>
        </w:rPr>
        <w:t>3d Dist</w:t>
      </w:r>
      <w:r w:rsidR="00213972">
        <w:rPr>
          <w:rStyle w:val="None"/>
        </w:rPr>
        <w:t>.</w:t>
      </w:r>
    </w:p>
    <w:p w14:paraId="0C8FBB02" w14:textId="40EFC43A" w:rsidR="00BF13D9" w:rsidRPr="00AA0453" w:rsidRDefault="00BF13D9" w:rsidP="003E757A">
      <w:pPr>
        <w:pStyle w:val="Example"/>
        <w:ind w:left="1440"/>
      </w:pPr>
      <w:r>
        <w:rPr>
          <w:rStyle w:val="None"/>
        </w:rPr>
        <w:t xml:space="preserve">4th Cir. </w:t>
      </w:r>
    </w:p>
    <w:p w14:paraId="72392BC1" w14:textId="7CE67837" w:rsidR="00B70C42" w:rsidRDefault="00BF13D9" w:rsidP="00452908">
      <w:pPr>
        <w:pStyle w:val="Example"/>
        <w:ind w:left="1440"/>
        <w:rPr>
          <w:b/>
          <w:bCs/>
        </w:rPr>
      </w:pPr>
      <w:r>
        <w:rPr>
          <w:b/>
          <w:bCs/>
        </w:rPr>
        <w:t>Incorrect:</w:t>
      </w:r>
    </w:p>
    <w:p w14:paraId="0FAA7DF2" w14:textId="3276AD48" w:rsidR="00B4642F" w:rsidRDefault="00BF13D9" w:rsidP="00B4642F">
      <w:pPr>
        <w:pStyle w:val="Example"/>
        <w:ind w:left="1440"/>
        <w:rPr>
          <w:vertAlign w:val="superscript"/>
        </w:rPr>
      </w:pPr>
      <w:r>
        <w:t>2nd, 2</w:t>
      </w:r>
      <w:r w:rsidRPr="00BF13D9">
        <w:rPr>
          <w:vertAlign w:val="superscript"/>
        </w:rPr>
        <w:t>nd</w:t>
      </w:r>
      <w:r>
        <w:t>, 3rd, 3</w:t>
      </w:r>
      <w:r w:rsidRPr="00BF13D9">
        <w:rPr>
          <w:vertAlign w:val="superscript"/>
        </w:rPr>
        <w:t>rd</w:t>
      </w:r>
    </w:p>
    <w:p w14:paraId="0DE26120" w14:textId="0B4CD542" w:rsidR="00B4642F" w:rsidRDefault="00B4642F" w:rsidP="00B4642F">
      <w:pPr>
        <w:pStyle w:val="Example"/>
        <w:ind w:left="1440"/>
        <w:rPr>
          <w:rStyle w:val="None"/>
        </w:rPr>
      </w:pPr>
      <w:r>
        <w:rPr>
          <w:rStyle w:val="None"/>
        </w:rPr>
        <w:t>4</w:t>
      </w:r>
      <w:r w:rsidRPr="00B4642F">
        <w:rPr>
          <w:rStyle w:val="None"/>
          <w:vertAlign w:val="superscript"/>
        </w:rPr>
        <w:t>th</w:t>
      </w:r>
      <w:r>
        <w:rPr>
          <w:rStyle w:val="None"/>
        </w:rPr>
        <w:t xml:space="preserve"> Cir.</w:t>
      </w:r>
    </w:p>
    <w:p w14:paraId="1D9DEB91" w14:textId="12F0D190" w:rsidR="00B4642F" w:rsidRDefault="00B4642F" w:rsidP="00B4642F">
      <w:pPr>
        <w:pStyle w:val="Example"/>
        <w:ind w:left="1440"/>
        <w:rPr>
          <w:rStyle w:val="None"/>
        </w:rPr>
      </w:pPr>
      <w:r>
        <w:rPr>
          <w:rStyle w:val="None"/>
        </w:rPr>
        <w:t>5</w:t>
      </w:r>
      <w:r w:rsidRPr="00B4642F">
        <w:rPr>
          <w:rStyle w:val="None"/>
          <w:vertAlign w:val="superscript"/>
        </w:rPr>
        <w:t>th</w:t>
      </w:r>
      <w:r>
        <w:rPr>
          <w:rStyle w:val="None"/>
        </w:rPr>
        <w:t xml:space="preserve"> Dist.</w:t>
      </w:r>
    </w:p>
    <w:p w14:paraId="294BDFB4" w14:textId="587C0478" w:rsidR="00213972" w:rsidRDefault="00213972" w:rsidP="00213972">
      <w:pPr>
        <w:pStyle w:val="Rule"/>
        <w:rPr>
          <w:rStyle w:val="None"/>
          <w:rFonts w:eastAsia="Georgia" w:cs="Georgia"/>
        </w:rPr>
      </w:pPr>
      <w:r>
        <w:rPr>
          <w:rStyle w:val="None"/>
          <w:rFonts w:eastAsia="Georgia" w:cs="Georgia"/>
        </w:rPr>
        <w:t xml:space="preserve">Ordinals </w:t>
      </w:r>
      <w:proofErr w:type="gramStart"/>
      <w:r>
        <w:rPr>
          <w:rStyle w:val="None"/>
          <w:rFonts w:eastAsia="Georgia" w:cs="Georgia"/>
        </w:rPr>
        <w:t>are also used</w:t>
      </w:r>
      <w:proofErr w:type="gramEnd"/>
      <w:r>
        <w:rPr>
          <w:rStyle w:val="None"/>
          <w:rFonts w:eastAsia="Georgia" w:cs="Georgia"/>
        </w:rPr>
        <w:t xml:space="preserve"> in federal case citations:</w:t>
      </w:r>
    </w:p>
    <w:p w14:paraId="28C4483C" w14:textId="50E19C93" w:rsidR="00213972" w:rsidRDefault="00213972" w:rsidP="00213972">
      <w:pPr>
        <w:pStyle w:val="Rule"/>
        <w:rPr>
          <w:rStyle w:val="None"/>
          <w:rFonts w:eastAsia="Georgia" w:cs="Georgia"/>
        </w:rPr>
      </w:pPr>
      <w:r>
        <w:rPr>
          <w:rStyle w:val="None"/>
          <w:rFonts w:eastAsia="Georgia" w:cs="Georgia"/>
        </w:rPr>
        <w:tab/>
        <w:t>F. Supp. 2d</w:t>
      </w:r>
    </w:p>
    <w:p w14:paraId="7A4084C5" w14:textId="7AFE0D32" w:rsidR="00213972" w:rsidRDefault="00213972" w:rsidP="00213972">
      <w:pPr>
        <w:pStyle w:val="Rule"/>
        <w:rPr>
          <w:rStyle w:val="None"/>
          <w:rFonts w:eastAsia="Georgia" w:cs="Georgia"/>
        </w:rPr>
      </w:pPr>
      <w:r>
        <w:rPr>
          <w:rStyle w:val="None"/>
          <w:rFonts w:eastAsia="Georgia" w:cs="Georgia"/>
        </w:rPr>
        <w:tab/>
        <w:t>F.3d</w:t>
      </w:r>
    </w:p>
    <w:p w14:paraId="7F4D278E" w14:textId="7830628C" w:rsidR="00213972" w:rsidRDefault="00213972" w:rsidP="00213972">
      <w:pPr>
        <w:pStyle w:val="Rule"/>
        <w:rPr>
          <w:rStyle w:val="None"/>
          <w:rFonts w:eastAsia="Georgia" w:cs="Georgia"/>
        </w:rPr>
      </w:pPr>
      <w:r>
        <w:rPr>
          <w:rStyle w:val="None"/>
          <w:rFonts w:eastAsia="Georgia" w:cs="Georgia"/>
        </w:rPr>
        <w:tab/>
        <w:t xml:space="preserve">F.4th </w:t>
      </w:r>
    </w:p>
    <w:p w14:paraId="73418DDE" w14:textId="659EE7E3" w:rsidR="00213972" w:rsidRDefault="00213972" w:rsidP="00213972">
      <w:pPr>
        <w:pStyle w:val="Rule"/>
        <w:rPr>
          <w:rStyle w:val="None"/>
          <w:rFonts w:eastAsia="Georgia" w:cs="Georgia"/>
        </w:rPr>
      </w:pPr>
      <w:r>
        <w:rPr>
          <w:rStyle w:val="None"/>
          <w:rFonts w:eastAsia="Georgia" w:cs="Georgia"/>
        </w:rPr>
        <w:t>Do not abbreviate the ordinal in a citation to the Restatement either in textual sentences or citations:</w:t>
      </w:r>
    </w:p>
    <w:p w14:paraId="01E5B22A" w14:textId="2693B2D8" w:rsidR="00213972" w:rsidRPr="00AA0453" w:rsidRDefault="00213972" w:rsidP="00213972">
      <w:pPr>
        <w:pStyle w:val="Rule"/>
        <w:rPr>
          <w:rStyle w:val="None"/>
          <w:rFonts w:eastAsia="Georgia" w:cs="Georgia"/>
        </w:rPr>
      </w:pPr>
      <w:r>
        <w:rPr>
          <w:rStyle w:val="None"/>
          <w:rFonts w:eastAsia="Georgia" w:cs="Georgia"/>
        </w:rPr>
        <w:tab/>
        <w:t>Restatement (Second) of Torts</w:t>
      </w:r>
      <w:r w:rsidR="00895C2C">
        <w:rPr>
          <w:rStyle w:val="None"/>
          <w:rFonts w:eastAsia="Georgia" w:cs="Georgia"/>
        </w:rPr>
        <w:t xml:space="preserve"> (Am. L. Inst. 1977)</w:t>
      </w:r>
    </w:p>
    <w:p w14:paraId="2F04AB58" w14:textId="3B0FC187" w:rsidR="00213972" w:rsidRPr="00B4642F" w:rsidRDefault="00213972" w:rsidP="00895C2C">
      <w:pPr>
        <w:pStyle w:val="Example"/>
        <w:ind w:left="0"/>
        <w:rPr>
          <w:vertAlign w:val="superscript"/>
        </w:rPr>
      </w:pPr>
    </w:p>
    <w:p w14:paraId="64E10966" w14:textId="783AFAE9"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r>
      <w:r w:rsidR="001A272F">
        <w:rPr>
          <w:rStyle w:val="None"/>
          <w:rFonts w:ascii="Georgia" w:hAnsi="Georgia"/>
        </w:rPr>
        <w:t xml:space="preserve">Textual References </w:t>
      </w:r>
    </w:p>
    <w:p w14:paraId="2832704A" w14:textId="72EE5B29" w:rsidR="00E9398D" w:rsidRPr="001A272F" w:rsidRDefault="00E9398D" w:rsidP="00F51A16">
      <w:pPr>
        <w:pStyle w:val="Rule"/>
        <w:rPr>
          <w:rStyle w:val="None"/>
          <w:u w:val="single"/>
        </w:rPr>
      </w:pPr>
      <w:r w:rsidRPr="00AA0453">
        <w:rPr>
          <w:rStyle w:val="None"/>
        </w:rPr>
        <w:t xml:space="preserve">Citations </w:t>
      </w:r>
      <w:r w:rsidR="001A272F">
        <w:rPr>
          <w:rStyle w:val="None"/>
        </w:rPr>
        <w:t>incorporated into</w:t>
      </w:r>
      <w:r w:rsidRPr="00AA0453">
        <w:rPr>
          <w:rStyle w:val="None"/>
        </w:rPr>
        <w:t xml:space="preserve"> textual sentences</w:t>
      </w:r>
      <w:r w:rsidR="001A272F">
        <w:rPr>
          <w:rStyle w:val="None"/>
        </w:rPr>
        <w:t>—as opposed to citation sentences, clauses, and footnotes—</w:t>
      </w:r>
      <w:r w:rsidRPr="00AA0453">
        <w:rPr>
          <w:rStyle w:val="None"/>
        </w:rPr>
        <w:t>use different abbreviation rules to preserve readability</w:t>
      </w:r>
      <w:r w:rsidR="001A272F">
        <w:rPr>
          <w:rStyle w:val="None"/>
        </w:rPr>
        <w:t xml:space="preserve">. </w:t>
      </w:r>
      <w:r w:rsidR="001A272F">
        <w:rPr>
          <w:rStyle w:val="None"/>
          <w:i/>
          <w:iCs/>
        </w:rPr>
        <w:t>See</w:t>
      </w:r>
      <w:r w:rsidR="001A272F">
        <w:rPr>
          <w:rStyle w:val="None"/>
        </w:rPr>
        <w:t xml:space="preserve"> </w:t>
      </w:r>
      <w:r w:rsidR="001A272F" w:rsidRPr="00D95AC6">
        <w:rPr>
          <w:rStyle w:val="Rulereferencecharacterstyle"/>
        </w:rPr>
        <w:t>Rule R3</w:t>
      </w:r>
      <w:r w:rsidR="001A272F">
        <w:rPr>
          <w:rStyle w:val="None"/>
        </w:rPr>
        <w:t xml:space="preserve"> (general guidance on citation sentences and textual sentences incorporating citations) and </w:t>
      </w:r>
      <w:r w:rsidR="00D95AC6" w:rsidRPr="00D95AC6">
        <w:rPr>
          <w:rStyle w:val="Rulereferencecharacterstyle"/>
        </w:rPr>
        <w:t xml:space="preserve">Rule </w:t>
      </w:r>
      <w:r w:rsidR="00641CF8">
        <w:rPr>
          <w:rStyle w:val="Rulereferencecharacterstyle"/>
        </w:rPr>
        <w:t>R11.4</w:t>
      </w:r>
      <w:r w:rsidR="001A272F">
        <w:rPr>
          <w:rStyle w:val="None"/>
        </w:rPr>
        <w:t xml:space="preserve"> (abbreviation rules </w:t>
      </w:r>
      <w:r w:rsidR="00641CF8">
        <w:rPr>
          <w:rStyle w:val="None"/>
        </w:rPr>
        <w:t>for case names in textual sentences).</w:t>
      </w:r>
    </w:p>
    <w:p w14:paraId="320A7F61" w14:textId="092E5AD7" w:rsidR="00E9398D" w:rsidRPr="00AA0453" w:rsidRDefault="001A272F" w:rsidP="00F51A16">
      <w:pPr>
        <w:pStyle w:val="Rule"/>
        <w:rPr>
          <w:rStyle w:val="None"/>
          <w:rFonts w:eastAsia="Georgia" w:cs="Georgia"/>
        </w:rPr>
      </w:pPr>
      <w:r>
        <w:rPr>
          <w:rStyle w:val="None"/>
        </w:rPr>
        <w:t>When not providing a precise citation at all, but</w:t>
      </w:r>
      <w:r w:rsidR="00E9398D" w:rsidRPr="00AA0453">
        <w:rPr>
          <w:rStyle w:val="None"/>
        </w:rPr>
        <w:t xml:space="preserve"> referring to a court in a textual sentence, </w:t>
      </w:r>
      <w:r>
        <w:rPr>
          <w:rStyle w:val="None"/>
        </w:rPr>
        <w:t>spell</w:t>
      </w:r>
      <w:r w:rsidR="00E9398D" w:rsidRPr="00AA0453">
        <w:rPr>
          <w:rStyle w:val="None"/>
        </w:rPr>
        <w:t xml:space="preserve"> out the court’s name consistent with </w:t>
      </w:r>
      <w:proofErr w:type="gramStart"/>
      <w:r w:rsidR="00E9398D" w:rsidRPr="00AA0453">
        <w:rPr>
          <w:rStyle w:val="None"/>
        </w:rPr>
        <w:t>common practice</w:t>
      </w:r>
      <w:proofErr w:type="gramEnd"/>
      <w:r w:rsidR="00E9398D" w:rsidRPr="00AA0453">
        <w:rPr>
          <w:rStyle w:val="None"/>
        </w:rPr>
        <w:t>.</w:t>
      </w:r>
      <w:r w:rsidR="00452908" w:rsidRPr="00AA0453">
        <w:rPr>
          <w:rStyle w:val="None"/>
        </w:rPr>
        <w:t xml:space="preserve"> </w:t>
      </w:r>
      <w:r>
        <w:rPr>
          <w:rStyle w:val="None"/>
          <w:i/>
          <w:iCs/>
        </w:rPr>
        <w:t xml:space="preserve">See </w:t>
      </w:r>
      <w:r w:rsidR="00452908" w:rsidRPr="00D95AC6">
        <w:rPr>
          <w:rStyle w:val="Rulereferencecharacterstyle"/>
        </w:rPr>
        <w:t>Rule R27</w:t>
      </w:r>
      <w:r w:rsidR="00452908" w:rsidRPr="00AA0453">
        <w:rPr>
          <w:rStyle w:val="None"/>
        </w:rPr>
        <w:t xml:space="preserve">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525F9317" w:rsidR="00E9398D" w:rsidRDefault="00E9398D" w:rsidP="00F51A16">
      <w:pPr>
        <w:pStyle w:val="Example"/>
        <w:ind w:left="1440"/>
        <w:rPr>
          <w:rStyle w:val="None"/>
        </w:rPr>
      </w:pPr>
      <w:r w:rsidRPr="00AA0453">
        <w:rPr>
          <w:rStyle w:val="None"/>
        </w:rPr>
        <w:t xml:space="preserve">The Second Circuit has decided </w:t>
      </w:r>
      <w:proofErr w:type="gramStart"/>
      <w:r w:rsidRPr="00AA0453">
        <w:rPr>
          <w:rStyle w:val="None"/>
        </w:rPr>
        <w:t>many</w:t>
      </w:r>
      <w:proofErr w:type="gramEnd"/>
      <w:r w:rsidRPr="00AA0453">
        <w:rPr>
          <w:rStyle w:val="None"/>
        </w:rPr>
        <w:t xml:space="preserve"> fair-use cases.</w:t>
      </w:r>
    </w:p>
    <w:p w14:paraId="379AC0E8" w14:textId="7A8E6F04" w:rsidR="001A272F" w:rsidRPr="00AA0453" w:rsidRDefault="001A272F" w:rsidP="00F51A16">
      <w:pPr>
        <w:pStyle w:val="Example"/>
        <w:ind w:left="1440"/>
      </w:pPr>
      <w:r>
        <w:rPr>
          <w:rStyle w:val="None"/>
        </w:rPr>
        <w:t xml:space="preserve">The Florida Supreme Court overruled the Fourth District Court of Appeal’s previous holding on judges’ use of Facebook. </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79C001FE" w14:textId="7A3C3D8C" w:rsidR="00CD0922" w:rsidRPr="00CD0922" w:rsidRDefault="00E9398D" w:rsidP="00D65D2A">
      <w:pPr>
        <w:pStyle w:val="Rule"/>
      </w:pPr>
      <w:r w:rsidRPr="00AA0453">
        <w:rPr>
          <w:rStyle w:val="None"/>
        </w:rPr>
        <w:t xml:space="preserve">Quotations </w:t>
      </w:r>
      <w:r w:rsidR="00D65D2A">
        <w:rPr>
          <w:rStyle w:val="None"/>
        </w:rPr>
        <w:t xml:space="preserve">of </w:t>
      </w:r>
      <w:proofErr w:type="gramStart"/>
      <w:r w:rsidR="00D65D2A">
        <w:rPr>
          <w:rStyle w:val="None"/>
        </w:rPr>
        <w:t>49</w:t>
      </w:r>
      <w:proofErr w:type="gramEnd"/>
      <w:r w:rsidR="00D65D2A">
        <w:rPr>
          <w:rStyle w:val="None"/>
        </w:rPr>
        <w:t xml:space="preserve"> words or less </w:t>
      </w:r>
      <w:r w:rsidRPr="00AA0453">
        <w:rPr>
          <w:rStyle w:val="None"/>
        </w:rPr>
        <w:t xml:space="preserve">should be designated with </w:t>
      </w:r>
      <w:r w:rsidR="00ED6A7C">
        <w:rPr>
          <w:rStyle w:val="None"/>
        </w:rPr>
        <w:t xml:space="preserve">double quotation marks that open and close the quotation. </w:t>
      </w:r>
      <w:r w:rsidR="001B5ECE">
        <w:rPr>
          <w:rStyle w:val="None"/>
        </w:rPr>
        <w:t xml:space="preserve">Do not use quotation marks around </w:t>
      </w:r>
      <w:r w:rsidRPr="00AA0453">
        <w:rPr>
          <w:rStyle w:val="None"/>
        </w:rPr>
        <w:t xml:space="preserve">block </w:t>
      </w:r>
      <w:r w:rsidRPr="00CD0922">
        <w:t>quotations</w:t>
      </w:r>
      <w:r w:rsidR="008A24E4">
        <w:t xml:space="preserve"> (</w:t>
      </w:r>
      <w:r w:rsidR="00CD0922" w:rsidRPr="00CD0922">
        <w:t xml:space="preserve">see </w:t>
      </w:r>
      <w:r w:rsidR="00CD0922" w:rsidRPr="00CD0922">
        <w:rPr>
          <w:rStyle w:val="Rulereferencecharacterstyle"/>
        </w:rPr>
        <w:t>Rule R9</w:t>
      </w:r>
      <w:r w:rsidR="00CD0922" w:rsidRPr="00CD0922">
        <w:t xml:space="preserve"> for block quotations.)</w:t>
      </w:r>
    </w:p>
    <w:p w14:paraId="14DF2C88" w14:textId="2166C194" w:rsidR="00AF2EEE" w:rsidRPr="00F34925" w:rsidRDefault="00AF2EEE" w:rsidP="00F34925">
      <w:pPr>
        <w:pStyle w:val="Example"/>
        <w:rPr>
          <w:rStyle w:val="None"/>
          <w:b/>
          <w:bCs/>
        </w:rPr>
      </w:pPr>
      <w:r w:rsidRPr="00F34925">
        <w:rPr>
          <w:rStyle w:val="None"/>
          <w:b/>
          <w:bCs/>
        </w:rPr>
        <w:t>Examples:</w:t>
      </w:r>
    </w:p>
    <w:p w14:paraId="03AC050C" w14:textId="77777777" w:rsidR="00327D63" w:rsidRPr="00F34925" w:rsidRDefault="00877AD0" w:rsidP="00F34925">
      <w:pPr>
        <w:pStyle w:val="Example"/>
      </w:pPr>
      <w:r w:rsidRPr="00F34925">
        <w:rPr>
          <w:rStyle w:val="None"/>
        </w:rPr>
        <w:t xml:space="preserve">The Court of Appeals </w:t>
      </w:r>
      <w:r w:rsidR="00885DDE" w:rsidRPr="00F34925">
        <w:rPr>
          <w:rStyle w:val="None"/>
        </w:rPr>
        <w:t xml:space="preserve">affirmed the dismissal of </w:t>
      </w:r>
      <w:r w:rsidR="00AE0BBC" w:rsidRPr="00F34925">
        <w:rPr>
          <w:rStyle w:val="None"/>
        </w:rPr>
        <w:t xml:space="preserve">a consumer-deception claim against </w:t>
      </w:r>
      <w:r w:rsidR="000C53BB" w:rsidRPr="00F34925">
        <w:rPr>
          <w:rStyle w:val="None"/>
        </w:rPr>
        <w:t>a</w:t>
      </w:r>
      <w:r w:rsidR="00AE0BBC" w:rsidRPr="00F34925">
        <w:rPr>
          <w:rStyle w:val="None"/>
        </w:rPr>
        <w:t xml:space="preserve"> legal publisher</w:t>
      </w:r>
      <w:r w:rsidR="00C34999" w:rsidRPr="00F34925">
        <w:rPr>
          <w:rStyle w:val="None"/>
        </w:rPr>
        <w:t xml:space="preserve">: </w:t>
      </w:r>
      <w:r w:rsidR="00AE0BBC" w:rsidRPr="00F34925">
        <w:rPr>
          <w:rStyle w:val="None"/>
        </w:rPr>
        <w:t>“</w:t>
      </w:r>
      <w:r w:rsidR="00C34999" w:rsidRPr="00F34925">
        <w:t>U</w:t>
      </w:r>
      <w:r w:rsidR="00AE0BBC" w:rsidRPr="00F34925">
        <w:t xml:space="preserve">nder the circumstances, plaintiffs, or any reasonable consumer, could not have been materially misled to believe that defendant guaranteed Part III of the </w:t>
      </w:r>
      <w:proofErr w:type="spellStart"/>
      <w:r w:rsidR="00AE0BBC" w:rsidRPr="00F34925">
        <w:t>Tanbook</w:t>
      </w:r>
      <w:proofErr w:type="spellEnd"/>
      <w:r w:rsidR="00AE0BBC" w:rsidRPr="00F34925">
        <w:t xml:space="preserve"> was complete and accurate at any given time.”</w:t>
      </w:r>
    </w:p>
    <w:p w14:paraId="6CEAFFBD" w14:textId="0A29E111" w:rsidR="00327D63" w:rsidRPr="00F34925" w:rsidRDefault="00327D63" w:rsidP="00F34925">
      <w:pPr>
        <w:pStyle w:val="Example"/>
        <w:rPr>
          <w:rStyle w:val="None"/>
        </w:rPr>
      </w:pPr>
      <w:r w:rsidRPr="00F34925">
        <w:t>The court ruled that “a consumer acting reasonably under the circumstances here would not have believed that defendant represented that the section at issue, containing rent control statutes and regulations, was current and accurate for its one-year shelf life.”</w:t>
      </w:r>
    </w:p>
    <w:p w14:paraId="2CD92C3D" w14:textId="77777777" w:rsidR="00AF2EEE" w:rsidRPr="00AA0453" w:rsidRDefault="00AF2EEE" w:rsidP="00AE0BBC">
      <w:pPr>
        <w:pStyle w:val="Rule"/>
        <w:ind w:left="0"/>
        <w:rPr>
          <w:rStyle w:val="None"/>
        </w:rPr>
      </w:pPr>
    </w:p>
    <w:p w14:paraId="3676F344" w14:textId="6F7BF3F0" w:rsidR="00E9398D" w:rsidRPr="00AA0453" w:rsidRDefault="00F51A16" w:rsidP="003E757A">
      <w:pPr>
        <w:pStyle w:val="Heading5"/>
        <w:rPr>
          <w:rStyle w:val="None"/>
          <w:rFonts w:ascii="Georgia" w:hAnsi="Georgia"/>
        </w:rPr>
      </w:pPr>
      <w:r w:rsidRPr="00AA0453">
        <w:rPr>
          <w:rStyle w:val="None"/>
          <w:rFonts w:ascii="Georgia" w:hAnsi="Georgia"/>
        </w:rPr>
        <w:t>R8.1.</w:t>
      </w:r>
      <w:r w:rsidR="008B4E03">
        <w:rPr>
          <w:rStyle w:val="None"/>
          <w:rFonts w:ascii="Georgia" w:hAnsi="Georgia"/>
        </w:rPr>
        <w:t>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40955DDC" w:rsidR="00124906" w:rsidRDefault="00E9398D" w:rsidP="00124906">
      <w:pPr>
        <w:pStyle w:val="Rule"/>
        <w:rPr>
          <w:rStyle w:val="None"/>
        </w:rPr>
      </w:pPr>
      <w:r w:rsidRPr="00AA0453">
        <w:rPr>
          <w:rStyle w:val="None"/>
        </w:rPr>
        <w:t xml:space="preserve">Punctuation that is part of the quoted text should appear inside the quotation marks. </w:t>
      </w:r>
      <w:r w:rsidR="00777C41">
        <w:rPr>
          <w:rStyle w:val="None"/>
        </w:rPr>
        <w:t xml:space="preserve">When the quotation </w:t>
      </w:r>
      <w:proofErr w:type="gramStart"/>
      <w:r w:rsidR="00777C41">
        <w:rPr>
          <w:rStyle w:val="None"/>
        </w:rPr>
        <w:t>is embedded</w:t>
      </w:r>
      <w:proofErr w:type="gramEnd"/>
      <w:r w:rsidR="00777C41">
        <w:rPr>
          <w:rStyle w:val="None"/>
        </w:rPr>
        <w:t xml:space="preserve"> into the sentence using a comma or a period added by the writer </w:t>
      </w:r>
      <w:r w:rsidR="00F4172D">
        <w:rPr>
          <w:rStyle w:val="None"/>
        </w:rPr>
        <w:t xml:space="preserve">at the end of the quotation, that comma or period also appears inside the quotation marks (even though it is not part of the actual </w:t>
      </w:r>
      <w:r w:rsidR="00524661">
        <w:rPr>
          <w:rStyle w:val="None"/>
        </w:rPr>
        <w:t>quoted text from the source</w:t>
      </w:r>
      <w:r w:rsidR="00F4172D">
        <w:rPr>
          <w:rStyle w:val="None"/>
        </w:rPr>
        <w:t xml:space="preserve">). Punctuation added to a quotation anywhere other than at the end of the quoted material is an alteration that should </w:t>
      </w:r>
      <w:proofErr w:type="gramStart"/>
      <w:r w:rsidR="00F4172D">
        <w:rPr>
          <w:rStyle w:val="None"/>
        </w:rPr>
        <w:t>be indicated</w:t>
      </w:r>
      <w:proofErr w:type="gramEnd"/>
      <w:r w:rsidR="00F4172D">
        <w:rPr>
          <w:rStyle w:val="None"/>
        </w:rPr>
        <w:t xml:space="preserve"> with brackets.</w:t>
      </w:r>
    </w:p>
    <w:p w14:paraId="6BD40019" w14:textId="3BEA3D63" w:rsidR="00534BA1" w:rsidRDefault="00534BA1" w:rsidP="00124906">
      <w:pPr>
        <w:pStyle w:val="Rule"/>
        <w:rPr>
          <w:rStyle w:val="None"/>
          <w:b/>
          <w:bCs/>
        </w:rPr>
      </w:pPr>
      <w:r>
        <w:rPr>
          <w:rStyle w:val="None"/>
          <w:b/>
          <w:bCs/>
        </w:rPr>
        <w:t>Examples:</w:t>
      </w:r>
    </w:p>
    <w:p w14:paraId="29F190AF" w14:textId="5EA284DC" w:rsidR="004E6C18" w:rsidRDefault="004E6C18" w:rsidP="004E6C18">
      <w:pPr>
        <w:pStyle w:val="Example"/>
        <w:rPr>
          <w:rStyle w:val="None"/>
        </w:rPr>
      </w:pPr>
      <w:r>
        <w:rPr>
          <w:rStyle w:val="None"/>
        </w:rPr>
        <w:tab/>
      </w:r>
      <w:r w:rsidRPr="00AE0BBC">
        <w:rPr>
          <w:rStyle w:val="None"/>
        </w:rPr>
        <w:t xml:space="preserve">Legal professionals are “merely a subclass of consumers.” </w:t>
      </w:r>
    </w:p>
    <w:p w14:paraId="7A52A549" w14:textId="451F8A3E" w:rsidR="00534BA1" w:rsidRPr="00AC7431" w:rsidRDefault="00885DDE" w:rsidP="00AC7431">
      <w:pPr>
        <w:pStyle w:val="Rule"/>
        <w:ind w:left="1440"/>
        <w:rPr>
          <w:rStyle w:val="None"/>
        </w:rPr>
      </w:pPr>
      <w:r>
        <w:rPr>
          <w:rStyle w:val="None"/>
        </w:rPr>
        <w:t>Given that legal professionals are “merely a subclass of consumers,” New York’s consumer deception law does apply to them.</w:t>
      </w:r>
    </w:p>
    <w:p w14:paraId="3D02131D" w14:textId="6B0F3105" w:rsidR="00E9398D" w:rsidRPr="00AA0453" w:rsidRDefault="00124906" w:rsidP="00124906">
      <w:pPr>
        <w:pStyle w:val="Heading5"/>
        <w:rPr>
          <w:rStyle w:val="None"/>
          <w:rFonts w:ascii="Georgia" w:hAnsi="Georgia"/>
        </w:rPr>
      </w:pPr>
      <w:r w:rsidRPr="00AA0453">
        <w:rPr>
          <w:rStyle w:val="None"/>
          <w:rFonts w:ascii="Georgia" w:hAnsi="Georgia"/>
        </w:rPr>
        <w:t>R8.1.</w:t>
      </w:r>
      <w:r w:rsidR="008B4E03">
        <w:rPr>
          <w:rStyle w:val="None"/>
          <w:rFonts w:ascii="Georgia" w:hAnsi="Georgia"/>
        </w:rPr>
        <w:t>3</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lacement</w:t>
      </w:r>
      <w:r w:rsidR="006A4770">
        <w:rPr>
          <w:rStyle w:val="None"/>
          <w:rFonts w:ascii="Georgia" w:hAnsi="Georgia"/>
        </w:rPr>
        <w:t xml:space="preserve"> </w:t>
      </w:r>
    </w:p>
    <w:p w14:paraId="13A40705" w14:textId="3218229C" w:rsidR="00E9398D" w:rsidRPr="00AA0453" w:rsidRDefault="00E9398D" w:rsidP="00124906">
      <w:pPr>
        <w:pStyle w:val="Rule"/>
        <w:rPr>
          <w:rStyle w:val="None"/>
        </w:rPr>
      </w:pPr>
      <w:r w:rsidRPr="00AA0453">
        <w:rPr>
          <w:rStyle w:val="None"/>
        </w:rPr>
        <w:t xml:space="preserve">Insert </w:t>
      </w:r>
      <w:r w:rsidR="006A4770">
        <w:rPr>
          <w:rStyle w:val="None"/>
        </w:rPr>
        <w:t>a</w:t>
      </w:r>
      <w:r w:rsidRPr="00AA0453">
        <w:rPr>
          <w:rStyle w:val="None"/>
        </w:rPr>
        <w:t xml:space="preserve"> citation sentence for the quoted material </w:t>
      </w:r>
      <w:r w:rsidR="008238FE">
        <w:rPr>
          <w:rStyle w:val="None"/>
        </w:rPr>
        <w:t xml:space="preserve">after the end of the sentence. Insert the citation as a clause if needed for clarity about which portion of the sentence is </w:t>
      </w:r>
      <w:r w:rsidR="006A4770">
        <w:rPr>
          <w:rStyle w:val="None"/>
        </w:rPr>
        <w:t>attributable to the source.</w:t>
      </w:r>
      <w:r w:rsidR="007B1236">
        <w:rPr>
          <w:rStyle w:val="None"/>
        </w:rPr>
        <w:t xml:space="preserve"> </w:t>
      </w:r>
      <w:r w:rsidR="00545067">
        <w:rPr>
          <w:rStyle w:val="None"/>
        </w:rPr>
        <w:t>Citations can be full citations or short citations, as appropriate to the surrounding context.</w:t>
      </w:r>
    </w:p>
    <w:p w14:paraId="0AD9FC96" w14:textId="77777777" w:rsidR="000923FD" w:rsidRPr="001B7CDE" w:rsidRDefault="00534BA1" w:rsidP="000923FD">
      <w:pPr>
        <w:pStyle w:val="ListParagraph"/>
        <w:spacing w:before="150" w:after="90"/>
        <w:ind w:left="1080"/>
        <w:rPr>
          <w:rFonts w:ascii="Georgia" w:hAnsi="Georgia"/>
          <w:b/>
          <w:bCs/>
        </w:rPr>
      </w:pPr>
      <w:r w:rsidRPr="001B7CDE">
        <w:rPr>
          <w:rFonts w:ascii="Georgia" w:hAnsi="Georgia"/>
          <w:b/>
          <w:bCs/>
        </w:rPr>
        <w:t>Examples:</w:t>
      </w:r>
    </w:p>
    <w:p w14:paraId="2957B194" w14:textId="67BBABCE" w:rsidR="00534BA1" w:rsidRPr="001B7CDE" w:rsidRDefault="00461C07" w:rsidP="001C27B4">
      <w:pPr>
        <w:pStyle w:val="Example"/>
        <w:ind w:left="1440"/>
        <w:rPr>
          <w:rStyle w:val="None"/>
        </w:rPr>
      </w:pPr>
      <w:r w:rsidRPr="001B7CDE">
        <w:t>“[A]</w:t>
      </w:r>
      <w:proofErr w:type="spellStart"/>
      <w:r w:rsidRPr="001B7CDE">
        <w:rPr>
          <w:rStyle w:val="None"/>
        </w:rPr>
        <w:t>nnotations</w:t>
      </w:r>
      <w:proofErr w:type="spellEnd"/>
      <w:r w:rsidRPr="001B7CDE">
        <w:rPr>
          <w:rStyle w:val="None"/>
        </w:rPr>
        <w:t xml:space="preserve"> published by legislators alongside the statutory text fall within the work legislators perform in their capacity as legislators.” </w:t>
      </w:r>
      <w:r w:rsidRPr="001B7CDE">
        <w:rPr>
          <w:rStyle w:val="None"/>
          <w:i/>
          <w:iCs/>
        </w:rPr>
        <w:t>Georgia v. Public.Resource.org</w:t>
      </w:r>
      <w:r w:rsidRPr="001B7CDE">
        <w:rPr>
          <w:rStyle w:val="None"/>
        </w:rPr>
        <w:t>, 140 S. Ct. 1498, 1509 (2020).</w:t>
      </w:r>
    </w:p>
    <w:p w14:paraId="25BAE936" w14:textId="62F727B6" w:rsidR="000923FD" w:rsidRPr="00306866" w:rsidRDefault="0015702B" w:rsidP="001C27B4">
      <w:pPr>
        <w:pStyle w:val="Example"/>
        <w:ind w:left="1440"/>
        <w:rPr>
          <w:rStyle w:val="None"/>
          <w:rFonts w:ascii="Times New Roman" w:hAnsi="Times New Roman"/>
        </w:rPr>
      </w:pPr>
      <w:r w:rsidRPr="001B7CDE">
        <w:rPr>
          <w:rStyle w:val="None"/>
        </w:rPr>
        <w:t xml:space="preserve">The Supreme Court overruled prior precedent about online retailing </w:t>
      </w:r>
      <w:proofErr w:type="gramStart"/>
      <w:r w:rsidRPr="001B7CDE">
        <w:rPr>
          <w:rStyle w:val="None"/>
        </w:rPr>
        <w:t>in light of</w:t>
      </w:r>
      <w:proofErr w:type="gramEnd"/>
      <w:r w:rsidR="008A24E4" w:rsidRPr="001B7CDE">
        <w:rPr>
          <w:rStyle w:val="None"/>
        </w:rPr>
        <w:t xml:space="preserve"> </w:t>
      </w:r>
      <w:r w:rsidR="00306866" w:rsidRPr="001B7CDE">
        <w:rPr>
          <w:rStyle w:val="None"/>
        </w:rPr>
        <w:t>“</w:t>
      </w:r>
      <w:r w:rsidR="00306866" w:rsidRPr="001B7CDE">
        <w:rPr>
          <w:color w:val="3D3D3D"/>
          <w:sz w:val="25"/>
          <w:szCs w:val="25"/>
          <w:shd w:val="clear" w:color="auto" w:fill="FFFFFF"/>
        </w:rPr>
        <w:t xml:space="preserve">the day-to-day functions of marketing and distribution in the modern economy,” </w:t>
      </w:r>
      <w:r w:rsidR="00306866" w:rsidRPr="001B7CDE">
        <w:rPr>
          <w:i/>
          <w:iCs/>
          <w:color w:val="3D3D3D"/>
          <w:sz w:val="25"/>
          <w:szCs w:val="25"/>
          <w:shd w:val="clear" w:color="auto" w:fill="FFFFFF"/>
        </w:rPr>
        <w:t xml:space="preserve">Wayfair </w:t>
      </w:r>
      <w:r w:rsidR="00A367EF" w:rsidRPr="001B7CDE">
        <w:rPr>
          <w:rStyle w:val="None"/>
          <w:i/>
          <w:iCs/>
        </w:rPr>
        <w:t>v. South Dakota</w:t>
      </w:r>
      <w:r w:rsidR="00A367EF" w:rsidRPr="001B7CDE">
        <w:rPr>
          <w:rStyle w:val="None"/>
        </w:rPr>
        <w:t xml:space="preserve">, </w:t>
      </w:r>
      <w:r w:rsidR="009706A7" w:rsidRPr="001B7CDE">
        <w:rPr>
          <w:rStyle w:val="None"/>
        </w:rPr>
        <w:t xml:space="preserve">138 S. Ct. 2080, 2094 (2018), </w:t>
      </w:r>
      <w:r w:rsidRPr="001B7CDE">
        <w:rPr>
          <w:rStyle w:val="None"/>
        </w:rPr>
        <w:t xml:space="preserve">but </w:t>
      </w:r>
      <w:r w:rsidR="004066DE" w:rsidRPr="001B7CDE">
        <w:rPr>
          <w:rStyle w:val="None"/>
        </w:rPr>
        <w:t xml:space="preserve">has not applied similar reasoning to </w:t>
      </w:r>
      <w:r w:rsidR="00545067" w:rsidRPr="001B7CDE">
        <w:rPr>
          <w:rStyle w:val="None"/>
        </w:rPr>
        <w:t>jettison other precedent</w:t>
      </w:r>
      <w:r w:rsidR="00545067">
        <w:rPr>
          <w:rStyle w:val="None"/>
          <w:rFonts w:ascii="Times New Roman" w:hAnsi="Times New Roman"/>
        </w:rPr>
        <w:t>.</w:t>
      </w:r>
    </w:p>
    <w:p w14:paraId="378834BA" w14:textId="77777777" w:rsidR="000F0F48" w:rsidRDefault="000F0F48" w:rsidP="00461C07">
      <w:pPr>
        <w:spacing w:before="150" w:after="90"/>
        <w:ind w:left="1080"/>
        <w:rPr>
          <w:rStyle w:val="None"/>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 xml:space="preserve">“The court dismissed the </w:t>
      </w:r>
      <w:proofErr w:type="gramStart"/>
      <w:r w:rsidRPr="00AA0453">
        <w:rPr>
          <w:rStyle w:val="None"/>
        </w:rPr>
        <w:t>claim[</w:t>
      </w:r>
      <w:proofErr w:type="gramEnd"/>
      <w:r w:rsidRPr="00AA0453">
        <w:rPr>
          <w:rStyle w:val="None"/>
        </w:rPr>
        <w:t>].”</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2503C84D" w:rsidR="00E9398D" w:rsidRPr="00AA0453" w:rsidRDefault="00E9398D" w:rsidP="003E757A">
      <w:pPr>
        <w:pStyle w:val="Rule"/>
        <w:rPr>
          <w:rStyle w:val="None"/>
          <w:rFonts w:eastAsia="Georgia" w:cs="Georgia"/>
        </w:rPr>
      </w:pPr>
      <w:r w:rsidRPr="00AA0453">
        <w:rPr>
          <w:rStyle w:val="None"/>
        </w:rPr>
        <w:t xml:space="preserve">Any substitutions into quoted material should </w:t>
      </w:r>
      <w:proofErr w:type="gramStart"/>
      <w:r w:rsidRPr="00AA0453">
        <w:rPr>
          <w:rStyle w:val="None"/>
        </w:rPr>
        <w:t>be bracketed</w:t>
      </w:r>
      <w:proofErr w:type="gramEnd"/>
      <w:r w:rsidRPr="00AA0453">
        <w:rPr>
          <w:rStyle w:val="None"/>
        </w:rPr>
        <w:t>. This includes words which might add clarity and context, and changes to the capitalization of letters</w:t>
      </w:r>
      <w:r w:rsidR="00E64DB4">
        <w:rPr>
          <w:rStyle w:val="None"/>
        </w:rPr>
        <w:t>.</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proofErr w:type="gramStart"/>
      <w:r w:rsidR="00931951" w:rsidRPr="00AA0453">
        <w:rPr>
          <w:rStyle w:val="None"/>
          <w:rFonts w:ascii="Georgia" w:hAnsi="Georgia"/>
        </w:rPr>
        <w:t>q</w:t>
      </w:r>
      <w:r w:rsidR="00E9398D" w:rsidRPr="00AA0453">
        <w:rPr>
          <w:rStyle w:val="None"/>
          <w:rFonts w:ascii="Georgia" w:hAnsi="Georgia"/>
        </w:rPr>
        <w:t>uotation</w:t>
      </w:r>
      <w:proofErr w:type="gramEnd"/>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emphasis</w:t>
      </w:r>
      <w:proofErr w:type="gramEnd"/>
      <w:r w:rsidRPr="00AA0453">
        <w:rPr>
          <w:rStyle w:val="None"/>
        </w:rPr>
        <w:t xml:space="preserve"> added)</w:t>
      </w:r>
    </w:p>
    <w:p w14:paraId="6FCDA7F7"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alteration</w:t>
      </w:r>
      <w:proofErr w:type="gramEnd"/>
      <w:r w:rsidRPr="00AA0453">
        <w:rPr>
          <w:rStyle w:val="None"/>
        </w:rPr>
        <w:t xml:space="preserve"> in original)</w:t>
      </w:r>
    </w:p>
    <w:p w14:paraId="3FB1A066"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citation</w:t>
      </w:r>
      <w:proofErr w:type="gramEnd"/>
      <w:r w:rsidRPr="00AA0453">
        <w:rPr>
          <w:rStyle w:val="None"/>
        </w:rPr>
        <w:t xml:space="preserve"> omitted)</w:t>
      </w:r>
    </w:p>
    <w:p w14:paraId="1C6331AA"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emphasis</w:t>
      </w:r>
      <w:proofErr w:type="gramEnd"/>
      <w:r w:rsidRPr="00AA0453">
        <w:rPr>
          <w:rStyle w:val="None"/>
        </w:rPr>
        <w:t xml:space="preserve"> omitted)</w:t>
      </w:r>
    </w:p>
    <w:p w14:paraId="2474FA9C"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internal</w:t>
      </w:r>
      <w:proofErr w:type="gramEnd"/>
      <w:r w:rsidRPr="00AA0453">
        <w:rPr>
          <w:rStyle w:val="None"/>
        </w:rPr>
        <w:t xml:space="preserve"> quotation marks omitted)</w:t>
      </w:r>
    </w:p>
    <w:p w14:paraId="36BF00D3"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footnote</w:t>
      </w:r>
      <w:proofErr w:type="gramEnd"/>
      <w:r w:rsidRPr="00AA0453">
        <w:rPr>
          <w:rStyle w:val="None"/>
        </w:rPr>
        <w:t xml:space="preserv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proofErr w:type="gramStart"/>
      <w:r w:rsidR="00931951" w:rsidRPr="00AA0453">
        <w:rPr>
          <w:rStyle w:val="None"/>
          <w:rFonts w:ascii="Georgia" w:hAnsi="Georgia"/>
        </w:rPr>
        <w:t>q</w:t>
      </w:r>
      <w:r w:rsidR="00E9398D" w:rsidRPr="00AA0453">
        <w:rPr>
          <w:rStyle w:val="None"/>
          <w:rFonts w:ascii="Georgia" w:hAnsi="Georgia"/>
        </w:rPr>
        <w:t>uotations</w:t>
      </w:r>
      <w:proofErr w:type="gramEnd"/>
    </w:p>
    <w:p w14:paraId="0FE68FCA" w14:textId="77777777" w:rsidR="00E9398D" w:rsidRPr="00AA0453" w:rsidRDefault="00E9398D" w:rsidP="003E757A">
      <w:pPr>
        <w:pStyle w:val="Rule"/>
        <w:rPr>
          <w:rStyle w:val="None"/>
          <w:rFonts w:eastAsia="Georgia" w:cs="Georgia"/>
        </w:rPr>
      </w:pPr>
      <w:r w:rsidRPr="00AA0453">
        <w:rPr>
          <w:rStyle w:val="None"/>
        </w:rPr>
        <w:t xml:space="preserve">When using a quotation within a quotation, you can either (1) attribute it to the original source with a parenthetical, or (2) acknowledge it by signaling that its citation has </w:t>
      </w:r>
      <w:proofErr w:type="gramStart"/>
      <w:r w:rsidRPr="00AA0453">
        <w:rPr>
          <w:rStyle w:val="None"/>
        </w:rPr>
        <w:t>been omitted</w:t>
      </w:r>
      <w:proofErr w:type="gramEnd"/>
      <w:r w:rsidRPr="00AA0453">
        <w:rPr>
          <w:rStyle w:val="None"/>
        </w:rPr>
        <w:t>.</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 xml:space="preserve">“Although the annotations </w:t>
      </w:r>
      <w:proofErr w:type="gramStart"/>
      <w:r w:rsidRPr="00AA0453">
        <w:t>are not enacted</w:t>
      </w:r>
      <w:proofErr w:type="gramEnd"/>
      <w:r w:rsidRPr="00AA0453">
        <w:t xml:space="preserve">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w:t>
      </w:r>
      <w:proofErr w:type="gramStart"/>
      <w:r w:rsidRPr="00AA0453">
        <w:rPr>
          <w:rStyle w:val="None"/>
        </w:rPr>
        <w:t>be indicated</w:t>
      </w:r>
      <w:proofErr w:type="gramEnd"/>
      <w:r w:rsidRPr="00AA0453">
        <w:rPr>
          <w:rStyle w:val="None"/>
        </w:rPr>
        <w:t xml:space="preserve"> in a parenthetical:</w:t>
      </w:r>
    </w:p>
    <w:p w14:paraId="5CA9D8E3" w14:textId="00A47721" w:rsidR="00E9398D" w:rsidRPr="00AA0453" w:rsidRDefault="00E9398D" w:rsidP="00171F69">
      <w:pPr>
        <w:pStyle w:val="Rule"/>
        <w:numPr>
          <w:ilvl w:val="0"/>
          <w:numId w:val="103"/>
        </w:numPr>
        <w:rPr>
          <w:rStyle w:val="None"/>
        </w:rPr>
      </w:pPr>
      <w:r w:rsidRPr="00AA0453">
        <w:rPr>
          <w:rStyle w:val="None"/>
        </w:rPr>
        <w:t>(</w:t>
      </w:r>
      <w:proofErr w:type="gramStart"/>
      <w:r w:rsidR="003047AA">
        <w:rPr>
          <w:rStyle w:val="None"/>
        </w:rPr>
        <w:t>e</w:t>
      </w:r>
      <w:r w:rsidRPr="00AA0453">
        <w:rPr>
          <w:rStyle w:val="None"/>
        </w:rPr>
        <w:t>mphasis</w:t>
      </w:r>
      <w:proofErr w:type="gramEnd"/>
      <w:r w:rsidRPr="00AA0453">
        <w:rPr>
          <w:rStyle w:val="None"/>
        </w:rPr>
        <w:t xml:space="preserve"> in original) </w:t>
      </w:r>
    </w:p>
    <w:p w14:paraId="7AF25507" w14:textId="77777777" w:rsidR="00E9398D" w:rsidRPr="00AA0453" w:rsidRDefault="00E9398D" w:rsidP="003E757A">
      <w:pPr>
        <w:pStyle w:val="Rule"/>
      </w:pPr>
      <w:r w:rsidRPr="00AA0453">
        <w:rPr>
          <w:rStyle w:val="None"/>
        </w:rPr>
        <w:t xml:space="preserve">No parenthetical </w:t>
      </w:r>
      <w:proofErr w:type="gramStart"/>
      <w:r w:rsidRPr="00AA0453">
        <w:rPr>
          <w:rStyle w:val="None"/>
        </w:rPr>
        <w:t>is needed</w:t>
      </w:r>
      <w:proofErr w:type="gramEnd"/>
      <w:r w:rsidRPr="00AA0453">
        <w:rPr>
          <w:rStyle w:val="None"/>
        </w:rPr>
        <w:t xml:space="preserve"> for a quotation that was copied verbatim, including italics or underlined emphasis, from the original source. </w:t>
      </w:r>
    </w:p>
    <w:p w14:paraId="3DB4E235" w14:textId="0EED78C7" w:rsidR="00E9398D" w:rsidRPr="00AA0453" w:rsidRDefault="00E9398D" w:rsidP="00171F69">
      <w:pPr>
        <w:pStyle w:val="Rule"/>
        <w:numPr>
          <w:ilvl w:val="0"/>
          <w:numId w:val="103"/>
        </w:numPr>
        <w:rPr>
          <w:rStyle w:val="None"/>
        </w:rPr>
      </w:pPr>
      <w:r w:rsidRPr="00AA0453">
        <w:rPr>
          <w:rStyle w:val="None"/>
        </w:rPr>
        <w:t>(</w:t>
      </w:r>
      <w:proofErr w:type="gramStart"/>
      <w:r w:rsidR="003047AA">
        <w:rPr>
          <w:rStyle w:val="None"/>
        </w:rPr>
        <w:t>c</w:t>
      </w:r>
      <w:r w:rsidRPr="00AA0453">
        <w:rPr>
          <w:rStyle w:val="None"/>
        </w:rPr>
        <w:t>itation</w:t>
      </w:r>
      <w:proofErr w:type="gramEnd"/>
      <w:r w:rsidRPr="00AA0453">
        <w:rPr>
          <w:rStyle w:val="None"/>
        </w:rPr>
        <w:t xml:space="preserve"> omitted) or (</w:t>
      </w:r>
      <w:r w:rsidR="003047AA">
        <w:rPr>
          <w:rStyle w:val="None"/>
        </w:rPr>
        <w:t>f</w:t>
      </w:r>
      <w:r w:rsidRPr="00AA0453">
        <w:rPr>
          <w:rStyle w:val="None"/>
        </w:rPr>
        <w:t xml:space="preserve">ootnote omitted) </w:t>
      </w:r>
    </w:p>
    <w:p w14:paraId="5F56DE0C" w14:textId="18A442FE" w:rsidR="00E9398D" w:rsidRPr="00AA0453" w:rsidRDefault="00E9398D" w:rsidP="003E757A">
      <w:pPr>
        <w:pStyle w:val="Rule"/>
      </w:pPr>
      <w:r w:rsidRPr="00AA0453">
        <w:rPr>
          <w:rStyle w:val="None"/>
        </w:rPr>
        <w:t xml:space="preserve">No parenthetical </w:t>
      </w:r>
      <w:proofErr w:type="gramStart"/>
      <w:r w:rsidRPr="00AA0453">
        <w:rPr>
          <w:rStyle w:val="None"/>
        </w:rPr>
        <w:t>is needed</w:t>
      </w:r>
      <w:proofErr w:type="gramEnd"/>
      <w:r w:rsidRPr="00AA0453">
        <w:rPr>
          <w:rStyle w:val="None"/>
        </w:rPr>
        <w:t xml:space="preserve">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w:t>
      </w:r>
      <w:proofErr w:type="gramStart"/>
      <w:r w:rsidR="007B0DB1" w:rsidRPr="00AA0453">
        <w:rPr>
          <w:rStyle w:val="None"/>
        </w:rPr>
        <w:t>be indicated</w:t>
      </w:r>
      <w:proofErr w:type="gramEnd"/>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3936588F" w:rsidR="00AA0453" w:rsidRPr="006304BA" w:rsidRDefault="00E9398D" w:rsidP="006304BA">
      <w:pPr>
        <w:pStyle w:val="Inkling"/>
        <w:rPr>
          <w:rStyle w:val="None"/>
          <w:rFonts w:cs="Times New Roman"/>
          <w:lang w:val="en-US"/>
        </w:rPr>
      </w:pPr>
      <w:r w:rsidRPr="00AA0453">
        <w:rPr>
          <w:rStyle w:val="None"/>
          <w:lang w:val="en-US"/>
        </w:rPr>
        <w:t>D</w:t>
      </w:r>
      <w:r w:rsidRPr="006304BA">
        <w:rPr>
          <w:rStyle w:val="None"/>
          <w:rFonts w:cs="Times New Roman"/>
          <w:lang w:val="en-US"/>
        </w:rPr>
        <w:t xml:space="preserve">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w:t>
      </w:r>
      <w:proofErr w:type="gramStart"/>
      <w:r w:rsidRPr="006304BA">
        <w:rPr>
          <w:rStyle w:val="None"/>
          <w:rFonts w:cs="Times New Roman"/>
          <w:lang w:val="en-US"/>
        </w:rPr>
        <w:t>handle</w:t>
      </w:r>
      <w:proofErr w:type="gramEnd"/>
      <w:r w:rsidRPr="006304BA">
        <w:rPr>
          <w:rStyle w:val="None"/>
          <w:rFonts w:cs="Times New Roman"/>
          <w:lang w:val="en-US"/>
        </w:rPr>
        <w:t xml:space="preserve"> such situations: (cleaned up). The parenthetical (cleaned up) after a quotation and citation indicates essentially that the writer has adjusted the citation’s mechanics to the situation </w:t>
      </w:r>
      <w:r w:rsidR="00CF16F8" w:rsidRPr="006304BA">
        <w:rPr>
          <w:rStyle w:val="None"/>
          <w:rFonts w:cs="Times New Roman"/>
          <w:lang w:val="en-US"/>
        </w:rPr>
        <w:t xml:space="preserve">for clarity and convenience </w:t>
      </w:r>
      <w:r w:rsidRPr="006304BA">
        <w:rPr>
          <w:rStyle w:val="None"/>
          <w:rFonts w:cs="Times New Roman"/>
          <w:lang w:val="en-US"/>
        </w:rPr>
        <w:t>and will not list and elaborate on each mechanical modification</w:t>
      </w:r>
      <w:r w:rsidR="00CF16F8">
        <w:rPr>
          <w:rStyle w:val="None"/>
          <w:rFonts w:cs="Times New Roman"/>
          <w:lang w:val="en-US"/>
        </w:rPr>
        <w:t>.</w:t>
      </w:r>
    </w:p>
    <w:p w14:paraId="021C21A8" w14:textId="77777777" w:rsidR="00FC138E" w:rsidRPr="006304BA" w:rsidRDefault="00FC138E" w:rsidP="006304BA">
      <w:pPr>
        <w:pStyle w:val="Inkling"/>
        <w:rPr>
          <w:rStyle w:val="None"/>
          <w:rFonts w:cs="Times New Roman"/>
          <w:lang w:val="en-US"/>
        </w:rPr>
      </w:pPr>
    </w:p>
    <w:p w14:paraId="6E0FD964" w14:textId="3714425A" w:rsidR="00FC4F11" w:rsidRDefault="00FC138E" w:rsidP="006304BA">
      <w:pPr>
        <w:pStyle w:val="Inkling"/>
      </w:pPr>
      <w:r w:rsidRPr="006304BA">
        <w:rPr>
          <w:rStyle w:val="None"/>
          <w:rFonts w:cs="Times New Roman"/>
          <w:lang w:val="en-US"/>
        </w:rPr>
        <w:t>The</w:t>
      </w:r>
      <w:r w:rsidR="00E9398D" w:rsidRPr="006304BA">
        <w:rPr>
          <w:rStyle w:val="None"/>
          <w:rFonts w:cs="Times New Roman"/>
          <w:lang w:val="en-US"/>
        </w:rPr>
        <w:t xml:space="preserve"> (cleaned up) parenthetical </w:t>
      </w:r>
      <w:r w:rsidRPr="006304BA">
        <w:rPr>
          <w:rStyle w:val="None"/>
          <w:rFonts w:cs="Times New Roman"/>
          <w:lang w:val="en-US"/>
        </w:rPr>
        <w:t>has not become part of the Uniform System of Citation—yet</w:t>
      </w:r>
      <w:r w:rsidR="00E9398D" w:rsidRPr="006304BA">
        <w:rPr>
          <w:rStyle w:val="None"/>
          <w:rFonts w:cs="Times New Roman"/>
          <w:lang w:val="en-US"/>
        </w:rPr>
        <w:t xml:space="preserve">. </w:t>
      </w:r>
      <w:r w:rsidRPr="006304BA">
        <w:rPr>
          <w:rStyle w:val="None"/>
          <w:rFonts w:cs="Times New Roman"/>
          <w:lang w:val="en-US"/>
        </w:rPr>
        <w:t xml:space="preserve">It has, however, </w:t>
      </w:r>
      <w:proofErr w:type="gramStart"/>
      <w:r w:rsidR="00E9398D" w:rsidRPr="006304BA">
        <w:rPr>
          <w:rStyle w:val="None"/>
          <w:rFonts w:cs="Times New Roman"/>
          <w:lang w:val="en-US"/>
        </w:rPr>
        <w:t>been used</w:t>
      </w:r>
      <w:proofErr w:type="gramEnd"/>
      <w:r w:rsidR="00E9398D" w:rsidRPr="006304BA">
        <w:rPr>
          <w:rStyle w:val="None"/>
          <w:rFonts w:cs="Times New Roman"/>
          <w:lang w:val="en-US"/>
        </w:rPr>
        <w:t xml:space="preserve"> in thousands of federal and state judicial opinions. </w:t>
      </w:r>
      <w:r w:rsidR="00E9398D" w:rsidRPr="006304BA">
        <w:rPr>
          <w:rStyle w:val="None"/>
          <w:rFonts w:cs="Times New Roman"/>
          <w:i/>
          <w:iCs/>
          <w:lang w:val="en-US"/>
        </w:rPr>
        <w:t>See</w:t>
      </w:r>
      <w:r w:rsidRPr="006304BA">
        <w:rPr>
          <w:rStyle w:val="None"/>
          <w:rFonts w:cs="Times New Roman"/>
          <w:lang w:val="en-US"/>
        </w:rPr>
        <w:t xml:space="preserve"> </w:t>
      </w:r>
      <w:r w:rsidR="00E9398D" w:rsidRPr="006304BA">
        <w:rPr>
          <w:rStyle w:val="None"/>
          <w:rFonts w:cs="Times New Roman"/>
          <w:lang w:val="en-US"/>
        </w:rPr>
        <w:t xml:space="preserve">Jack Metzler, </w:t>
      </w:r>
      <w:r w:rsidR="00E9398D" w:rsidRPr="006304BA">
        <w:rPr>
          <w:rStyle w:val="None"/>
          <w:rFonts w:cs="Times New Roman"/>
          <w:i/>
          <w:iCs/>
          <w:lang w:val="en-US"/>
        </w:rPr>
        <w:t>Cleaning Up Citations</w:t>
      </w:r>
      <w:r w:rsidR="00E9398D" w:rsidRPr="006304BA">
        <w:rPr>
          <w:rStyle w:val="None"/>
          <w:rFonts w:cs="Times New Roman"/>
          <w:lang w:val="en-US"/>
        </w:rPr>
        <w:t xml:space="preserve">, 18 J. App. </w:t>
      </w:r>
      <w:proofErr w:type="spellStart"/>
      <w:r w:rsidR="00E9398D" w:rsidRPr="006304BA">
        <w:rPr>
          <w:rStyle w:val="None"/>
          <w:rFonts w:cs="Times New Roman"/>
          <w:lang w:val="en-US"/>
        </w:rPr>
        <w:t>Prac</w:t>
      </w:r>
      <w:proofErr w:type="spellEnd"/>
      <w:r w:rsidR="00E9398D" w:rsidRPr="006304BA">
        <w:rPr>
          <w:rStyle w:val="None"/>
          <w:rFonts w:cs="Times New Roman"/>
          <w:lang w:val="en-US"/>
        </w:rPr>
        <w:t>. &amp; Process 142 (2017).</w:t>
      </w:r>
      <w:r w:rsidR="00E9398D" w:rsidRPr="006304BA">
        <w:t xml:space="preserve"> </w:t>
      </w:r>
      <w:r w:rsidR="00676E97" w:rsidRPr="006304BA">
        <w:t>A Supreme Court opinion by Justice Thomas used it for the first time there, in 2021</w:t>
      </w:r>
      <w:r w:rsidR="00283D71" w:rsidRPr="006304BA">
        <w:t xml:space="preserve">. </w:t>
      </w:r>
      <w:r w:rsidR="00283D71" w:rsidRPr="006304BA">
        <w:rPr>
          <w:i/>
          <w:iCs/>
        </w:rPr>
        <w:t>Brownback v. King</w:t>
      </w:r>
      <w:r w:rsidR="00283D71" w:rsidRPr="006304BA">
        <w:t xml:space="preserve">, </w:t>
      </w:r>
      <w:r w:rsidR="00982A89" w:rsidRPr="006304BA">
        <w:t>141 S. Ct. 740, 748 (2021)</w:t>
      </w:r>
      <w:r w:rsidR="00852B6A" w:rsidRPr="006304BA">
        <w:t>. Justice Thomas</w:t>
      </w:r>
      <w:r w:rsidR="00FC4F11" w:rsidRPr="006304BA">
        <w:t xml:space="preserve"> used the following language: </w:t>
      </w:r>
    </w:p>
    <w:p w14:paraId="21E198B0" w14:textId="77777777" w:rsidR="00E64DB4" w:rsidRPr="006304BA" w:rsidRDefault="00E64DB4" w:rsidP="006304BA">
      <w:pPr>
        <w:pStyle w:val="Inkling"/>
      </w:pPr>
    </w:p>
    <w:p w14:paraId="482B5BDF" w14:textId="71565A01" w:rsidR="006304BA" w:rsidRDefault="00E05363" w:rsidP="006304BA">
      <w:pPr>
        <w:pStyle w:val="Inkling"/>
        <w:ind w:left="720" w:right="720"/>
        <w:jc w:val="both"/>
        <w:rPr>
          <w:color w:val="3D3D3D"/>
        </w:rPr>
      </w:pPr>
      <w:r w:rsidRPr="006304BA">
        <w:rPr>
          <w:color w:val="000000"/>
        </w:rPr>
        <w:t xml:space="preserve">Under that doctrine as it existed in 1946, a judgment is “on the merits” if the underlying decision “actually passes directly on the substance of a particular claim before the court.” </w:t>
      </w:r>
      <w:r w:rsidRPr="006304BA">
        <w:rPr>
          <w:rStyle w:val="Emphasis"/>
          <w:rFonts w:cs="Times New Roman"/>
          <w:color w:val="3D3D3D"/>
          <w:bdr w:val="none" w:sz="0" w:space="0" w:color="auto" w:frame="1"/>
        </w:rPr>
        <w:t>Id.</w:t>
      </w:r>
      <w:r w:rsidRPr="006304BA">
        <w:rPr>
          <w:color w:val="000000"/>
        </w:rPr>
        <w:t>, at 501–502 (</w:t>
      </w:r>
      <w:r w:rsidRPr="006304BA">
        <w:rPr>
          <w:rStyle w:val="coconcept114"/>
          <w:rFonts w:cs="Times New Roman"/>
          <w:color w:val="000000"/>
          <w:bdr w:val="none" w:sz="0" w:space="0" w:color="auto" w:frame="1"/>
          <w:shd w:val="clear" w:color="auto" w:fill="FFFFFF"/>
        </w:rPr>
        <w:t>cleaned</w:t>
      </w:r>
      <w:r w:rsidRPr="006304BA">
        <w:rPr>
          <w:color w:val="000000"/>
        </w:rPr>
        <w:t xml:space="preserve"> </w:t>
      </w:r>
      <w:r w:rsidRPr="006304BA">
        <w:rPr>
          <w:rStyle w:val="coconcept114"/>
          <w:rFonts w:cs="Times New Roman"/>
          <w:color w:val="000000"/>
          <w:bdr w:val="none" w:sz="0" w:space="0" w:color="auto" w:frame="1"/>
          <w:shd w:val="clear" w:color="auto" w:fill="FFFFFF"/>
        </w:rPr>
        <w:t>up</w:t>
      </w:r>
      <w:r w:rsidRPr="006304BA">
        <w:rPr>
          <w:color w:val="000000"/>
        </w:rPr>
        <w:t>).</w:t>
      </w:r>
      <w:r w:rsidR="006304BA">
        <w:rPr>
          <w:color w:val="3D3D3D"/>
        </w:rPr>
        <w:t xml:space="preserve"> </w:t>
      </w:r>
    </w:p>
    <w:p w14:paraId="6905F29C" w14:textId="77777777" w:rsidR="006304BA" w:rsidRDefault="006304BA" w:rsidP="006304BA">
      <w:pPr>
        <w:pStyle w:val="Inkling"/>
        <w:rPr>
          <w:color w:val="3D3D3D"/>
        </w:rPr>
      </w:pPr>
    </w:p>
    <w:p w14:paraId="71C5B581" w14:textId="42704B4F" w:rsidR="006529AE" w:rsidRPr="006304BA" w:rsidRDefault="00E05363" w:rsidP="006304BA">
      <w:pPr>
        <w:pStyle w:val="Inkling"/>
        <w:rPr>
          <w:color w:val="000000"/>
        </w:rPr>
      </w:pPr>
      <w:r w:rsidRPr="00E53162">
        <w:rPr>
          <w:color w:val="3D3D3D"/>
          <w:bdr w:val="none" w:sz="0" w:space="0" w:color="auto" w:frame="1"/>
        </w:rPr>
        <w:t xml:space="preserve">The </w:t>
      </w:r>
      <w:r w:rsidR="00823376" w:rsidRPr="00E53162">
        <w:rPr>
          <w:color w:val="3D3D3D"/>
          <w:bdr w:val="none" w:sz="0" w:space="0" w:color="auto" w:frame="1"/>
        </w:rPr>
        <w:t>cited case is</w:t>
      </w:r>
      <w:r w:rsidR="00823376" w:rsidRPr="00E53162">
        <w:rPr>
          <w:i/>
          <w:iCs/>
          <w:color w:val="3D3D3D"/>
          <w:bdr w:val="none" w:sz="0" w:space="0" w:color="auto" w:frame="1"/>
        </w:rPr>
        <w:t xml:space="preserve"> </w:t>
      </w:r>
      <w:r w:rsidR="006529AE" w:rsidRPr="00E53162">
        <w:rPr>
          <w:rFonts w:eastAsia="Times New Roman"/>
          <w:i/>
          <w:iCs/>
          <w:color w:val="3D3D3D"/>
          <w:bdr w:val="none" w:sz="0" w:space="0" w:color="auto" w:frame="1"/>
        </w:rPr>
        <w:t>Semtek Int'l Inc. v. Lockheed Martin Corp.</w:t>
      </w:r>
      <w:r w:rsidR="006529AE" w:rsidRPr="009566D8">
        <w:rPr>
          <w:rFonts w:eastAsia="Times New Roman"/>
          <w:color w:val="000000"/>
        </w:rPr>
        <w:t>, 531 U.S. 497 (2001)</w:t>
      </w:r>
      <w:r w:rsidR="006529AE" w:rsidRPr="006304BA">
        <w:rPr>
          <w:color w:val="000000"/>
        </w:rPr>
        <w:t xml:space="preserve">, and at the page cited, the original quote </w:t>
      </w:r>
      <w:r w:rsidR="00271C5B" w:rsidRPr="006304BA">
        <w:rPr>
          <w:color w:val="000000"/>
        </w:rPr>
        <w:t xml:space="preserve">at pages 501-502 </w:t>
      </w:r>
      <w:r w:rsidR="006529AE" w:rsidRPr="006304BA">
        <w:rPr>
          <w:color w:val="000000"/>
        </w:rPr>
        <w:t>reads as follows:</w:t>
      </w:r>
    </w:p>
    <w:p w14:paraId="6E68D653" w14:textId="77777777" w:rsidR="006529AE" w:rsidRPr="006304BA" w:rsidRDefault="006529AE" w:rsidP="006304BA">
      <w:pPr>
        <w:pStyle w:val="Inkling"/>
        <w:rPr>
          <w:color w:val="000000"/>
        </w:rPr>
      </w:pPr>
    </w:p>
    <w:p w14:paraId="0DFB4D0D" w14:textId="77777777" w:rsidR="006304BA" w:rsidRDefault="00271C5B" w:rsidP="006304BA">
      <w:pPr>
        <w:pStyle w:val="Inkling"/>
        <w:ind w:left="720" w:right="720"/>
        <w:jc w:val="both"/>
        <w:rPr>
          <w:color w:val="000000"/>
        </w:rPr>
      </w:pPr>
      <w:r w:rsidRPr="006304BA">
        <w:rPr>
          <w:color w:val="000000"/>
        </w:rPr>
        <w:t xml:space="preserve">The original connotation of an “on the merits” adjudication is one that actually “pass[es] directly on the substance of [a particular] claim” before the court. Restatement § 19, Comment </w:t>
      </w:r>
      <w:r w:rsidRPr="006304BA">
        <w:rPr>
          <w:rStyle w:val="Emphasis"/>
          <w:rFonts w:cs="Times New Roman"/>
          <w:color w:val="3D3D3D"/>
          <w:bdr w:val="none" w:sz="0" w:space="0" w:color="auto" w:frame="1"/>
        </w:rPr>
        <w:t>a,</w:t>
      </w:r>
      <w:r w:rsidRPr="006304BA">
        <w:rPr>
          <w:color w:val="000000"/>
        </w:rPr>
        <w:t xml:space="preserve"> at 161.</w:t>
      </w:r>
    </w:p>
    <w:p w14:paraId="256B7A9F" w14:textId="77777777" w:rsidR="006304BA" w:rsidRDefault="006304BA" w:rsidP="006304BA">
      <w:pPr>
        <w:pStyle w:val="Inkling"/>
        <w:ind w:left="720" w:right="720"/>
        <w:jc w:val="both"/>
        <w:rPr>
          <w:color w:val="000000"/>
        </w:rPr>
      </w:pPr>
    </w:p>
    <w:p w14:paraId="35345869" w14:textId="0982DF25" w:rsidR="00271C5B" w:rsidRPr="006304BA" w:rsidRDefault="00271C5B" w:rsidP="006304BA">
      <w:pPr>
        <w:pStyle w:val="Inkling"/>
        <w:rPr>
          <w:color w:val="000000"/>
        </w:rPr>
      </w:pPr>
      <w:r w:rsidRPr="006304BA">
        <w:rPr>
          <w:color w:val="3D3D3D"/>
          <w:bdr w:val="none" w:sz="0" w:space="0" w:color="auto" w:frame="1"/>
        </w:rPr>
        <w:t xml:space="preserve">Thus, Justice Thomas’s use of (cleaned up) </w:t>
      </w:r>
      <w:r w:rsidR="00D05E28" w:rsidRPr="006304BA">
        <w:rPr>
          <w:color w:val="3D3D3D"/>
          <w:bdr w:val="none" w:sz="0" w:space="0" w:color="auto" w:frame="1"/>
        </w:rPr>
        <w:t>indicated that the quoted material contained additional unnecessary mechanics</w:t>
      </w:r>
      <w:r w:rsidR="006612DB">
        <w:rPr>
          <w:color w:val="3D3D3D"/>
          <w:bdr w:val="none" w:sz="0" w:space="0" w:color="auto" w:frame="1"/>
        </w:rPr>
        <w:t xml:space="preserve">. In the original material from </w:t>
      </w:r>
      <w:r w:rsidR="006612DB" w:rsidRPr="006612DB">
        <w:rPr>
          <w:i/>
          <w:iCs/>
          <w:color w:val="3D3D3D"/>
          <w:bdr w:val="none" w:sz="0" w:space="0" w:color="auto" w:frame="1"/>
        </w:rPr>
        <w:t>Semtek</w:t>
      </w:r>
      <w:r w:rsidR="006612DB" w:rsidRPr="006612DB">
        <w:rPr>
          <w:color w:val="3D3D3D"/>
          <w:bdr w:val="none" w:sz="0" w:space="0" w:color="auto" w:frame="1"/>
        </w:rPr>
        <w:t>, t</w:t>
      </w:r>
      <w:r w:rsidR="00D05E28" w:rsidRPr="006612DB">
        <w:rPr>
          <w:color w:val="3D3D3D"/>
          <w:bdr w:val="none" w:sz="0" w:space="0" w:color="auto" w:frame="1"/>
        </w:rPr>
        <w:t xml:space="preserve">hose </w:t>
      </w:r>
      <w:r w:rsidR="00D05E28" w:rsidRPr="006304BA">
        <w:rPr>
          <w:color w:val="3D3D3D"/>
          <w:bdr w:val="none" w:sz="0" w:space="0" w:color="auto" w:frame="1"/>
        </w:rPr>
        <w:t xml:space="preserve">mechanics </w:t>
      </w:r>
      <w:r w:rsidR="00520177">
        <w:rPr>
          <w:color w:val="3D3D3D"/>
          <w:bdr w:val="none" w:sz="0" w:space="0" w:color="auto" w:frame="1"/>
        </w:rPr>
        <w:t>included</w:t>
      </w:r>
      <w:r w:rsidR="00D05E28" w:rsidRPr="006304BA">
        <w:rPr>
          <w:color w:val="3D3D3D"/>
          <w:bdr w:val="none" w:sz="0" w:space="0" w:color="auto" w:frame="1"/>
        </w:rPr>
        <w:t xml:space="preserve"> various segmented quotations</w:t>
      </w:r>
      <w:r w:rsidR="00520177">
        <w:rPr>
          <w:color w:val="3D3D3D"/>
          <w:bdr w:val="none" w:sz="0" w:space="0" w:color="auto" w:frame="1"/>
        </w:rPr>
        <w:t xml:space="preserve">, </w:t>
      </w:r>
      <w:r w:rsidR="00D05E28" w:rsidRPr="006304BA">
        <w:rPr>
          <w:color w:val="3D3D3D"/>
          <w:bdr w:val="none" w:sz="0" w:space="0" w:color="auto" w:frame="1"/>
        </w:rPr>
        <w:t>bracke</w:t>
      </w:r>
      <w:r w:rsidR="00BC0BC7" w:rsidRPr="006304BA">
        <w:rPr>
          <w:color w:val="3D3D3D"/>
          <w:bdr w:val="none" w:sz="0" w:space="0" w:color="auto" w:frame="1"/>
        </w:rPr>
        <w:t>te</w:t>
      </w:r>
      <w:r w:rsidR="00D05E28" w:rsidRPr="006304BA">
        <w:rPr>
          <w:color w:val="3D3D3D"/>
          <w:bdr w:val="none" w:sz="0" w:space="0" w:color="auto" w:frame="1"/>
        </w:rPr>
        <w:t xml:space="preserve">d </w:t>
      </w:r>
      <w:r w:rsidR="00BC0BC7" w:rsidRPr="006304BA">
        <w:rPr>
          <w:color w:val="3D3D3D"/>
          <w:bdr w:val="none" w:sz="0" w:space="0" w:color="auto" w:frame="1"/>
        </w:rPr>
        <w:t>alterations,</w:t>
      </w:r>
      <w:r w:rsidR="00D05E28" w:rsidRPr="006304BA">
        <w:rPr>
          <w:color w:val="3D3D3D"/>
          <w:bdr w:val="none" w:sz="0" w:space="0" w:color="auto" w:frame="1"/>
        </w:rPr>
        <w:t xml:space="preserve"> </w:t>
      </w:r>
      <w:r w:rsidR="00520177">
        <w:rPr>
          <w:color w:val="3D3D3D"/>
          <w:bdr w:val="none" w:sz="0" w:space="0" w:color="auto" w:frame="1"/>
        </w:rPr>
        <w:t>and a citation to the</w:t>
      </w:r>
      <w:r w:rsidR="00D05E28" w:rsidRPr="006304BA">
        <w:rPr>
          <w:color w:val="3D3D3D"/>
          <w:bdr w:val="none" w:sz="0" w:space="0" w:color="auto" w:frame="1"/>
        </w:rPr>
        <w:t xml:space="preserve"> Restatement </w:t>
      </w:r>
      <w:r w:rsidR="00A73B00" w:rsidRPr="006304BA">
        <w:rPr>
          <w:color w:val="3D3D3D"/>
          <w:bdr w:val="none" w:sz="0" w:space="0" w:color="auto" w:frame="1"/>
        </w:rPr>
        <w:t>(Second) of Judgments (198</w:t>
      </w:r>
      <w:r w:rsidR="00BC0BC7" w:rsidRPr="006304BA">
        <w:rPr>
          <w:color w:val="3D3D3D"/>
          <w:bdr w:val="none" w:sz="0" w:space="0" w:color="auto" w:frame="1"/>
        </w:rPr>
        <w:t>0).</w:t>
      </w:r>
      <w:r w:rsidR="00D05E28" w:rsidRPr="006304BA">
        <w:rPr>
          <w:color w:val="3D3D3D"/>
          <w:bdr w:val="none" w:sz="0" w:space="0" w:color="auto" w:frame="1"/>
        </w:rPr>
        <w:t xml:space="preserve"> </w:t>
      </w:r>
    </w:p>
    <w:p w14:paraId="7EB6EE4C" w14:textId="1AFE5B53" w:rsidR="00E05363" w:rsidRPr="006304BA" w:rsidRDefault="00E05363" w:rsidP="006304BA">
      <w:pPr>
        <w:pStyle w:val="Inkling"/>
        <w:rPr>
          <w:i/>
          <w:iCs/>
          <w:color w:val="000000"/>
        </w:rPr>
      </w:pPr>
    </w:p>
    <w:p w14:paraId="094C5913" w14:textId="129CF37F" w:rsidR="00E9398D" w:rsidRPr="006304BA" w:rsidRDefault="00FC138E" w:rsidP="006304BA">
      <w:pPr>
        <w:pStyle w:val="Inkling"/>
        <w:rPr>
          <w:rStyle w:val="None"/>
          <w:rFonts w:cs="Times New Roman"/>
          <w:lang w:val="en-US"/>
        </w:rPr>
      </w:pPr>
      <w:r w:rsidRPr="006304BA">
        <w:rPr>
          <w:rStyle w:val="None"/>
          <w:rFonts w:cs="Times New Roman"/>
          <w:lang w:val="en-US"/>
        </w:rPr>
        <w:t>The (cleaned up) approach</w:t>
      </w:r>
      <w:r w:rsidR="00E9398D" w:rsidRPr="006304BA">
        <w:rPr>
          <w:rStyle w:val="None"/>
          <w:rFonts w:cs="Times New Roman"/>
          <w:lang w:val="en-US"/>
        </w:rPr>
        <w:t xml:space="preserve"> is not without its critics, though, who argue that transparently meticulous care with quotations enhances the writer’s credibility and does not unduly distract readers</w:t>
      </w:r>
      <w:r w:rsidRPr="006304BA">
        <w:rPr>
          <w:rStyle w:val="None"/>
          <w:rFonts w:cs="Times New Roman"/>
          <w:lang w:val="en-US"/>
        </w:rPr>
        <w:t>.</w:t>
      </w:r>
      <w:r w:rsidR="00F55224" w:rsidRPr="006304BA">
        <w:rPr>
          <w:rStyle w:val="None"/>
          <w:rFonts w:cs="Times New Roman"/>
          <w:lang w:val="en-US"/>
        </w:rPr>
        <w:t xml:space="preserve"> Writers will </w:t>
      </w:r>
      <w:r w:rsidR="00DC1022" w:rsidRPr="006304BA">
        <w:rPr>
          <w:rStyle w:val="None"/>
          <w:rFonts w:cs="Times New Roman"/>
          <w:lang w:val="en-US"/>
        </w:rPr>
        <w:t xml:space="preserve">need to make individual decisions whether to consider (cleaned up), depending on their role and their audience. </w:t>
      </w:r>
      <w:r w:rsidR="006304BA">
        <w:rPr>
          <w:rStyle w:val="None"/>
          <w:rFonts w:cs="Times New Roman"/>
          <w:i/>
          <w:iCs/>
          <w:lang w:val="en-US"/>
        </w:rPr>
        <w:t>See</w:t>
      </w:r>
      <w:r w:rsidR="000832F1">
        <w:rPr>
          <w:rStyle w:val="None"/>
          <w:rFonts w:cs="Times New Roman"/>
          <w:i/>
          <w:iCs/>
          <w:lang w:val="en-US"/>
        </w:rPr>
        <w:t>, e.g.</w:t>
      </w:r>
      <w:r w:rsidR="000832F1">
        <w:rPr>
          <w:rStyle w:val="None"/>
          <w:rFonts w:cs="Times New Roman"/>
          <w:lang w:val="en-US"/>
        </w:rPr>
        <w:t xml:space="preserve">, Shams Hirji, </w:t>
      </w:r>
      <w:r w:rsidR="000832F1" w:rsidRPr="000832F1">
        <w:rPr>
          <w:rStyle w:val="None"/>
          <w:rFonts w:cs="Times New Roman"/>
          <w:i/>
          <w:iCs/>
          <w:lang w:val="en-US"/>
        </w:rPr>
        <w:t xml:space="preserve">A Brief History </w:t>
      </w:r>
      <w:r w:rsidR="00AD1118">
        <w:rPr>
          <w:rStyle w:val="None"/>
          <w:rFonts w:cs="Times New Roman"/>
          <w:i/>
          <w:iCs/>
          <w:lang w:val="en-US"/>
        </w:rPr>
        <w:t>and Status of</w:t>
      </w:r>
      <w:r w:rsidR="000832F1" w:rsidRPr="000832F1">
        <w:rPr>
          <w:rStyle w:val="None"/>
          <w:rFonts w:cs="Times New Roman"/>
          <w:i/>
          <w:iCs/>
          <w:lang w:val="en-US"/>
        </w:rPr>
        <w:t xml:space="preserve"> (Cleaned Up) </w:t>
      </w:r>
      <w:r w:rsidR="00AD1118">
        <w:rPr>
          <w:rStyle w:val="None"/>
          <w:rFonts w:cs="Times New Roman"/>
          <w:i/>
          <w:iCs/>
          <w:lang w:val="en-US"/>
        </w:rPr>
        <w:t>in</w:t>
      </w:r>
      <w:r w:rsidR="000832F1" w:rsidRPr="000832F1">
        <w:rPr>
          <w:rStyle w:val="None"/>
          <w:rFonts w:cs="Times New Roman"/>
          <w:i/>
          <w:iCs/>
          <w:lang w:val="en-US"/>
        </w:rPr>
        <w:t xml:space="preserve"> the Sixth Circuit</w:t>
      </w:r>
      <w:r w:rsidR="000832F1">
        <w:rPr>
          <w:rStyle w:val="None"/>
          <w:rFonts w:cs="Times New Roman"/>
          <w:lang w:val="en-US"/>
        </w:rPr>
        <w:t xml:space="preserve">, Sixth Circuit Appellate Blog (December 19, 2022), </w:t>
      </w:r>
      <w:hyperlink r:id="rId12" w:history="1">
        <w:r w:rsidR="000832F1" w:rsidRPr="00925B14">
          <w:rPr>
            <w:rStyle w:val="Hyperlink"/>
            <w:rFonts w:cs="Times New Roman"/>
            <w:lang w:val="en-US"/>
          </w:rPr>
          <w:t>https://www.sixthcircuitappellateblog.com/uncategorized/a-brief-history-and-status-of-cleaned-up-in-the-sixth-circuit/</w:t>
        </w:r>
      </w:hyperlink>
      <w:r w:rsidR="000832F1">
        <w:rPr>
          <w:rStyle w:val="None"/>
          <w:rFonts w:cs="Times New Roman"/>
          <w:lang w:val="en-US"/>
        </w:rPr>
        <w:t xml:space="preserve"> </w:t>
      </w:r>
      <w:r w:rsidR="00AD1118">
        <w:rPr>
          <w:rStyle w:val="None"/>
          <w:rFonts w:cs="Times New Roman"/>
          <w:lang w:val="en-US"/>
        </w:rPr>
        <w:t>B</w:t>
      </w:r>
      <w:r w:rsidR="00785D9F">
        <w:rPr>
          <w:rStyle w:val="None"/>
          <w:rFonts w:cs="Times New Roman"/>
          <w:lang w:val="en-US"/>
        </w:rPr>
        <w:t>ut b</w:t>
      </w:r>
      <w:r w:rsidR="00AD1118">
        <w:rPr>
          <w:rStyle w:val="None"/>
          <w:rFonts w:cs="Times New Roman"/>
          <w:lang w:val="en-US"/>
        </w:rPr>
        <w:t>roadly, the</w:t>
      </w:r>
      <w:r w:rsidR="00DC1022" w:rsidRPr="006304BA">
        <w:rPr>
          <w:rStyle w:val="None"/>
          <w:rFonts w:cs="Times New Roman"/>
          <w:lang w:val="en-US"/>
        </w:rPr>
        <w:t xml:space="preserve"> (cleaned up) </w:t>
      </w:r>
      <w:r w:rsidR="00F55224" w:rsidRPr="006304BA">
        <w:rPr>
          <w:rStyle w:val="None"/>
          <w:rFonts w:cs="Times New Roman"/>
          <w:lang w:val="en-US"/>
        </w:rPr>
        <w:t>parenthetical provides</w:t>
      </w:r>
      <w:r w:rsidR="005A5A45" w:rsidRPr="006304BA">
        <w:rPr>
          <w:rStyle w:val="None"/>
          <w:rFonts w:cs="Times New Roman"/>
          <w:lang w:val="en-US"/>
        </w:rPr>
        <w:t xml:space="preserve"> yet more evidence that</w:t>
      </w:r>
      <w:r w:rsidR="00E9398D" w:rsidRPr="006304BA">
        <w:rPr>
          <w:rStyle w:val="None"/>
          <w:rFonts w:cs="Times New Roman"/>
          <w:lang w:val="en-US"/>
        </w:rPr>
        <w:t xml:space="preserve"> legal ci</w:t>
      </w:r>
      <w:r w:rsidR="0031765E" w:rsidRPr="006304BA">
        <w:rPr>
          <w:rStyle w:val="None"/>
          <w:rFonts w:cs="Times New Roman"/>
          <w:lang w:val="en-US"/>
        </w:rPr>
        <w:t xml:space="preserve">tation </w:t>
      </w:r>
      <w:r w:rsidR="00785D9F">
        <w:rPr>
          <w:rStyle w:val="None"/>
          <w:rFonts w:cs="Times New Roman"/>
          <w:lang w:val="en-US"/>
        </w:rPr>
        <w:t>evolves</w:t>
      </w:r>
      <w:r w:rsidR="008360E9" w:rsidRPr="006304BA">
        <w:rPr>
          <w:rStyle w:val="None"/>
          <w:rFonts w:cs="Times New Roman"/>
          <w:lang w:val="en-US"/>
        </w:rPr>
        <w:t xml:space="preserve"> not </w:t>
      </w:r>
      <w:r w:rsidR="00785D9F">
        <w:rPr>
          <w:rStyle w:val="None"/>
          <w:rFonts w:cs="Times New Roman"/>
          <w:lang w:val="en-US"/>
        </w:rPr>
        <w:t>only</w:t>
      </w:r>
      <w:r w:rsidR="008360E9" w:rsidRPr="006304BA">
        <w:rPr>
          <w:rStyle w:val="None"/>
          <w:rFonts w:cs="Times New Roman"/>
          <w:lang w:val="en-US"/>
        </w:rPr>
        <w:t xml:space="preserve"> through the </w:t>
      </w:r>
      <w:r w:rsidR="001000B5" w:rsidRPr="006304BA">
        <w:rPr>
          <w:rStyle w:val="None"/>
          <w:rFonts w:cs="Times New Roman"/>
          <w:lang w:val="en-US"/>
        </w:rPr>
        <w:t xml:space="preserve">periodic publication of citation </w:t>
      </w:r>
      <w:r w:rsidR="008360E9" w:rsidRPr="006304BA">
        <w:rPr>
          <w:rStyle w:val="None"/>
          <w:rFonts w:cs="Times New Roman"/>
          <w:lang w:val="en-US"/>
        </w:rPr>
        <w:t>rule</w:t>
      </w:r>
      <w:r w:rsidR="00B6015D" w:rsidRPr="006304BA">
        <w:rPr>
          <w:rStyle w:val="None"/>
          <w:rFonts w:cs="Times New Roman"/>
          <w:lang w:val="en-US"/>
        </w:rPr>
        <w:t>s</w:t>
      </w:r>
      <w:r w:rsidR="00785D9F">
        <w:rPr>
          <w:rStyle w:val="None"/>
          <w:rFonts w:cs="Times New Roman"/>
          <w:lang w:val="en-US"/>
        </w:rPr>
        <w:t>,</w:t>
      </w:r>
      <w:r w:rsidR="00B6015D" w:rsidRPr="006304BA">
        <w:rPr>
          <w:rStyle w:val="None"/>
          <w:rFonts w:cs="Times New Roman"/>
          <w:lang w:val="en-US"/>
        </w:rPr>
        <w:t xml:space="preserve"> but </w:t>
      </w:r>
      <w:r w:rsidR="00785D9F">
        <w:rPr>
          <w:rStyle w:val="None"/>
          <w:rFonts w:cs="Times New Roman"/>
          <w:lang w:val="en-US"/>
        </w:rPr>
        <w:t xml:space="preserve">also </w:t>
      </w:r>
      <w:r w:rsidR="00B6015D" w:rsidRPr="006304BA">
        <w:rPr>
          <w:rStyle w:val="None"/>
          <w:rFonts w:cs="Times New Roman"/>
          <w:lang w:val="en-US"/>
        </w:rPr>
        <w:t xml:space="preserve">through practice and dialogue </w:t>
      </w:r>
      <w:r w:rsidR="0078655F" w:rsidRPr="006304BA">
        <w:rPr>
          <w:rStyle w:val="None"/>
          <w:rFonts w:cs="Times New Roman"/>
          <w:lang w:val="en-US"/>
        </w:rPr>
        <w:t>with</w:t>
      </w:r>
      <w:r w:rsidR="00B6015D" w:rsidRPr="006304BA">
        <w:rPr>
          <w:rStyle w:val="None"/>
          <w:rFonts w:cs="Times New Roman"/>
          <w:lang w:val="en-US"/>
        </w:rPr>
        <w:t>in the legal community.</w:t>
      </w:r>
      <w:r w:rsidR="008360E9" w:rsidRPr="006304BA">
        <w:rPr>
          <w:rStyle w:val="None"/>
          <w:rFonts w:cs="Times New Roman"/>
          <w:lang w:val="en-US"/>
        </w:rPr>
        <w:t xml:space="preserve"> </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 xml:space="preserve">An omission </w:t>
      </w:r>
      <w:proofErr w:type="gramStart"/>
      <w:r w:rsidRPr="00AA0453">
        <w:rPr>
          <w:rStyle w:val="None"/>
        </w:rPr>
        <w:t>is</w:t>
      </w:r>
      <w:r w:rsidR="00E9398D" w:rsidRPr="00AA0453">
        <w:rPr>
          <w:rStyle w:val="None"/>
        </w:rPr>
        <w:t xml:space="preserve"> indicated</w:t>
      </w:r>
      <w:proofErr w:type="gramEnd"/>
      <w:r w:rsidR="00E9398D" w:rsidRPr="00AA0453">
        <w:rPr>
          <w:rStyle w:val="None"/>
        </w:rPr>
        <w:t xml:space="preserve">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w:t>
      </w:r>
      <w:proofErr w:type="gramStart"/>
      <w:r w:rsidRPr="00AA0453">
        <w:rPr>
          <w:rStyle w:val="None"/>
        </w:rPr>
        <w:t>is represented</w:t>
      </w:r>
      <w:proofErr w:type="gramEnd"/>
      <w:r w:rsidRPr="00AA0453">
        <w:rPr>
          <w:rStyle w:val="None"/>
        </w:rPr>
        <w:t xml:space="preserve">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w:t>
      </w:r>
      <w:proofErr w:type="gramStart"/>
      <w:r w:rsidRPr="00AA0453">
        <w:rPr>
          <w:rStyle w:val="None"/>
        </w:rPr>
        <w:t xml:space="preserve">.  </w:t>
      </w:r>
      <w:proofErr w:type="gramEnd"/>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 xml:space="preserve">Exxon Mobil Corp. v. </w:t>
      </w:r>
      <w:proofErr w:type="spellStart"/>
      <w:r w:rsidRPr="00AA0453">
        <w:rPr>
          <w:rStyle w:val="None"/>
          <w:rFonts w:ascii="Georgia" w:hAnsi="Georgia"/>
          <w:i/>
          <w:iCs/>
          <w:lang w:val="en-US"/>
        </w:rPr>
        <w:t>Allapattah</w:t>
      </w:r>
      <w:proofErr w:type="spellEnd"/>
      <w:r w:rsidRPr="00AA0453">
        <w:rPr>
          <w:rStyle w:val="None"/>
          <w:rFonts w:ascii="Georgia" w:hAnsi="Georgia"/>
          <w:i/>
          <w:iCs/>
          <w:lang w:val="en-US"/>
        </w:rPr>
        <w:t xml:space="preserve">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 xml:space="preserve"> [T]he </w:t>
      </w:r>
      <w:proofErr w:type="gramStart"/>
      <w:r w:rsidRPr="00AA0453">
        <w:rPr>
          <w:rStyle w:val="None"/>
        </w:rPr>
        <w:t>red</w:t>
      </w:r>
      <w:proofErr w:type="gramEnd"/>
      <w:r w:rsidRPr="00AA0453">
        <w:rPr>
          <w:rStyle w:val="None"/>
        </w:rPr>
        <w:t xml:space="preserve">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1538427C" w:rsidR="00E9398D" w:rsidRPr="00AA0453" w:rsidRDefault="00E9398D" w:rsidP="003E757A">
      <w:pPr>
        <w:pStyle w:val="Rule"/>
      </w:pPr>
      <w:r w:rsidRPr="00AA0453">
        <w:t>When omitting a footnote or citation from quoted material, do not insert an ellips</w:t>
      </w:r>
      <w:r w:rsidR="00531553" w:rsidRPr="00AA0453">
        <w:t>i</w:t>
      </w:r>
      <w:r w:rsidRPr="00AA0453">
        <w:t>s</w:t>
      </w:r>
      <w:r w:rsidR="00913D36">
        <w:t>. D</w:t>
      </w:r>
      <w:r w:rsidRPr="00AA0453">
        <w:t xml:space="preserve">o insert a parenthetical indicating the omission immediately after the citation to the quoted source. </w:t>
      </w:r>
      <w:r w:rsidRPr="00AA0453">
        <w:rPr>
          <w:i/>
          <w:iCs/>
        </w:rPr>
        <w:t>See</w:t>
      </w:r>
      <w:r w:rsidRPr="00AA0453">
        <w:t xml:space="preserve"> </w:t>
      </w:r>
      <w:r w:rsidRPr="00641CF8">
        <w:rPr>
          <w:rStyle w:val="Rulereferencecharacterstyle"/>
        </w:rPr>
        <w:t xml:space="preserve">Rule </w:t>
      </w:r>
      <w:r w:rsidR="00FC138E" w:rsidRPr="00641CF8">
        <w:rPr>
          <w:rStyle w:val="Rulereferencecharacterstyle"/>
        </w:rPr>
        <w:t>R</w:t>
      </w:r>
      <w:r w:rsidR="00A971DD" w:rsidRPr="00641CF8">
        <w:rPr>
          <w:rStyle w:val="Rulereferencecharacterstyle"/>
        </w:rPr>
        <w:t>8.2.6</w:t>
      </w:r>
      <w:r w:rsidR="00A971DD" w:rsidRPr="00AA0453">
        <w:t>.</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proofErr w:type="gramStart"/>
      <w:r w:rsidR="00E255D8" w:rsidRPr="00AA0453">
        <w:rPr>
          <w:rStyle w:val="None"/>
          <w:rFonts w:ascii="Georgia" w:hAnsi="Georgia"/>
        </w:rPr>
        <w:t>m</w:t>
      </w:r>
      <w:r w:rsidR="00E9398D" w:rsidRPr="00AA0453">
        <w:rPr>
          <w:rStyle w:val="None"/>
          <w:rFonts w:ascii="Georgia" w:hAnsi="Georgia"/>
        </w:rPr>
        <w:t>aterial</w:t>
      </w:r>
      <w:proofErr w:type="gramEnd"/>
      <w:r w:rsidR="00E9398D" w:rsidRPr="00AA0453">
        <w:rPr>
          <w:rStyle w:val="None"/>
          <w:rFonts w:ascii="Georgia" w:hAnsi="Georgia"/>
        </w:rPr>
        <w:t xml:space="preserve">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w:t>
      </w:r>
      <w:proofErr w:type="gramStart"/>
      <w:r w:rsidRPr="00AA0453">
        <w:rPr>
          <w:rStyle w:val="None"/>
          <w:lang w:val="en-US"/>
        </w:rPr>
        <w:t>is traditionally made</w:t>
      </w:r>
      <w:proofErr w:type="gramEnd"/>
      <w:r w:rsidRPr="00AA0453">
        <w:rPr>
          <w:rStyle w:val="None"/>
          <w:lang w:val="en-US"/>
        </w:rPr>
        <w:t xml:space="preserve"> with four spaces and three periods . . . but computers have keyboard shortcuts to produce an ellipsis that constitutes one single character. For example, option-semicolon on an Apple keyboard produces … as its ellipsis shortcut</w:t>
      </w:r>
      <w:proofErr w:type="gramStart"/>
      <w:r w:rsidRPr="00AA0453">
        <w:rPr>
          <w:rStyle w:val="None"/>
          <w:lang w:val="en-US"/>
        </w:rPr>
        <w:t xml:space="preserve">.  </w:t>
      </w:r>
      <w:proofErr w:type="gramEnd"/>
      <w:r w:rsidRPr="00AA0453">
        <w:rPr>
          <w:rStyle w:val="None"/>
          <w:lang w:val="en-US"/>
        </w:rPr>
        <w:t xml:space="preserve">While the ellipsis shortcut character </w:t>
      </w:r>
      <w:proofErr w:type="gramStart"/>
      <w:r w:rsidRPr="00AA0453">
        <w:rPr>
          <w:rStyle w:val="None"/>
          <w:lang w:val="en-US"/>
        </w:rPr>
        <w:t>is not officially sanctioned</w:t>
      </w:r>
      <w:proofErr w:type="gramEnd"/>
      <w:r w:rsidRPr="00AA0453">
        <w:rPr>
          <w:rStyle w:val="None"/>
          <w:lang w:val="en-US"/>
        </w:rPr>
        <w:t xml:space="preserve">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 xml:space="preserve">This unspaced citation may look incorrect to </w:t>
      </w:r>
      <w:proofErr w:type="gramStart"/>
      <w:r w:rsidRPr="00AA0453">
        <w:rPr>
          <w:rStyle w:val="None"/>
          <w:lang w:val="en-US"/>
        </w:rPr>
        <w:t>many</w:t>
      </w:r>
      <w:proofErr w:type="gramEnd"/>
      <w:r w:rsidRPr="00AA0453">
        <w:rPr>
          <w:rStyle w:val="None"/>
          <w:lang w:val="en-US"/>
        </w:rPr>
        <w:t xml:space="preserve">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573A4798"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 xml:space="preserve">Basic </w:t>
      </w:r>
      <w:r w:rsidR="00A24DA4">
        <w:rPr>
          <w:rStyle w:val="None"/>
          <w:rFonts w:ascii="Georgia" w:hAnsi="Georgia"/>
          <w:b/>
          <w:bCs/>
        </w:rPr>
        <w:t>F</w:t>
      </w:r>
      <w:r w:rsidR="00E9398D" w:rsidRPr="00AA0453">
        <w:rPr>
          <w:rStyle w:val="None"/>
          <w:rFonts w:ascii="Georgia" w:hAnsi="Georgia"/>
          <w:b/>
          <w:bCs/>
        </w:rPr>
        <w:t xml:space="preserve">orm of a </w:t>
      </w:r>
      <w:r w:rsidR="00A24DA4">
        <w:rPr>
          <w:rStyle w:val="None"/>
          <w:rFonts w:ascii="Georgia" w:hAnsi="Georgia"/>
          <w:b/>
          <w:bCs/>
        </w:rPr>
        <w:t>B</w:t>
      </w:r>
      <w:r w:rsidR="00E9398D" w:rsidRPr="00AA0453">
        <w:rPr>
          <w:rStyle w:val="None"/>
          <w:rFonts w:ascii="Georgia" w:hAnsi="Georgia"/>
          <w:b/>
          <w:bCs/>
        </w:rPr>
        <w:t xml:space="preserve">lock </w:t>
      </w:r>
      <w:r w:rsidR="00A24DA4">
        <w:rPr>
          <w:rStyle w:val="None"/>
          <w:rFonts w:ascii="Georgia" w:hAnsi="Georgia"/>
          <w:b/>
          <w:bCs/>
        </w:rPr>
        <w:t>Q</w:t>
      </w:r>
      <w:r w:rsidR="00E9398D" w:rsidRPr="00AA0453">
        <w:rPr>
          <w:rStyle w:val="None"/>
          <w:rFonts w:ascii="Georgia" w:hAnsi="Georgia"/>
          <w:b/>
          <w:bCs/>
        </w:rPr>
        <w:t>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503ECC">
      <w:pPr>
        <w:pStyle w:val="Example"/>
        <w:tabs>
          <w:tab w:val="clear" w:pos="1440"/>
          <w:tab w:val="left" w:pos="2160"/>
        </w:tabs>
        <w:ind w:left="2160" w:right="2022"/>
        <w:jc w:val="both"/>
      </w:pPr>
      <w:r w:rsidRPr="00AA0453">
        <w:t xml:space="preserve">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w:t>
      </w:r>
      <w:proofErr w:type="gramStart"/>
      <w:r w:rsidRPr="00AA0453">
        <w:t>be assured</w:t>
      </w:r>
      <w:proofErr w:type="gramEnd"/>
      <w:r w:rsidRPr="00AA0453">
        <w:t xml:space="preserve">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171F69">
      <w:pPr>
        <w:pStyle w:val="Rule"/>
        <w:numPr>
          <w:ilvl w:val="0"/>
          <w:numId w:val="103"/>
        </w:numPr>
      </w:pPr>
      <w:r w:rsidRPr="00AA0453">
        <w:rPr>
          <w:rStyle w:val="None"/>
        </w:rPr>
        <w:t>Block quotations are single spaced.</w:t>
      </w:r>
    </w:p>
    <w:p w14:paraId="3AE810C5" w14:textId="77777777" w:rsidR="00C66C6E" w:rsidRPr="00AA0453" w:rsidRDefault="00E9398D" w:rsidP="00171F69">
      <w:pPr>
        <w:pStyle w:val="Rule"/>
        <w:numPr>
          <w:ilvl w:val="0"/>
          <w:numId w:val="103"/>
        </w:numPr>
      </w:pPr>
      <w:r w:rsidRPr="00AA0453">
        <w:rPr>
          <w:rStyle w:val="None"/>
        </w:rPr>
        <w:t xml:space="preserve">Include a single line space after the block </w:t>
      </w:r>
      <w:proofErr w:type="gramStart"/>
      <w:r w:rsidRPr="00AA0453">
        <w:rPr>
          <w:rStyle w:val="None"/>
        </w:rPr>
        <w:t>quotation, and</w:t>
      </w:r>
      <w:proofErr w:type="gramEnd"/>
      <w:r w:rsidRPr="00AA0453">
        <w:rPr>
          <w:rStyle w:val="None"/>
        </w:rPr>
        <w:t xml:space="preserve"> resume the spacing convention in the surrounding document text.</w:t>
      </w:r>
    </w:p>
    <w:p w14:paraId="01489011" w14:textId="77777777" w:rsidR="00C66C6E" w:rsidRPr="00AA0453" w:rsidRDefault="00E9398D" w:rsidP="00171F69">
      <w:pPr>
        <w:pStyle w:val="Rule"/>
        <w:numPr>
          <w:ilvl w:val="0"/>
          <w:numId w:val="103"/>
        </w:numPr>
      </w:pPr>
      <w:r w:rsidRPr="00AA0453">
        <w:rPr>
          <w:rStyle w:val="None"/>
        </w:rPr>
        <w:t>Indent both left and right.</w:t>
      </w:r>
    </w:p>
    <w:p w14:paraId="6B5E9B1B" w14:textId="77777777" w:rsidR="00C66C6E" w:rsidRPr="00AA0453" w:rsidRDefault="00E9398D" w:rsidP="00171F69">
      <w:pPr>
        <w:pStyle w:val="Rule"/>
        <w:numPr>
          <w:ilvl w:val="0"/>
          <w:numId w:val="103"/>
        </w:numPr>
      </w:pPr>
      <w:r w:rsidRPr="00AA0453">
        <w:rPr>
          <w:rStyle w:val="None"/>
        </w:rPr>
        <w:t xml:space="preserve">Block quotations should </w:t>
      </w:r>
      <w:proofErr w:type="gramStart"/>
      <w:r w:rsidRPr="00AA0453">
        <w:rPr>
          <w:rStyle w:val="None"/>
        </w:rPr>
        <w:t>be formatted</w:t>
      </w:r>
      <w:proofErr w:type="gramEnd"/>
      <w:r w:rsidRPr="00AA0453">
        <w:rPr>
          <w:rStyle w:val="None"/>
        </w:rPr>
        <w:t xml:space="preserve"> with “full justification.” The right and left margins of the block quotation </w:t>
      </w:r>
      <w:proofErr w:type="gramStart"/>
      <w:r w:rsidRPr="00AA0453">
        <w:rPr>
          <w:rStyle w:val="None"/>
        </w:rPr>
        <w:t>are fully justified</w:t>
      </w:r>
      <w:proofErr w:type="gramEnd"/>
      <w:r w:rsidRPr="00AA0453">
        <w:rPr>
          <w:rStyle w:val="None"/>
        </w:rPr>
        <w:t>, meaning aligned on the left margin and on the right margin. The aligned left and right margins give the block quotation its appearance as a rectangular “block” of text on the page.</w:t>
      </w:r>
    </w:p>
    <w:p w14:paraId="312FBE2A" w14:textId="11F14C0F" w:rsidR="00C66C6E" w:rsidRPr="00AA0453" w:rsidRDefault="00E9398D" w:rsidP="00171F69">
      <w:pPr>
        <w:pStyle w:val="Rule"/>
        <w:numPr>
          <w:ilvl w:val="0"/>
          <w:numId w:val="103"/>
        </w:numPr>
      </w:pPr>
      <w:r w:rsidRPr="00AA0453">
        <w:rPr>
          <w:rStyle w:val="None"/>
        </w:rPr>
        <w:t>Do not use quotation marks surrounding the block quotation.</w:t>
      </w:r>
      <w:r w:rsidR="00900A21">
        <w:rPr>
          <w:rStyle w:val="None"/>
        </w:rPr>
        <w:t xml:space="preserve"> The block format itself indicates that the material is a quotation, and quotation marks around a block would be redundant. (Exception: Use</w:t>
      </w:r>
      <w:r w:rsidR="00900A21" w:rsidRPr="00AA0453">
        <w:rPr>
          <w:rStyle w:val="None"/>
        </w:rPr>
        <w:t xml:space="preserve"> quotation marks if the entire block quotation is itself a quotation within the source being </w:t>
      </w:r>
      <w:proofErr w:type="gramStart"/>
      <w:r w:rsidR="00900A21" w:rsidRPr="00AA0453">
        <w:rPr>
          <w:rStyle w:val="None"/>
        </w:rPr>
        <w:t>quoted, and</w:t>
      </w:r>
      <w:proofErr w:type="gramEnd"/>
      <w:r w:rsidR="00900A21" w:rsidRPr="00AA0453">
        <w:rPr>
          <w:rStyle w:val="None"/>
        </w:rPr>
        <w:t xml:space="preserve"> indicate the </w:t>
      </w:r>
      <w:r w:rsidR="00900A21">
        <w:rPr>
          <w:rStyle w:val="None"/>
        </w:rPr>
        <w:t>internal quotation and source</w:t>
      </w:r>
      <w:r w:rsidR="00900A21" w:rsidRPr="00AA0453">
        <w:rPr>
          <w:rStyle w:val="None"/>
        </w:rPr>
        <w:t xml:space="preserve"> parenthetically after the block.</w:t>
      </w:r>
      <w:r w:rsidR="00900A21">
        <w:rPr>
          <w:rStyle w:val="None"/>
        </w:rPr>
        <w:t>)</w:t>
      </w:r>
      <w:r w:rsidR="00C66C6E" w:rsidRPr="00AA0453">
        <w:rPr>
          <w:rStyle w:val="None"/>
        </w:rPr>
        <w:t xml:space="preserve"> </w:t>
      </w:r>
    </w:p>
    <w:p w14:paraId="28F612A7" w14:textId="04CFC299" w:rsidR="00C66C6E" w:rsidRPr="00AA0453" w:rsidRDefault="001948C8" w:rsidP="00171F69">
      <w:pPr>
        <w:pStyle w:val="Rule"/>
        <w:numPr>
          <w:ilvl w:val="0"/>
          <w:numId w:val="103"/>
        </w:numPr>
      </w:pPr>
      <w:r>
        <w:rPr>
          <w:rStyle w:val="None"/>
        </w:rPr>
        <w:t>In general, internal</w:t>
      </w:r>
      <w:r w:rsidR="00E9398D" w:rsidRPr="00AA0453">
        <w:rPr>
          <w:rStyle w:val="None"/>
        </w:rPr>
        <w:t> quotation marks should appear as in the original</w:t>
      </w:r>
      <w:proofErr w:type="gramStart"/>
      <w:r w:rsidR="00E9398D" w:rsidRPr="00AA0453">
        <w:rPr>
          <w:rStyle w:val="None"/>
        </w:rPr>
        <w:t>.</w:t>
      </w:r>
      <w:r w:rsidR="00D85501">
        <w:rPr>
          <w:rStyle w:val="None"/>
        </w:rPr>
        <w:t xml:space="preserve"> </w:t>
      </w:r>
      <w:r w:rsidR="00C66C6E" w:rsidRPr="00AA0453">
        <w:rPr>
          <w:rStyle w:val="None"/>
        </w:rPr>
        <w:t xml:space="preserve"> </w:t>
      </w:r>
      <w:proofErr w:type="gramEnd"/>
    </w:p>
    <w:p w14:paraId="1E12E0BA" w14:textId="6B827178" w:rsidR="00E9398D" w:rsidRPr="00AA0453" w:rsidRDefault="00E9398D" w:rsidP="00171F69">
      <w:pPr>
        <w:pStyle w:val="Rule"/>
        <w:numPr>
          <w:ilvl w:val="0"/>
          <w:numId w:val="103"/>
        </w:numPr>
        <w:rPr>
          <w:rStyle w:val="None"/>
        </w:rPr>
      </w:pPr>
      <w:r w:rsidRPr="00AA0453">
        <w:rPr>
          <w:rStyle w:val="None"/>
        </w:rPr>
        <w:t xml:space="preserve">The citation following a block quotation should start at the line’s left margin, without any indentation. This citation can be a full citation or a short citation, as the circumstances dictate. It should include a </w:t>
      </w:r>
      <w:proofErr w:type="spellStart"/>
      <w:r w:rsidRPr="00AA0453">
        <w:rPr>
          <w:rStyle w:val="None"/>
        </w:rPr>
        <w:t>pincite</w:t>
      </w:r>
      <w:proofErr w:type="spellEnd"/>
      <w:r w:rsidRPr="00AA0453">
        <w:rPr>
          <w:rStyle w:val="None"/>
        </w:rPr>
        <w:t xml:space="preserve"> to the page or pages where the quoted material </w:t>
      </w:r>
      <w:proofErr w:type="gramStart"/>
      <w:r w:rsidRPr="00AA0453">
        <w:rPr>
          <w:rStyle w:val="None"/>
        </w:rPr>
        <w:t>is found</w:t>
      </w:r>
      <w:proofErr w:type="gramEnd"/>
      <w:r w:rsidRPr="00AA0453">
        <w:rPr>
          <w:rStyle w:val="None"/>
        </w:rPr>
        <w:t>.</w:t>
      </w:r>
    </w:p>
    <w:p w14:paraId="0647EA4E" w14:textId="77777777" w:rsidR="00C66C6E" w:rsidRPr="00AA0453" w:rsidRDefault="00C66C6E" w:rsidP="00C66C6E">
      <w:pPr>
        <w:pStyle w:val="Rule"/>
        <w:ind w:left="1560"/>
        <w:rPr>
          <w:rStyle w:val="None"/>
        </w:rPr>
      </w:pPr>
    </w:p>
    <w:p w14:paraId="5543FF42" w14:textId="70FF9105"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 xml:space="preserve">R10 </w:t>
      </w:r>
      <w:r w:rsidR="00900A21">
        <w:rPr>
          <w:rStyle w:val="None"/>
          <w:rFonts w:ascii="Georgia" w:hAnsi="Georgia"/>
          <w:b/>
          <w:bCs/>
        </w:rPr>
        <w:tab/>
      </w:r>
      <w:r w:rsidRPr="00AA0453">
        <w:rPr>
          <w:rStyle w:val="None"/>
          <w:rFonts w:ascii="Georgia" w:hAnsi="Georgia"/>
          <w:b/>
          <w:bCs/>
        </w:rPr>
        <w:t>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 xml:space="preserve">articiple such as (holding </w:t>
      </w:r>
      <w:proofErr w:type="gramStart"/>
      <w:r w:rsidR="00AC6336" w:rsidRPr="00AA0453">
        <w:rPr>
          <w:rStyle w:val="None"/>
        </w:rPr>
        <w:t>. . . )</w:t>
      </w:r>
      <w:proofErr w:type="gramEnd"/>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 xml:space="preserve">parody of O.J. Simpson murder trial was substantially </w:t>
      </w:r>
      <w:proofErr w:type="gramStart"/>
      <w:r w:rsidRPr="00AA0453">
        <w:rPr>
          <w:rStyle w:val="None"/>
        </w:rPr>
        <w:t>similar to</w:t>
      </w:r>
      <w:proofErr w:type="gramEnd"/>
      <w:r w:rsidRPr="00AA0453">
        <w:rPr>
          <w:rStyle w:val="None"/>
        </w:rPr>
        <w:t xml:space="preserve">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 xml:space="preserve">Ty, Inc. v. </w:t>
      </w:r>
      <w:proofErr w:type="spellStart"/>
      <w:r w:rsidRPr="00AA0453">
        <w:rPr>
          <w:rStyle w:val="None"/>
          <w:i/>
          <w:iCs/>
        </w:rPr>
        <w:t>Publ’ns</w:t>
      </w:r>
      <w:proofErr w:type="spellEnd"/>
      <w:r w:rsidRPr="00AA0453">
        <w:rPr>
          <w:rStyle w:val="None"/>
          <w:i/>
          <w:iCs/>
        </w:rPr>
        <w:t xml:space="preserve">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proofErr w:type="gramStart"/>
      <w:r w:rsidRPr="00AA0453">
        <w:rPr>
          <w:rStyle w:val="None"/>
        </w:rPr>
        <w:t>Some</w:t>
      </w:r>
      <w:proofErr w:type="gramEnd"/>
      <w:r w:rsidRPr="00AA0453">
        <w:rPr>
          <w:rStyle w:val="None"/>
        </w:rPr>
        <w:t xml:space="preserv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w:t>
      </w:r>
      <w:proofErr w:type="spellStart"/>
      <w:r w:rsidRPr="00AA0453">
        <w:rPr>
          <w:rStyle w:val="None"/>
        </w:rPr>
        <w:t>curiam</w:t>
      </w:r>
      <w:proofErr w:type="spellEnd"/>
      <w:r w:rsidRPr="00AA0453">
        <w:rPr>
          <w:rStyle w:val="None"/>
        </w:rPr>
        <w:t>) or (</w:t>
      </w:r>
      <w:proofErr w:type="spellStart"/>
      <w:r w:rsidRPr="00AA0453">
        <w:rPr>
          <w:rStyle w:val="None"/>
        </w:rPr>
        <w:t>en</w:t>
      </w:r>
      <w:proofErr w:type="spellEnd"/>
      <w:r w:rsidRPr="00AA0453">
        <w:rPr>
          <w:rStyle w:val="None"/>
        </w:rPr>
        <w:t xml:space="preserve">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w:t>
      </w:r>
      <w:proofErr w:type="gramStart"/>
      <w:r w:rsidRPr="00AA0453">
        <w:rPr>
          <w:rStyle w:val="None"/>
        </w:rPr>
        <w:t>are followed</w:t>
      </w:r>
      <w:proofErr w:type="gramEnd"/>
      <w:r w:rsidRPr="00AA0453">
        <w:rPr>
          <w:rStyle w:val="None"/>
        </w:rPr>
        <w:t xml:space="preserve">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w:t>
      </w:r>
      <w:r w:rsidR="00FC138E" w:rsidRPr="00104DAB">
        <w:rPr>
          <w:rStyle w:val="Rulereferencecharacterstyle"/>
        </w:rPr>
        <w:t>Rule R14</w:t>
      </w:r>
      <w:r w:rsidR="00FC138E">
        <w:rPr>
          <w:rStyle w:val="None"/>
        </w:rPr>
        <w:t xml:space="preserve">)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w:t>
      </w:r>
      <w:proofErr w:type="spellStart"/>
      <w:r w:rsidRPr="00AA0453">
        <w:rPr>
          <w:rStyle w:val="None"/>
          <w:rFonts w:ascii="Georgia" w:hAnsi="Georgia"/>
        </w:rPr>
        <w:t>en</w:t>
      </w:r>
      <w:proofErr w:type="spellEnd"/>
      <w:r w:rsidRPr="00AA0453">
        <w:rPr>
          <w:rStyle w:val="None"/>
          <w:rFonts w:ascii="Georgia" w:hAnsi="Georgia"/>
        </w:rPr>
        <w:t xml:space="preserve"> banc) (</w:t>
      </w:r>
      <w:r w:rsidRPr="00AA0453">
        <w:rPr>
          <w:rStyle w:val="None"/>
          <w:rFonts w:ascii="Monaco" w:hAnsi="Monaco"/>
          <w:color w:val="4B0082"/>
          <w:u w:color="4B0082"/>
        </w:rPr>
        <w:t>&lt;</w:t>
      </w:r>
      <w:proofErr w:type="spellStart"/>
      <w:r w:rsidRPr="00AA0453">
        <w:rPr>
          <w:rStyle w:val="None"/>
          <w:rFonts w:ascii="Monaco" w:hAnsi="Monaco"/>
          <w:color w:val="4B0082"/>
          <w:u w:color="4B0082"/>
        </w:rPr>
        <w:t>Lastname</w:t>
      </w:r>
      <w:proofErr w:type="spellEnd"/>
      <w:r w:rsidRPr="00AA0453">
        <w:rPr>
          <w:rStyle w:val="None"/>
          <w:rFonts w:ascii="Monaco" w:hAnsi="Monaco"/>
          <w:color w:val="4B0082"/>
          <w:u w:color="4B0082"/>
        </w:rPr>
        <w:t>, J.&gt;</w:t>
      </w:r>
      <w:r w:rsidRPr="00AA0453">
        <w:rPr>
          <w:rStyle w:val="None"/>
          <w:rFonts w:ascii="Georgia" w:hAnsi="Georgia"/>
        </w:rPr>
        <w:t xml:space="preserve">, concurring) (plurality opinion) (per </w:t>
      </w:r>
      <w:proofErr w:type="spellStart"/>
      <w:r w:rsidRPr="00AA0453">
        <w:rPr>
          <w:rStyle w:val="None"/>
          <w:rFonts w:ascii="Georgia" w:hAnsi="Georgia"/>
        </w:rPr>
        <w:t>curiam</w:t>
      </w:r>
      <w:proofErr w:type="spellEnd"/>
      <w:r w:rsidRPr="00AA0453">
        <w:rPr>
          <w:rStyle w:val="None"/>
          <w:rFonts w:ascii="Georgia" w:hAnsi="Georgia"/>
        </w:rPr>
        <w:t>)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5DB9" w14:textId="77777777" w:rsidR="003525CA" w:rsidRDefault="003525CA" w:rsidP="00FA58FE">
      <w:r>
        <w:separator/>
      </w:r>
    </w:p>
  </w:endnote>
  <w:endnote w:type="continuationSeparator" w:id="0">
    <w:p w14:paraId="1161AFCC" w14:textId="77777777" w:rsidR="003525CA" w:rsidRDefault="003525CA"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94AE" w14:textId="77777777" w:rsidR="003525CA" w:rsidRDefault="003525CA" w:rsidP="00FA58FE">
      <w:r>
        <w:separator/>
      </w:r>
    </w:p>
  </w:footnote>
  <w:footnote w:type="continuationSeparator" w:id="0">
    <w:p w14:paraId="26CA0E4B" w14:textId="77777777" w:rsidR="003525CA" w:rsidRDefault="003525CA"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CC85A1A"/>
    <w:multiLevelType w:val="hybridMultilevel"/>
    <w:tmpl w:val="D16EFA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5"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6FC3BCA"/>
    <w:multiLevelType w:val="hybridMultilevel"/>
    <w:tmpl w:val="4EDCD174"/>
    <w:numStyleLink w:val="ImportedStyle3"/>
  </w:abstractNum>
  <w:abstractNum w:abstractNumId="75"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67FF744B"/>
    <w:multiLevelType w:val="hybridMultilevel"/>
    <w:tmpl w:val="49049F9E"/>
    <w:lvl w:ilvl="0" w:tplc="8892C3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5985450">
    <w:abstractNumId w:val="99"/>
  </w:num>
  <w:num w:numId="2" w16cid:durableId="701784407">
    <w:abstractNumId w:val="52"/>
  </w:num>
  <w:num w:numId="3" w16cid:durableId="1216549453">
    <w:abstractNumId w:val="29"/>
  </w:num>
  <w:num w:numId="4" w16cid:durableId="322897950">
    <w:abstractNumId w:val="74"/>
  </w:num>
  <w:num w:numId="5" w16cid:durableId="151996392">
    <w:abstractNumId w:val="36"/>
  </w:num>
  <w:num w:numId="6" w16cid:durableId="847408342">
    <w:abstractNumId w:val="34"/>
  </w:num>
  <w:num w:numId="7" w16cid:durableId="1971662671">
    <w:abstractNumId w:val="19"/>
  </w:num>
  <w:num w:numId="8" w16cid:durableId="1082800302">
    <w:abstractNumId w:val="51"/>
  </w:num>
  <w:num w:numId="9" w16cid:durableId="380448129">
    <w:abstractNumId w:val="89"/>
  </w:num>
  <w:num w:numId="10" w16cid:durableId="1556694505">
    <w:abstractNumId w:val="90"/>
  </w:num>
  <w:num w:numId="11" w16cid:durableId="1518352465">
    <w:abstractNumId w:val="82"/>
  </w:num>
  <w:num w:numId="12" w16cid:durableId="2086142902">
    <w:abstractNumId w:val="4"/>
  </w:num>
  <w:num w:numId="13" w16cid:durableId="222721944">
    <w:abstractNumId w:val="12"/>
  </w:num>
  <w:num w:numId="14" w16cid:durableId="1999796881">
    <w:abstractNumId w:val="22"/>
  </w:num>
  <w:num w:numId="15" w16cid:durableId="1284194725">
    <w:abstractNumId w:val="98"/>
  </w:num>
  <w:num w:numId="16" w16cid:durableId="926158343">
    <w:abstractNumId w:val="87"/>
  </w:num>
  <w:num w:numId="17" w16cid:durableId="1592884746">
    <w:abstractNumId w:val="39"/>
  </w:num>
  <w:num w:numId="18" w16cid:durableId="1578788871">
    <w:abstractNumId w:val="75"/>
  </w:num>
  <w:num w:numId="19" w16cid:durableId="1300652481">
    <w:abstractNumId w:val="1"/>
  </w:num>
  <w:num w:numId="20" w16cid:durableId="1719627896">
    <w:abstractNumId w:val="23"/>
  </w:num>
  <w:num w:numId="21" w16cid:durableId="1121723792">
    <w:abstractNumId w:val="61"/>
  </w:num>
  <w:num w:numId="22" w16cid:durableId="950742248">
    <w:abstractNumId w:val="35"/>
  </w:num>
  <w:num w:numId="23" w16cid:durableId="456069644">
    <w:abstractNumId w:val="50"/>
  </w:num>
  <w:num w:numId="24" w16cid:durableId="706609514">
    <w:abstractNumId w:val="62"/>
  </w:num>
  <w:num w:numId="25" w16cid:durableId="738482803">
    <w:abstractNumId w:val="83"/>
  </w:num>
  <w:num w:numId="26" w16cid:durableId="498423138">
    <w:abstractNumId w:val="91"/>
  </w:num>
  <w:num w:numId="27" w16cid:durableId="677463671">
    <w:abstractNumId w:val="21"/>
  </w:num>
  <w:num w:numId="28" w16cid:durableId="1921253851">
    <w:abstractNumId w:val="3"/>
  </w:num>
  <w:num w:numId="29" w16cid:durableId="537162988">
    <w:abstractNumId w:val="46"/>
  </w:num>
  <w:num w:numId="30" w16cid:durableId="1241600867">
    <w:abstractNumId w:val="85"/>
  </w:num>
  <w:num w:numId="31" w16cid:durableId="1360934127">
    <w:abstractNumId w:val="9"/>
  </w:num>
  <w:num w:numId="32" w16cid:durableId="1730688869">
    <w:abstractNumId w:val="77"/>
  </w:num>
  <w:num w:numId="33" w16cid:durableId="2017880967">
    <w:abstractNumId w:val="84"/>
  </w:num>
  <w:num w:numId="34" w16cid:durableId="1604338459">
    <w:abstractNumId w:val="40"/>
  </w:num>
  <w:num w:numId="35" w16cid:durableId="196086463">
    <w:abstractNumId w:val="0"/>
  </w:num>
  <w:num w:numId="36" w16cid:durableId="1509253952">
    <w:abstractNumId w:val="57"/>
  </w:num>
  <w:num w:numId="37" w16cid:durableId="93523052">
    <w:abstractNumId w:val="45"/>
  </w:num>
  <w:num w:numId="38" w16cid:durableId="469128320">
    <w:abstractNumId w:val="97"/>
  </w:num>
  <w:num w:numId="39" w16cid:durableId="81337064">
    <w:abstractNumId w:val="48"/>
  </w:num>
  <w:num w:numId="40" w16cid:durableId="166287718">
    <w:abstractNumId w:val="5"/>
  </w:num>
  <w:num w:numId="41" w16cid:durableId="451680013">
    <w:abstractNumId w:val="49"/>
  </w:num>
  <w:num w:numId="42" w16cid:durableId="1315253890">
    <w:abstractNumId w:val="79"/>
  </w:num>
  <w:num w:numId="43" w16cid:durableId="395397657">
    <w:abstractNumId w:val="66"/>
  </w:num>
  <w:num w:numId="44" w16cid:durableId="1811627086">
    <w:abstractNumId w:val="103"/>
  </w:num>
  <w:num w:numId="45" w16cid:durableId="1022979794">
    <w:abstractNumId w:val="31"/>
  </w:num>
  <w:num w:numId="46" w16cid:durableId="861747417">
    <w:abstractNumId w:val="55"/>
  </w:num>
  <w:num w:numId="47" w16cid:durableId="1361860312">
    <w:abstractNumId w:val="38"/>
  </w:num>
  <w:num w:numId="48" w16cid:durableId="55249150">
    <w:abstractNumId w:val="20"/>
  </w:num>
  <w:num w:numId="49" w16cid:durableId="616956098">
    <w:abstractNumId w:val="16"/>
  </w:num>
  <w:num w:numId="50" w16cid:durableId="1703701933">
    <w:abstractNumId w:val="81"/>
  </w:num>
  <w:num w:numId="51" w16cid:durableId="1920551789">
    <w:abstractNumId w:val="68"/>
  </w:num>
  <w:num w:numId="52" w16cid:durableId="1961107694">
    <w:abstractNumId w:val="100"/>
  </w:num>
  <w:num w:numId="53" w16cid:durableId="448088226">
    <w:abstractNumId w:val="73"/>
  </w:num>
  <w:num w:numId="54" w16cid:durableId="1925065436">
    <w:abstractNumId w:val="41"/>
  </w:num>
  <w:num w:numId="55" w16cid:durableId="757598685">
    <w:abstractNumId w:val="14"/>
  </w:num>
  <w:num w:numId="56" w16cid:durableId="1968004251">
    <w:abstractNumId w:val="26"/>
  </w:num>
  <w:num w:numId="57" w16cid:durableId="706494871">
    <w:abstractNumId w:val="94"/>
  </w:num>
  <w:num w:numId="58" w16cid:durableId="634876290">
    <w:abstractNumId w:val="32"/>
  </w:num>
  <w:num w:numId="59" w16cid:durableId="1838689426">
    <w:abstractNumId w:val="33"/>
  </w:num>
  <w:num w:numId="60" w16cid:durableId="802382230">
    <w:abstractNumId w:val="70"/>
  </w:num>
  <w:num w:numId="61" w16cid:durableId="515382731">
    <w:abstractNumId w:val="10"/>
  </w:num>
  <w:num w:numId="62" w16cid:durableId="793134722">
    <w:abstractNumId w:val="95"/>
  </w:num>
  <w:num w:numId="63" w16cid:durableId="1340160243">
    <w:abstractNumId w:val="13"/>
  </w:num>
  <w:num w:numId="64" w16cid:durableId="603852484">
    <w:abstractNumId w:val="63"/>
  </w:num>
  <w:num w:numId="65" w16cid:durableId="1559365864">
    <w:abstractNumId w:val="101"/>
  </w:num>
  <w:num w:numId="66" w16cid:durableId="795879452">
    <w:abstractNumId w:val="7"/>
  </w:num>
  <w:num w:numId="67" w16cid:durableId="233439804">
    <w:abstractNumId w:val="53"/>
  </w:num>
  <w:num w:numId="68" w16cid:durableId="331109562">
    <w:abstractNumId w:val="76"/>
  </w:num>
  <w:num w:numId="69" w16cid:durableId="648091760">
    <w:abstractNumId w:val="71"/>
  </w:num>
  <w:num w:numId="70" w16cid:durableId="622729558">
    <w:abstractNumId w:val="80"/>
  </w:num>
  <w:num w:numId="71" w16cid:durableId="1997414699">
    <w:abstractNumId w:val="56"/>
  </w:num>
  <w:num w:numId="72" w16cid:durableId="247813474">
    <w:abstractNumId w:val="37"/>
  </w:num>
  <w:num w:numId="73" w16cid:durableId="363822734">
    <w:abstractNumId w:val="58"/>
  </w:num>
  <w:num w:numId="74" w16cid:durableId="2016224455">
    <w:abstractNumId w:val="11"/>
  </w:num>
  <w:num w:numId="75" w16cid:durableId="1587498437">
    <w:abstractNumId w:val="28"/>
  </w:num>
  <w:num w:numId="76" w16cid:durableId="1247954493">
    <w:abstractNumId w:val="93"/>
  </w:num>
  <w:num w:numId="77" w16cid:durableId="130905027">
    <w:abstractNumId w:val="30"/>
  </w:num>
  <w:num w:numId="78" w16cid:durableId="487287623">
    <w:abstractNumId w:val="96"/>
  </w:num>
  <w:num w:numId="79" w16cid:durableId="1181747923">
    <w:abstractNumId w:val="88"/>
  </w:num>
  <w:num w:numId="80" w16cid:durableId="47190460">
    <w:abstractNumId w:val="78"/>
  </w:num>
  <w:num w:numId="81" w16cid:durableId="582643515">
    <w:abstractNumId w:val="67"/>
  </w:num>
  <w:num w:numId="82" w16cid:durableId="87039798">
    <w:abstractNumId w:val="59"/>
  </w:num>
  <w:num w:numId="83" w16cid:durableId="805582696">
    <w:abstractNumId w:val="60"/>
  </w:num>
  <w:num w:numId="84" w16cid:durableId="176507457">
    <w:abstractNumId w:val="24"/>
  </w:num>
  <w:num w:numId="85" w16cid:durableId="1666712115">
    <w:abstractNumId w:val="8"/>
  </w:num>
  <w:num w:numId="86" w16cid:durableId="1237519900">
    <w:abstractNumId w:val="92"/>
  </w:num>
  <w:num w:numId="87" w16cid:durableId="1777018025">
    <w:abstractNumId w:val="69"/>
  </w:num>
  <w:num w:numId="88" w16cid:durableId="1311641799">
    <w:abstractNumId w:val="15"/>
  </w:num>
  <w:num w:numId="89" w16cid:durableId="2092852031">
    <w:abstractNumId w:val="54"/>
  </w:num>
  <w:num w:numId="90" w16cid:durableId="1407537025">
    <w:abstractNumId w:val="17"/>
  </w:num>
  <w:num w:numId="91" w16cid:durableId="1663855025">
    <w:abstractNumId w:val="25"/>
  </w:num>
  <w:num w:numId="92" w16cid:durableId="767384000">
    <w:abstractNumId w:val="104"/>
  </w:num>
  <w:num w:numId="93" w16cid:durableId="1857453563">
    <w:abstractNumId w:val="43"/>
  </w:num>
  <w:num w:numId="94" w16cid:durableId="910509412">
    <w:abstractNumId w:val="65"/>
  </w:num>
  <w:num w:numId="95" w16cid:durableId="2131317088">
    <w:abstractNumId w:val="44"/>
  </w:num>
  <w:num w:numId="96" w16cid:durableId="689798568">
    <w:abstractNumId w:val="72"/>
  </w:num>
  <w:num w:numId="97" w16cid:durableId="1596749926">
    <w:abstractNumId w:val="47"/>
  </w:num>
  <w:num w:numId="98" w16cid:durableId="975599914">
    <w:abstractNumId w:val="18"/>
  </w:num>
  <w:num w:numId="99" w16cid:durableId="576093612">
    <w:abstractNumId w:val="102"/>
  </w:num>
  <w:num w:numId="100" w16cid:durableId="316422635">
    <w:abstractNumId w:val="6"/>
  </w:num>
  <w:num w:numId="101" w16cid:durableId="1300765700">
    <w:abstractNumId w:val="27"/>
  </w:num>
  <w:num w:numId="102" w16cid:durableId="1933737277">
    <w:abstractNumId w:val="42"/>
  </w:num>
  <w:num w:numId="103" w16cid:durableId="654723414">
    <w:abstractNumId w:val="2"/>
  </w:num>
  <w:num w:numId="104" w16cid:durableId="566037193">
    <w:abstractNumId w:val="86"/>
  </w:num>
  <w:num w:numId="105" w16cid:durableId="1077628829">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98D"/>
    <w:rsid w:val="00004508"/>
    <w:rsid w:val="0001645D"/>
    <w:rsid w:val="000204D4"/>
    <w:rsid w:val="00026A3D"/>
    <w:rsid w:val="000312EE"/>
    <w:rsid w:val="00032B74"/>
    <w:rsid w:val="000354E5"/>
    <w:rsid w:val="00036E86"/>
    <w:rsid w:val="00051D11"/>
    <w:rsid w:val="00051FA9"/>
    <w:rsid w:val="00056C0C"/>
    <w:rsid w:val="00080308"/>
    <w:rsid w:val="00081E3F"/>
    <w:rsid w:val="00082D60"/>
    <w:rsid w:val="000832F1"/>
    <w:rsid w:val="00087544"/>
    <w:rsid w:val="00087F6F"/>
    <w:rsid w:val="00091862"/>
    <w:rsid w:val="000923FD"/>
    <w:rsid w:val="000C53BB"/>
    <w:rsid w:val="000D5423"/>
    <w:rsid w:val="000E226C"/>
    <w:rsid w:val="000F0F48"/>
    <w:rsid w:val="000F6DA2"/>
    <w:rsid w:val="001000B5"/>
    <w:rsid w:val="00104DAB"/>
    <w:rsid w:val="00105421"/>
    <w:rsid w:val="00106D1D"/>
    <w:rsid w:val="00110B4C"/>
    <w:rsid w:val="0011192F"/>
    <w:rsid w:val="00124906"/>
    <w:rsid w:val="00133152"/>
    <w:rsid w:val="00135932"/>
    <w:rsid w:val="00141CC9"/>
    <w:rsid w:val="001474ED"/>
    <w:rsid w:val="0015702B"/>
    <w:rsid w:val="0015780A"/>
    <w:rsid w:val="00162C76"/>
    <w:rsid w:val="00171F69"/>
    <w:rsid w:val="00185C40"/>
    <w:rsid w:val="001948C8"/>
    <w:rsid w:val="001A090A"/>
    <w:rsid w:val="001A272F"/>
    <w:rsid w:val="001B5ECE"/>
    <w:rsid w:val="001B7CDE"/>
    <w:rsid w:val="001C0DED"/>
    <w:rsid w:val="001C27B4"/>
    <w:rsid w:val="001C4902"/>
    <w:rsid w:val="001D2092"/>
    <w:rsid w:val="001D2B34"/>
    <w:rsid w:val="00203130"/>
    <w:rsid w:val="00213972"/>
    <w:rsid w:val="002235E0"/>
    <w:rsid w:val="00225800"/>
    <w:rsid w:val="00230614"/>
    <w:rsid w:val="002340B7"/>
    <w:rsid w:val="002376CC"/>
    <w:rsid w:val="0024373D"/>
    <w:rsid w:val="002458E2"/>
    <w:rsid w:val="00246F5C"/>
    <w:rsid w:val="0026353F"/>
    <w:rsid w:val="00264D99"/>
    <w:rsid w:val="00270FF4"/>
    <w:rsid w:val="00271C5B"/>
    <w:rsid w:val="0027512B"/>
    <w:rsid w:val="00275FFF"/>
    <w:rsid w:val="00283D71"/>
    <w:rsid w:val="0028410E"/>
    <w:rsid w:val="002944B4"/>
    <w:rsid w:val="0029598D"/>
    <w:rsid w:val="00295DC3"/>
    <w:rsid w:val="002B1295"/>
    <w:rsid w:val="002B2A8C"/>
    <w:rsid w:val="002B2A9B"/>
    <w:rsid w:val="002B60D1"/>
    <w:rsid w:val="002C20CA"/>
    <w:rsid w:val="002D0CBA"/>
    <w:rsid w:val="002D2574"/>
    <w:rsid w:val="002E41B9"/>
    <w:rsid w:val="002F28C5"/>
    <w:rsid w:val="003047AA"/>
    <w:rsid w:val="00306866"/>
    <w:rsid w:val="00307367"/>
    <w:rsid w:val="00317016"/>
    <w:rsid w:val="0031765E"/>
    <w:rsid w:val="0032065F"/>
    <w:rsid w:val="00327D63"/>
    <w:rsid w:val="00334365"/>
    <w:rsid w:val="00345C74"/>
    <w:rsid w:val="003525CA"/>
    <w:rsid w:val="00376227"/>
    <w:rsid w:val="003C4857"/>
    <w:rsid w:val="003E1F89"/>
    <w:rsid w:val="003E757A"/>
    <w:rsid w:val="003F1FC2"/>
    <w:rsid w:val="004001EC"/>
    <w:rsid w:val="004066DE"/>
    <w:rsid w:val="0041339A"/>
    <w:rsid w:val="004214B7"/>
    <w:rsid w:val="00421E61"/>
    <w:rsid w:val="004247CB"/>
    <w:rsid w:val="004301FB"/>
    <w:rsid w:val="0043280B"/>
    <w:rsid w:val="0044593F"/>
    <w:rsid w:val="0045211C"/>
    <w:rsid w:val="00452908"/>
    <w:rsid w:val="004609B8"/>
    <w:rsid w:val="00461C07"/>
    <w:rsid w:val="0046637A"/>
    <w:rsid w:val="00472796"/>
    <w:rsid w:val="00482E4C"/>
    <w:rsid w:val="00486C97"/>
    <w:rsid w:val="00493B03"/>
    <w:rsid w:val="00495238"/>
    <w:rsid w:val="004B1AFD"/>
    <w:rsid w:val="004C7900"/>
    <w:rsid w:val="004D7C11"/>
    <w:rsid w:val="004E6C18"/>
    <w:rsid w:val="005009BA"/>
    <w:rsid w:val="00503ECC"/>
    <w:rsid w:val="00520177"/>
    <w:rsid w:val="00524661"/>
    <w:rsid w:val="00531553"/>
    <w:rsid w:val="00534BA1"/>
    <w:rsid w:val="00544A5B"/>
    <w:rsid w:val="00545067"/>
    <w:rsid w:val="005457BB"/>
    <w:rsid w:val="00545E42"/>
    <w:rsid w:val="00550EB9"/>
    <w:rsid w:val="00561629"/>
    <w:rsid w:val="005A2A94"/>
    <w:rsid w:val="005A2B7B"/>
    <w:rsid w:val="005A30DC"/>
    <w:rsid w:val="005A5A45"/>
    <w:rsid w:val="005B425F"/>
    <w:rsid w:val="005C4420"/>
    <w:rsid w:val="005D0A08"/>
    <w:rsid w:val="005D6673"/>
    <w:rsid w:val="005E6B14"/>
    <w:rsid w:val="005E79C8"/>
    <w:rsid w:val="00602747"/>
    <w:rsid w:val="00602F33"/>
    <w:rsid w:val="00612B3C"/>
    <w:rsid w:val="006304BA"/>
    <w:rsid w:val="00634C29"/>
    <w:rsid w:val="00640AEC"/>
    <w:rsid w:val="00641CF8"/>
    <w:rsid w:val="00646AB4"/>
    <w:rsid w:val="006524C0"/>
    <w:rsid w:val="006529AE"/>
    <w:rsid w:val="006612DB"/>
    <w:rsid w:val="00674D95"/>
    <w:rsid w:val="00676E97"/>
    <w:rsid w:val="00680E97"/>
    <w:rsid w:val="00681B31"/>
    <w:rsid w:val="00695EBF"/>
    <w:rsid w:val="0069620E"/>
    <w:rsid w:val="006A2EC1"/>
    <w:rsid w:val="006A4770"/>
    <w:rsid w:val="006B6408"/>
    <w:rsid w:val="006C4436"/>
    <w:rsid w:val="006C634D"/>
    <w:rsid w:val="006D08A6"/>
    <w:rsid w:val="006D190E"/>
    <w:rsid w:val="006D1F19"/>
    <w:rsid w:val="006D5ACA"/>
    <w:rsid w:val="006D785B"/>
    <w:rsid w:val="006E72AE"/>
    <w:rsid w:val="006F4F20"/>
    <w:rsid w:val="006F7D53"/>
    <w:rsid w:val="00700182"/>
    <w:rsid w:val="00704D45"/>
    <w:rsid w:val="007103E2"/>
    <w:rsid w:val="00743A61"/>
    <w:rsid w:val="00756AF5"/>
    <w:rsid w:val="00771BB0"/>
    <w:rsid w:val="00777C41"/>
    <w:rsid w:val="00785D9F"/>
    <w:rsid w:val="0078655F"/>
    <w:rsid w:val="007955C6"/>
    <w:rsid w:val="007A0482"/>
    <w:rsid w:val="007B0DB1"/>
    <w:rsid w:val="007B1236"/>
    <w:rsid w:val="007C700C"/>
    <w:rsid w:val="007C771A"/>
    <w:rsid w:val="007D1913"/>
    <w:rsid w:val="007D1FB3"/>
    <w:rsid w:val="007E264E"/>
    <w:rsid w:val="007F281D"/>
    <w:rsid w:val="007F4342"/>
    <w:rsid w:val="00803C62"/>
    <w:rsid w:val="00814AA1"/>
    <w:rsid w:val="00821656"/>
    <w:rsid w:val="00823376"/>
    <w:rsid w:val="008238FE"/>
    <w:rsid w:val="00824283"/>
    <w:rsid w:val="00835EF6"/>
    <w:rsid w:val="008360E9"/>
    <w:rsid w:val="008500B8"/>
    <w:rsid w:val="008501E8"/>
    <w:rsid w:val="00852B6A"/>
    <w:rsid w:val="008565BF"/>
    <w:rsid w:val="008615E2"/>
    <w:rsid w:val="00877AD0"/>
    <w:rsid w:val="00885DDE"/>
    <w:rsid w:val="00895C2C"/>
    <w:rsid w:val="008A24E4"/>
    <w:rsid w:val="008B4E03"/>
    <w:rsid w:val="008D2016"/>
    <w:rsid w:val="008D69A0"/>
    <w:rsid w:val="008D7618"/>
    <w:rsid w:val="008E2236"/>
    <w:rsid w:val="008E3F74"/>
    <w:rsid w:val="008F3C80"/>
    <w:rsid w:val="008F4442"/>
    <w:rsid w:val="008F5B6D"/>
    <w:rsid w:val="00900A21"/>
    <w:rsid w:val="00913D36"/>
    <w:rsid w:val="009175F0"/>
    <w:rsid w:val="00927045"/>
    <w:rsid w:val="00931951"/>
    <w:rsid w:val="00932FC5"/>
    <w:rsid w:val="009336EA"/>
    <w:rsid w:val="00936642"/>
    <w:rsid w:val="00946189"/>
    <w:rsid w:val="009520F9"/>
    <w:rsid w:val="00953576"/>
    <w:rsid w:val="00963ABC"/>
    <w:rsid w:val="009706A7"/>
    <w:rsid w:val="00970B0E"/>
    <w:rsid w:val="0097652C"/>
    <w:rsid w:val="00982A89"/>
    <w:rsid w:val="00985A39"/>
    <w:rsid w:val="00986807"/>
    <w:rsid w:val="009B54E2"/>
    <w:rsid w:val="009C2CE5"/>
    <w:rsid w:val="009D0752"/>
    <w:rsid w:val="009D5976"/>
    <w:rsid w:val="00A013D2"/>
    <w:rsid w:val="00A04981"/>
    <w:rsid w:val="00A125A3"/>
    <w:rsid w:val="00A13AD4"/>
    <w:rsid w:val="00A1517D"/>
    <w:rsid w:val="00A24DA4"/>
    <w:rsid w:val="00A367EF"/>
    <w:rsid w:val="00A66397"/>
    <w:rsid w:val="00A73B00"/>
    <w:rsid w:val="00A971DD"/>
    <w:rsid w:val="00AA0453"/>
    <w:rsid w:val="00AA3BEE"/>
    <w:rsid w:val="00AB104A"/>
    <w:rsid w:val="00AB38A8"/>
    <w:rsid w:val="00AC307B"/>
    <w:rsid w:val="00AC5563"/>
    <w:rsid w:val="00AC6336"/>
    <w:rsid w:val="00AC7431"/>
    <w:rsid w:val="00AD1118"/>
    <w:rsid w:val="00AD213C"/>
    <w:rsid w:val="00AD3120"/>
    <w:rsid w:val="00AD52A6"/>
    <w:rsid w:val="00AD5505"/>
    <w:rsid w:val="00AE0BBC"/>
    <w:rsid w:val="00AF17E5"/>
    <w:rsid w:val="00AF2EEE"/>
    <w:rsid w:val="00B01569"/>
    <w:rsid w:val="00B10744"/>
    <w:rsid w:val="00B17CF1"/>
    <w:rsid w:val="00B3220F"/>
    <w:rsid w:val="00B32D40"/>
    <w:rsid w:val="00B35379"/>
    <w:rsid w:val="00B44756"/>
    <w:rsid w:val="00B449A4"/>
    <w:rsid w:val="00B4642F"/>
    <w:rsid w:val="00B5047B"/>
    <w:rsid w:val="00B544C9"/>
    <w:rsid w:val="00B6015D"/>
    <w:rsid w:val="00B70C42"/>
    <w:rsid w:val="00B77F37"/>
    <w:rsid w:val="00B817EC"/>
    <w:rsid w:val="00BC0BC7"/>
    <w:rsid w:val="00BD2A8C"/>
    <w:rsid w:val="00BD4C0C"/>
    <w:rsid w:val="00BD55C4"/>
    <w:rsid w:val="00BD72D3"/>
    <w:rsid w:val="00BE1F50"/>
    <w:rsid w:val="00BF13D9"/>
    <w:rsid w:val="00C00D1F"/>
    <w:rsid w:val="00C011DE"/>
    <w:rsid w:val="00C04169"/>
    <w:rsid w:val="00C05DAB"/>
    <w:rsid w:val="00C34999"/>
    <w:rsid w:val="00C404A6"/>
    <w:rsid w:val="00C621C6"/>
    <w:rsid w:val="00C66C6E"/>
    <w:rsid w:val="00C97E11"/>
    <w:rsid w:val="00CC2E6E"/>
    <w:rsid w:val="00CD0922"/>
    <w:rsid w:val="00CD4218"/>
    <w:rsid w:val="00CD6B66"/>
    <w:rsid w:val="00CE20C9"/>
    <w:rsid w:val="00CE70AA"/>
    <w:rsid w:val="00CF16F8"/>
    <w:rsid w:val="00CF2B08"/>
    <w:rsid w:val="00D05E28"/>
    <w:rsid w:val="00D07EEF"/>
    <w:rsid w:val="00D1288A"/>
    <w:rsid w:val="00D20719"/>
    <w:rsid w:val="00D26369"/>
    <w:rsid w:val="00D40049"/>
    <w:rsid w:val="00D44C4A"/>
    <w:rsid w:val="00D51785"/>
    <w:rsid w:val="00D569D1"/>
    <w:rsid w:val="00D65D2A"/>
    <w:rsid w:val="00D76528"/>
    <w:rsid w:val="00D765DF"/>
    <w:rsid w:val="00D85501"/>
    <w:rsid w:val="00D85A10"/>
    <w:rsid w:val="00D87112"/>
    <w:rsid w:val="00D920A0"/>
    <w:rsid w:val="00D955EC"/>
    <w:rsid w:val="00D95AC6"/>
    <w:rsid w:val="00D96642"/>
    <w:rsid w:val="00DA6B1D"/>
    <w:rsid w:val="00DB39A5"/>
    <w:rsid w:val="00DB7B3F"/>
    <w:rsid w:val="00DC1022"/>
    <w:rsid w:val="00DD1BAE"/>
    <w:rsid w:val="00DD7388"/>
    <w:rsid w:val="00DD7A0D"/>
    <w:rsid w:val="00DE230B"/>
    <w:rsid w:val="00E030BE"/>
    <w:rsid w:val="00E043B4"/>
    <w:rsid w:val="00E04D71"/>
    <w:rsid w:val="00E04DBD"/>
    <w:rsid w:val="00E05363"/>
    <w:rsid w:val="00E05549"/>
    <w:rsid w:val="00E10BE8"/>
    <w:rsid w:val="00E11722"/>
    <w:rsid w:val="00E22053"/>
    <w:rsid w:val="00E232B0"/>
    <w:rsid w:val="00E23AB6"/>
    <w:rsid w:val="00E255D8"/>
    <w:rsid w:val="00E53162"/>
    <w:rsid w:val="00E5393B"/>
    <w:rsid w:val="00E543E4"/>
    <w:rsid w:val="00E573F1"/>
    <w:rsid w:val="00E6485F"/>
    <w:rsid w:val="00E64DB4"/>
    <w:rsid w:val="00E66143"/>
    <w:rsid w:val="00E86E8D"/>
    <w:rsid w:val="00E86F73"/>
    <w:rsid w:val="00E9398D"/>
    <w:rsid w:val="00EA1B28"/>
    <w:rsid w:val="00EA3E0C"/>
    <w:rsid w:val="00EA5DE9"/>
    <w:rsid w:val="00EB565E"/>
    <w:rsid w:val="00EB6A8F"/>
    <w:rsid w:val="00ED04F0"/>
    <w:rsid w:val="00ED0BA6"/>
    <w:rsid w:val="00ED38AB"/>
    <w:rsid w:val="00ED6A7C"/>
    <w:rsid w:val="00EE6733"/>
    <w:rsid w:val="00F00F95"/>
    <w:rsid w:val="00F05F38"/>
    <w:rsid w:val="00F308F3"/>
    <w:rsid w:val="00F34925"/>
    <w:rsid w:val="00F37BED"/>
    <w:rsid w:val="00F4172D"/>
    <w:rsid w:val="00F43D27"/>
    <w:rsid w:val="00F51A16"/>
    <w:rsid w:val="00F55224"/>
    <w:rsid w:val="00F619FF"/>
    <w:rsid w:val="00F71DF4"/>
    <w:rsid w:val="00F85F2C"/>
    <w:rsid w:val="00FA58FE"/>
    <w:rsid w:val="00FB2541"/>
    <w:rsid w:val="00FC138E"/>
    <w:rsid w:val="00FC4F11"/>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7"/>
      </w:numPr>
    </w:pPr>
  </w:style>
  <w:style w:type="numbering" w:customStyle="1" w:styleId="ImportedStyle8">
    <w:name w:val="Imported Style 8"/>
    <w:rsid w:val="00E9398D"/>
    <w:pPr>
      <w:numPr>
        <w:numId w:val="8"/>
      </w:numPr>
    </w:pPr>
  </w:style>
  <w:style w:type="numbering" w:customStyle="1" w:styleId="ImportedStyle9">
    <w:name w:val="Imported Style 9"/>
    <w:rsid w:val="00E9398D"/>
    <w:pPr>
      <w:numPr>
        <w:numId w:val="9"/>
      </w:numPr>
    </w:pPr>
  </w:style>
  <w:style w:type="numbering" w:customStyle="1" w:styleId="ImportedStyle10">
    <w:name w:val="Imported Style 10"/>
    <w:rsid w:val="00E9398D"/>
    <w:pPr>
      <w:numPr>
        <w:numId w:val="10"/>
      </w:numPr>
    </w:pPr>
  </w:style>
  <w:style w:type="numbering" w:customStyle="1" w:styleId="ImportedStyle11">
    <w:name w:val="Imported Style 11"/>
    <w:rsid w:val="00E9398D"/>
    <w:pPr>
      <w:numPr>
        <w:numId w:val="11"/>
      </w:numPr>
    </w:pPr>
  </w:style>
  <w:style w:type="numbering" w:customStyle="1" w:styleId="ImportedStyle12">
    <w:name w:val="Imported Style 12"/>
    <w:rsid w:val="00E9398D"/>
    <w:pPr>
      <w:numPr>
        <w:numId w:val="12"/>
      </w:numPr>
    </w:pPr>
  </w:style>
  <w:style w:type="numbering" w:customStyle="1" w:styleId="ImportedStyle13">
    <w:name w:val="Imported Style 13"/>
    <w:rsid w:val="00E9398D"/>
    <w:pPr>
      <w:numPr>
        <w:numId w:val="13"/>
      </w:numPr>
    </w:pPr>
  </w:style>
  <w:style w:type="numbering" w:customStyle="1" w:styleId="ImportedStyle14">
    <w:name w:val="Imported Style 14"/>
    <w:rsid w:val="00E9398D"/>
    <w:pPr>
      <w:numPr>
        <w:numId w:val="14"/>
      </w:numPr>
    </w:pPr>
  </w:style>
  <w:style w:type="numbering" w:customStyle="1" w:styleId="ImportedStyle15">
    <w:name w:val="Imported Style 15"/>
    <w:rsid w:val="00E9398D"/>
    <w:pPr>
      <w:numPr>
        <w:numId w:val="15"/>
      </w:numPr>
    </w:pPr>
  </w:style>
  <w:style w:type="numbering" w:customStyle="1" w:styleId="ImportedStyle16">
    <w:name w:val="Imported Style 16"/>
    <w:rsid w:val="00E9398D"/>
    <w:pPr>
      <w:numPr>
        <w:numId w:val="16"/>
      </w:numPr>
    </w:pPr>
  </w:style>
  <w:style w:type="numbering" w:customStyle="1" w:styleId="ImportedStyle160">
    <w:name w:val="Imported Style 16.0"/>
    <w:rsid w:val="00E9398D"/>
    <w:pPr>
      <w:numPr>
        <w:numId w:val="17"/>
      </w:numPr>
    </w:pPr>
  </w:style>
  <w:style w:type="numbering" w:customStyle="1" w:styleId="ImportedStyle17">
    <w:name w:val="Imported Style 17"/>
    <w:rsid w:val="00E9398D"/>
    <w:pPr>
      <w:numPr>
        <w:numId w:val="18"/>
      </w:numPr>
    </w:pPr>
  </w:style>
  <w:style w:type="numbering" w:customStyle="1" w:styleId="ImportedStyle170">
    <w:name w:val="Imported Style 17.0"/>
    <w:rsid w:val="00E9398D"/>
    <w:pPr>
      <w:numPr>
        <w:numId w:val="19"/>
      </w:numPr>
    </w:pPr>
  </w:style>
  <w:style w:type="numbering" w:customStyle="1" w:styleId="ImportedStyle18">
    <w:name w:val="Imported Style 18"/>
    <w:rsid w:val="00E9398D"/>
    <w:pPr>
      <w:numPr>
        <w:numId w:val="20"/>
      </w:numPr>
    </w:pPr>
  </w:style>
  <w:style w:type="numbering" w:customStyle="1" w:styleId="ImportedStyle180">
    <w:name w:val="Imported Style 18.0"/>
    <w:rsid w:val="00E9398D"/>
    <w:pPr>
      <w:numPr>
        <w:numId w:val="21"/>
      </w:numPr>
    </w:pPr>
  </w:style>
  <w:style w:type="numbering" w:customStyle="1" w:styleId="ImportedStyle19">
    <w:name w:val="Imported Style 19"/>
    <w:rsid w:val="00E9398D"/>
    <w:pPr>
      <w:numPr>
        <w:numId w:val="22"/>
      </w:numPr>
    </w:pPr>
  </w:style>
  <w:style w:type="numbering" w:customStyle="1" w:styleId="ImportedStyle200">
    <w:name w:val="Imported Style 20"/>
    <w:rsid w:val="00E9398D"/>
    <w:pPr>
      <w:numPr>
        <w:numId w:val="23"/>
      </w:numPr>
    </w:pPr>
  </w:style>
  <w:style w:type="numbering" w:customStyle="1" w:styleId="ImportedStyle21">
    <w:name w:val="Imported Style 21"/>
    <w:rsid w:val="00E9398D"/>
    <w:pPr>
      <w:numPr>
        <w:numId w:val="24"/>
      </w:numPr>
    </w:pPr>
  </w:style>
  <w:style w:type="numbering" w:customStyle="1" w:styleId="ImportedStyle22">
    <w:name w:val="Imported Style 22"/>
    <w:rsid w:val="00E9398D"/>
    <w:pPr>
      <w:numPr>
        <w:numId w:val="25"/>
      </w:numPr>
    </w:pPr>
  </w:style>
  <w:style w:type="numbering" w:customStyle="1" w:styleId="ImportedStyle23">
    <w:name w:val="Imported Style 23"/>
    <w:rsid w:val="00E9398D"/>
    <w:pPr>
      <w:numPr>
        <w:numId w:val="26"/>
      </w:numPr>
    </w:pPr>
  </w:style>
  <w:style w:type="numbering" w:customStyle="1" w:styleId="ImportedStyle24">
    <w:name w:val="Imported Style 24"/>
    <w:rsid w:val="00E9398D"/>
    <w:pPr>
      <w:numPr>
        <w:numId w:val="27"/>
      </w:numPr>
    </w:pPr>
  </w:style>
  <w:style w:type="numbering" w:customStyle="1" w:styleId="ImportedStyle25">
    <w:name w:val="Imported Style 25"/>
    <w:rsid w:val="00E9398D"/>
    <w:pPr>
      <w:numPr>
        <w:numId w:val="28"/>
      </w:numPr>
    </w:pPr>
  </w:style>
  <w:style w:type="numbering" w:customStyle="1" w:styleId="ImportedStyle26">
    <w:name w:val="Imported Style 26"/>
    <w:rsid w:val="00E9398D"/>
    <w:pPr>
      <w:numPr>
        <w:numId w:val="29"/>
      </w:numPr>
    </w:pPr>
  </w:style>
  <w:style w:type="numbering" w:customStyle="1" w:styleId="ImportedStyle260">
    <w:name w:val="Imported Style 26.0"/>
    <w:rsid w:val="00E9398D"/>
    <w:pPr>
      <w:numPr>
        <w:numId w:val="30"/>
      </w:numPr>
    </w:pPr>
  </w:style>
  <w:style w:type="numbering" w:customStyle="1" w:styleId="ImportedStyle27">
    <w:name w:val="Imported Style 27"/>
    <w:rsid w:val="00E9398D"/>
    <w:pPr>
      <w:numPr>
        <w:numId w:val="31"/>
      </w:numPr>
    </w:pPr>
  </w:style>
  <w:style w:type="numbering" w:customStyle="1" w:styleId="ImportedStyle270">
    <w:name w:val="Imported Style 27.0"/>
    <w:rsid w:val="00E9398D"/>
    <w:pPr>
      <w:numPr>
        <w:numId w:val="32"/>
      </w:numPr>
    </w:pPr>
  </w:style>
  <w:style w:type="numbering" w:customStyle="1" w:styleId="ImportedStyle28">
    <w:name w:val="Imported Style 28"/>
    <w:rsid w:val="00E9398D"/>
    <w:pPr>
      <w:numPr>
        <w:numId w:val="33"/>
      </w:numPr>
    </w:pPr>
  </w:style>
  <w:style w:type="numbering" w:customStyle="1" w:styleId="ImportedStyle29">
    <w:name w:val="Imported Style 29"/>
    <w:rsid w:val="00E9398D"/>
    <w:pPr>
      <w:numPr>
        <w:numId w:val="34"/>
      </w:numPr>
    </w:pPr>
  </w:style>
  <w:style w:type="numbering" w:customStyle="1" w:styleId="ImportedStyle290">
    <w:name w:val="Imported Style 29.0"/>
    <w:rsid w:val="00E9398D"/>
    <w:pPr>
      <w:numPr>
        <w:numId w:val="35"/>
      </w:numPr>
    </w:pPr>
  </w:style>
  <w:style w:type="numbering" w:customStyle="1" w:styleId="ImportedStyle30">
    <w:name w:val="Imported Style 30"/>
    <w:rsid w:val="00E9398D"/>
    <w:pPr>
      <w:numPr>
        <w:numId w:val="36"/>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37"/>
      </w:numPr>
    </w:pPr>
  </w:style>
  <w:style w:type="numbering" w:customStyle="1" w:styleId="ImportedStyle310">
    <w:name w:val="Imported Style 31.0"/>
    <w:rsid w:val="00E9398D"/>
    <w:pPr>
      <w:numPr>
        <w:numId w:val="38"/>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39"/>
      </w:numPr>
    </w:pPr>
  </w:style>
  <w:style w:type="numbering" w:customStyle="1" w:styleId="ImportedStyle320">
    <w:name w:val="Imported Style 32.0"/>
    <w:rsid w:val="00E9398D"/>
    <w:pPr>
      <w:numPr>
        <w:numId w:val="40"/>
      </w:numPr>
    </w:pPr>
  </w:style>
  <w:style w:type="numbering" w:customStyle="1" w:styleId="ImportedStyle33">
    <w:name w:val="Imported Style 33"/>
    <w:rsid w:val="00E9398D"/>
    <w:pPr>
      <w:numPr>
        <w:numId w:val="41"/>
      </w:numPr>
    </w:pPr>
  </w:style>
  <w:style w:type="numbering" w:customStyle="1" w:styleId="ImportedStyle34">
    <w:name w:val="Imported Style 34"/>
    <w:rsid w:val="00E9398D"/>
    <w:pPr>
      <w:numPr>
        <w:numId w:val="42"/>
      </w:numPr>
    </w:pPr>
  </w:style>
  <w:style w:type="numbering" w:customStyle="1" w:styleId="ImportedStyle35">
    <w:name w:val="Imported Style 35"/>
    <w:rsid w:val="00E9398D"/>
    <w:pPr>
      <w:numPr>
        <w:numId w:val="43"/>
      </w:numPr>
    </w:pPr>
  </w:style>
  <w:style w:type="numbering" w:customStyle="1" w:styleId="ImportedStyle36">
    <w:name w:val="Imported Style 36"/>
    <w:rsid w:val="00E9398D"/>
    <w:pPr>
      <w:numPr>
        <w:numId w:val="44"/>
      </w:numPr>
    </w:pPr>
  </w:style>
  <w:style w:type="numbering" w:customStyle="1" w:styleId="ImportedStyle360">
    <w:name w:val="Imported Style 36.0"/>
    <w:rsid w:val="00E9398D"/>
    <w:pPr>
      <w:numPr>
        <w:numId w:val="45"/>
      </w:numPr>
    </w:pPr>
  </w:style>
  <w:style w:type="numbering" w:customStyle="1" w:styleId="ImportedStyle6">
    <w:name w:val="Imported Style 6"/>
    <w:rsid w:val="00E9398D"/>
    <w:pPr>
      <w:numPr>
        <w:numId w:val="46"/>
      </w:numPr>
    </w:pPr>
  </w:style>
  <w:style w:type="numbering" w:customStyle="1" w:styleId="ImportedStyle37">
    <w:name w:val="Imported Style 37"/>
    <w:rsid w:val="00E9398D"/>
    <w:pPr>
      <w:numPr>
        <w:numId w:val="47"/>
      </w:numPr>
    </w:pPr>
  </w:style>
  <w:style w:type="numbering" w:customStyle="1" w:styleId="ImportedStyle38">
    <w:name w:val="Imported Style 38"/>
    <w:rsid w:val="00E9398D"/>
    <w:pPr>
      <w:numPr>
        <w:numId w:val="48"/>
      </w:numPr>
    </w:pPr>
  </w:style>
  <w:style w:type="numbering" w:customStyle="1" w:styleId="ImportedStyle60">
    <w:name w:val="Imported Style 6.0"/>
    <w:rsid w:val="00E9398D"/>
    <w:pPr>
      <w:numPr>
        <w:numId w:val="49"/>
      </w:numPr>
    </w:pPr>
  </w:style>
  <w:style w:type="numbering" w:customStyle="1" w:styleId="ImportedStyle39">
    <w:name w:val="Imported Style 39"/>
    <w:rsid w:val="00E9398D"/>
    <w:pPr>
      <w:numPr>
        <w:numId w:val="50"/>
      </w:numPr>
    </w:pPr>
  </w:style>
  <w:style w:type="numbering" w:customStyle="1" w:styleId="ImportedStyle40">
    <w:name w:val="Imported Style 40"/>
    <w:rsid w:val="00E9398D"/>
    <w:pPr>
      <w:numPr>
        <w:numId w:val="51"/>
      </w:numPr>
    </w:pPr>
  </w:style>
  <w:style w:type="numbering" w:customStyle="1" w:styleId="ImportedStyle41">
    <w:name w:val="Imported Style 41"/>
    <w:rsid w:val="00E9398D"/>
    <w:pPr>
      <w:numPr>
        <w:numId w:val="52"/>
      </w:numPr>
    </w:pPr>
  </w:style>
  <w:style w:type="numbering" w:customStyle="1" w:styleId="ImportedStyle42">
    <w:name w:val="Imported Style 42"/>
    <w:rsid w:val="00E9398D"/>
    <w:pPr>
      <w:numPr>
        <w:numId w:val="53"/>
      </w:numPr>
    </w:pPr>
  </w:style>
  <w:style w:type="numbering" w:customStyle="1" w:styleId="ImportedStyle43">
    <w:name w:val="Imported Style 43"/>
    <w:rsid w:val="00E9398D"/>
    <w:pPr>
      <w:numPr>
        <w:numId w:val="54"/>
      </w:numPr>
    </w:pPr>
  </w:style>
  <w:style w:type="numbering" w:customStyle="1" w:styleId="ImportedStyle44">
    <w:name w:val="Imported Style 44"/>
    <w:rsid w:val="00E9398D"/>
    <w:pPr>
      <w:numPr>
        <w:numId w:val="55"/>
      </w:numPr>
    </w:pPr>
  </w:style>
  <w:style w:type="numbering" w:customStyle="1" w:styleId="ImportedStyle45">
    <w:name w:val="Imported Style 45"/>
    <w:rsid w:val="00E9398D"/>
    <w:pPr>
      <w:numPr>
        <w:numId w:val="56"/>
      </w:numPr>
    </w:pPr>
  </w:style>
  <w:style w:type="numbering" w:customStyle="1" w:styleId="ImportedStyle46">
    <w:name w:val="Imported Style 46"/>
    <w:rsid w:val="00E9398D"/>
    <w:pPr>
      <w:numPr>
        <w:numId w:val="57"/>
      </w:numPr>
    </w:pPr>
  </w:style>
  <w:style w:type="numbering" w:customStyle="1" w:styleId="ImportedStyle460">
    <w:name w:val="Imported Style 46.0"/>
    <w:rsid w:val="00E9398D"/>
    <w:pPr>
      <w:numPr>
        <w:numId w:val="58"/>
      </w:numPr>
    </w:pPr>
  </w:style>
  <w:style w:type="numbering" w:customStyle="1" w:styleId="ImportedStyle47">
    <w:name w:val="Imported Style 47"/>
    <w:rsid w:val="00E9398D"/>
    <w:pPr>
      <w:numPr>
        <w:numId w:val="59"/>
      </w:numPr>
    </w:pPr>
  </w:style>
  <w:style w:type="numbering" w:customStyle="1" w:styleId="ImportedStyle48">
    <w:name w:val="Imported Style 48"/>
    <w:rsid w:val="00E9398D"/>
    <w:pPr>
      <w:numPr>
        <w:numId w:val="60"/>
      </w:numPr>
    </w:pPr>
  </w:style>
  <w:style w:type="numbering" w:customStyle="1" w:styleId="ImportedStyle49">
    <w:name w:val="Imported Style 49"/>
    <w:rsid w:val="00E9398D"/>
    <w:pPr>
      <w:numPr>
        <w:numId w:val="61"/>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62"/>
      </w:numPr>
    </w:pPr>
  </w:style>
  <w:style w:type="numbering" w:customStyle="1" w:styleId="ImportedStyle51">
    <w:name w:val="Imported Style 51"/>
    <w:rsid w:val="00E9398D"/>
    <w:pPr>
      <w:numPr>
        <w:numId w:val="63"/>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64"/>
      </w:numPr>
    </w:pPr>
  </w:style>
  <w:style w:type="numbering" w:customStyle="1" w:styleId="ImportedStyle53">
    <w:name w:val="Imported Style 53"/>
    <w:rsid w:val="00E9398D"/>
    <w:pPr>
      <w:numPr>
        <w:numId w:val="65"/>
      </w:numPr>
    </w:pPr>
  </w:style>
  <w:style w:type="numbering" w:customStyle="1" w:styleId="ImportedStyle54">
    <w:name w:val="Imported Style 54"/>
    <w:rsid w:val="00E9398D"/>
    <w:pPr>
      <w:numPr>
        <w:numId w:val="66"/>
      </w:numPr>
    </w:pPr>
  </w:style>
  <w:style w:type="numbering" w:customStyle="1" w:styleId="ImportedStyle55">
    <w:name w:val="Imported Style 55"/>
    <w:rsid w:val="00E9398D"/>
    <w:pPr>
      <w:numPr>
        <w:numId w:val="67"/>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68"/>
      </w:numPr>
    </w:pPr>
  </w:style>
  <w:style w:type="numbering" w:customStyle="1" w:styleId="ImportedStyle57">
    <w:name w:val="Imported Style 57"/>
    <w:rsid w:val="00E9398D"/>
    <w:pPr>
      <w:numPr>
        <w:numId w:val="69"/>
      </w:numPr>
    </w:pPr>
  </w:style>
  <w:style w:type="numbering" w:customStyle="1" w:styleId="ImportedStyle58">
    <w:name w:val="Imported Style 58"/>
    <w:rsid w:val="00E9398D"/>
    <w:pPr>
      <w:numPr>
        <w:numId w:val="70"/>
      </w:numPr>
    </w:pPr>
  </w:style>
  <w:style w:type="numbering" w:customStyle="1" w:styleId="ImportedStyle560">
    <w:name w:val="Imported Style 56.0"/>
    <w:rsid w:val="00E9398D"/>
    <w:pPr>
      <w:numPr>
        <w:numId w:val="71"/>
      </w:numPr>
    </w:pPr>
  </w:style>
  <w:style w:type="numbering" w:customStyle="1" w:styleId="ImportedStyle59">
    <w:name w:val="Imported Style 59"/>
    <w:rsid w:val="00E9398D"/>
    <w:pPr>
      <w:numPr>
        <w:numId w:val="72"/>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73"/>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74"/>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75"/>
      </w:numPr>
    </w:pPr>
  </w:style>
  <w:style w:type="numbering" w:customStyle="1" w:styleId="ImportedStyle62">
    <w:name w:val="Imported Style 62"/>
    <w:rsid w:val="00E9398D"/>
    <w:pPr>
      <w:numPr>
        <w:numId w:val="76"/>
      </w:numPr>
    </w:pPr>
  </w:style>
  <w:style w:type="numbering" w:customStyle="1" w:styleId="ImportedStyle63">
    <w:name w:val="Imported Style 63"/>
    <w:rsid w:val="00E9398D"/>
    <w:pPr>
      <w:numPr>
        <w:numId w:val="77"/>
      </w:numPr>
    </w:pPr>
  </w:style>
  <w:style w:type="numbering" w:customStyle="1" w:styleId="ImportedStyle630">
    <w:name w:val="Imported Style 63.0"/>
    <w:rsid w:val="00E9398D"/>
    <w:pPr>
      <w:numPr>
        <w:numId w:val="78"/>
      </w:numPr>
    </w:pPr>
  </w:style>
  <w:style w:type="numbering" w:customStyle="1" w:styleId="ImportedStyle64">
    <w:name w:val="Imported Style 64"/>
    <w:rsid w:val="00E9398D"/>
    <w:pPr>
      <w:numPr>
        <w:numId w:val="79"/>
      </w:numPr>
    </w:pPr>
  </w:style>
  <w:style w:type="numbering" w:customStyle="1" w:styleId="ImportedStyle65">
    <w:name w:val="Imported Style 65"/>
    <w:rsid w:val="00E9398D"/>
    <w:pPr>
      <w:numPr>
        <w:numId w:val="80"/>
      </w:numPr>
    </w:pPr>
  </w:style>
  <w:style w:type="numbering" w:customStyle="1" w:styleId="ImportedStyle66">
    <w:name w:val="Imported Style 66"/>
    <w:rsid w:val="00E9398D"/>
    <w:pPr>
      <w:numPr>
        <w:numId w:val="81"/>
      </w:numPr>
    </w:pPr>
  </w:style>
  <w:style w:type="numbering" w:customStyle="1" w:styleId="ImportedStyle67">
    <w:name w:val="Imported Style 67"/>
    <w:rsid w:val="00E9398D"/>
    <w:pPr>
      <w:numPr>
        <w:numId w:val="82"/>
      </w:numPr>
    </w:pPr>
  </w:style>
  <w:style w:type="numbering" w:customStyle="1" w:styleId="ImportedStyle68">
    <w:name w:val="Imported Style 68"/>
    <w:rsid w:val="00E9398D"/>
    <w:pPr>
      <w:numPr>
        <w:numId w:val="83"/>
      </w:numPr>
    </w:pPr>
  </w:style>
  <w:style w:type="numbering" w:customStyle="1" w:styleId="ImportedStyle69">
    <w:name w:val="Imported Style 69"/>
    <w:rsid w:val="00E9398D"/>
    <w:pPr>
      <w:numPr>
        <w:numId w:val="84"/>
      </w:numPr>
    </w:pPr>
  </w:style>
  <w:style w:type="numbering" w:customStyle="1" w:styleId="ImportedStyle70">
    <w:name w:val="Imported Style 70"/>
    <w:rsid w:val="00E9398D"/>
    <w:pPr>
      <w:numPr>
        <w:numId w:val="85"/>
      </w:numPr>
    </w:pPr>
  </w:style>
  <w:style w:type="numbering" w:customStyle="1" w:styleId="ImportedStyle71">
    <w:name w:val="Imported Style 71"/>
    <w:rsid w:val="00E9398D"/>
    <w:pPr>
      <w:numPr>
        <w:numId w:val="86"/>
      </w:numPr>
    </w:pPr>
  </w:style>
  <w:style w:type="numbering" w:customStyle="1" w:styleId="ImportedStyle710">
    <w:name w:val="Imported Style 71.0"/>
    <w:rsid w:val="00E9398D"/>
    <w:pPr>
      <w:numPr>
        <w:numId w:val="87"/>
      </w:numPr>
    </w:pPr>
  </w:style>
  <w:style w:type="numbering" w:customStyle="1" w:styleId="ImportedStyle72">
    <w:name w:val="Imported Style 72"/>
    <w:rsid w:val="00E9398D"/>
    <w:pPr>
      <w:numPr>
        <w:numId w:val="88"/>
      </w:numPr>
    </w:pPr>
  </w:style>
  <w:style w:type="numbering" w:customStyle="1" w:styleId="ImportedStyle720">
    <w:name w:val="Imported Style 72.0"/>
    <w:rsid w:val="00E9398D"/>
    <w:pPr>
      <w:numPr>
        <w:numId w:val="89"/>
      </w:numPr>
    </w:pPr>
  </w:style>
  <w:style w:type="numbering" w:customStyle="1" w:styleId="ImportedStyle73">
    <w:name w:val="Imported Style 73"/>
    <w:rsid w:val="00E9398D"/>
    <w:pPr>
      <w:numPr>
        <w:numId w:val="90"/>
      </w:numPr>
    </w:pPr>
  </w:style>
  <w:style w:type="numbering" w:customStyle="1" w:styleId="ImportedStyle74">
    <w:name w:val="Imported Style 74"/>
    <w:rsid w:val="00E9398D"/>
    <w:pPr>
      <w:numPr>
        <w:numId w:val="91"/>
      </w:numPr>
    </w:pPr>
  </w:style>
  <w:style w:type="numbering" w:customStyle="1" w:styleId="ImportedStyle75">
    <w:name w:val="Imported Style 75"/>
    <w:rsid w:val="00E9398D"/>
    <w:pPr>
      <w:numPr>
        <w:numId w:val="92"/>
      </w:numPr>
    </w:pPr>
  </w:style>
  <w:style w:type="numbering" w:customStyle="1" w:styleId="ImportedStyle76">
    <w:name w:val="Imported Style 76"/>
    <w:rsid w:val="00E9398D"/>
    <w:pPr>
      <w:numPr>
        <w:numId w:val="93"/>
      </w:numPr>
    </w:pPr>
  </w:style>
  <w:style w:type="numbering" w:customStyle="1" w:styleId="ImportedStyle77">
    <w:name w:val="Imported Style 77"/>
    <w:rsid w:val="00E9398D"/>
    <w:pPr>
      <w:numPr>
        <w:numId w:val="94"/>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95"/>
      </w:numPr>
    </w:pPr>
  </w:style>
  <w:style w:type="numbering" w:customStyle="1" w:styleId="ImportedStyle780">
    <w:name w:val="Imported Style 78.0"/>
    <w:rsid w:val="00E9398D"/>
    <w:pPr>
      <w:numPr>
        <w:numId w:val="96"/>
      </w:numPr>
    </w:pPr>
  </w:style>
  <w:style w:type="numbering" w:customStyle="1" w:styleId="ImportedStyle79">
    <w:name w:val="Imported Style 79"/>
    <w:rsid w:val="00E9398D"/>
    <w:pPr>
      <w:numPr>
        <w:numId w:val="97"/>
      </w:numPr>
    </w:pPr>
  </w:style>
  <w:style w:type="numbering" w:customStyle="1" w:styleId="ImportedStyle790">
    <w:name w:val="Imported Style 79.0"/>
    <w:rsid w:val="00E9398D"/>
    <w:pPr>
      <w:numPr>
        <w:numId w:val="98"/>
      </w:numPr>
    </w:pPr>
  </w:style>
  <w:style w:type="numbering" w:customStyle="1" w:styleId="ImportedStyle80">
    <w:name w:val="Imported Style 80"/>
    <w:rsid w:val="00E9398D"/>
    <w:pPr>
      <w:numPr>
        <w:numId w:val="99"/>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customStyle="1" w:styleId="UnresolvedMention1">
    <w:name w:val="Unresolved Mention1"/>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 w:type="paragraph" w:customStyle="1" w:styleId="Rulecross-reference">
    <w:name w:val="Rule cross-reference"/>
    <w:basedOn w:val="Rule"/>
    <w:qFormat/>
    <w:rsid w:val="002944B4"/>
    <w:rPr>
      <w:color w:val="7030A0"/>
    </w:rPr>
  </w:style>
  <w:style w:type="character" w:customStyle="1" w:styleId="Rulereferencecharacterstyle">
    <w:name w:val="Rule reference character style"/>
    <w:basedOn w:val="None"/>
    <w:uiPriority w:val="1"/>
    <w:qFormat/>
    <w:rsid w:val="00CD0922"/>
    <w:rPr>
      <w:color w:val="7030A0"/>
    </w:rPr>
  </w:style>
  <w:style w:type="paragraph" w:customStyle="1" w:styleId="paragraph">
    <w:name w:val="paragraph"/>
    <w:basedOn w:val="Normal"/>
    <w:rsid w:val="00CF2B08"/>
    <w:pPr>
      <w:spacing w:before="100" w:beforeAutospacing="1" w:after="100" w:afterAutospacing="1"/>
    </w:pPr>
  </w:style>
  <w:style w:type="character" w:customStyle="1" w:styleId="normaltextrun">
    <w:name w:val="normaltextrun"/>
    <w:basedOn w:val="DefaultParagraphFont"/>
    <w:rsid w:val="00CF2B08"/>
  </w:style>
  <w:style w:type="character" w:customStyle="1" w:styleId="eop">
    <w:name w:val="eop"/>
    <w:basedOn w:val="DefaultParagraphFont"/>
    <w:rsid w:val="00CF2B08"/>
  </w:style>
  <w:style w:type="paragraph" w:styleId="CommentSubject">
    <w:name w:val="annotation subject"/>
    <w:basedOn w:val="CommentText"/>
    <w:next w:val="CommentText"/>
    <w:link w:val="CommentSubjectChar"/>
    <w:uiPriority w:val="99"/>
    <w:semiHidden/>
    <w:unhideWhenUsed/>
    <w:rsid w:val="00CF2B0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
      <w:bCs/>
      <w:bdr w:val="none" w:sz="0" w:space="0" w:color="auto"/>
    </w:rPr>
  </w:style>
  <w:style w:type="character" w:customStyle="1" w:styleId="CommentSubjectChar">
    <w:name w:val="Comment Subject Char"/>
    <w:basedOn w:val="CommentTextChar"/>
    <w:link w:val="CommentSubject"/>
    <w:uiPriority w:val="99"/>
    <w:semiHidden/>
    <w:rsid w:val="00CF2B08"/>
    <w:rPr>
      <w:rFonts w:ascii="Times New Roman" w:eastAsia="Times New Roman" w:hAnsi="Times New Roman" w:cs="Times New Roman"/>
      <w:b/>
      <w:bCs/>
      <w:sz w:val="20"/>
      <w:szCs w:val="20"/>
      <w:bdr w:val="nil"/>
    </w:rPr>
  </w:style>
  <w:style w:type="paragraph" w:styleId="BalloonText">
    <w:name w:val="Balloon Text"/>
    <w:basedOn w:val="Normal"/>
    <w:link w:val="BalloonTextChar"/>
    <w:uiPriority w:val="99"/>
    <w:semiHidden/>
    <w:unhideWhenUsed/>
    <w:rsid w:val="00CF2B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B08"/>
    <w:rPr>
      <w:rFonts w:ascii="Segoe UI" w:eastAsia="Times New Roman" w:hAnsi="Segoe UI" w:cs="Segoe UI"/>
      <w:sz w:val="18"/>
      <w:szCs w:val="18"/>
    </w:rPr>
  </w:style>
  <w:style w:type="character" w:styleId="Emphasis">
    <w:name w:val="Emphasis"/>
    <w:basedOn w:val="DefaultParagraphFont"/>
    <w:uiPriority w:val="20"/>
    <w:qFormat/>
    <w:rsid w:val="00E05363"/>
    <w:rPr>
      <w:i/>
      <w:iCs/>
    </w:rPr>
  </w:style>
  <w:style w:type="character" w:customStyle="1" w:styleId="coconcept114">
    <w:name w:val="co_concept_1_14"/>
    <w:basedOn w:val="DefaultParagraphFont"/>
    <w:rsid w:val="00E05363"/>
  </w:style>
  <w:style w:type="character" w:customStyle="1" w:styleId="costarpage">
    <w:name w:val="co_starpage"/>
    <w:basedOn w:val="DefaultParagraphFont"/>
    <w:rsid w:val="00271C5B"/>
  </w:style>
  <w:style w:type="character" w:styleId="UnresolvedMention">
    <w:name w:val="Unresolved Mention"/>
    <w:basedOn w:val="DefaultParagraphFont"/>
    <w:uiPriority w:val="99"/>
    <w:semiHidden/>
    <w:unhideWhenUsed/>
    <w:rsid w:val="0008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630209330">
      <w:bodyDiv w:val="1"/>
      <w:marLeft w:val="0"/>
      <w:marRight w:val="0"/>
      <w:marTop w:val="0"/>
      <w:marBottom w:val="0"/>
      <w:divBdr>
        <w:top w:val="none" w:sz="0" w:space="0" w:color="auto"/>
        <w:left w:val="none" w:sz="0" w:space="0" w:color="auto"/>
        <w:bottom w:val="none" w:sz="0" w:space="0" w:color="auto"/>
        <w:right w:val="none" w:sz="0" w:space="0" w:color="auto"/>
      </w:divBdr>
      <w:divsChild>
        <w:div w:id="701706770">
          <w:marLeft w:val="0"/>
          <w:marRight w:val="0"/>
          <w:marTop w:val="0"/>
          <w:marBottom w:val="0"/>
          <w:divBdr>
            <w:top w:val="none" w:sz="0" w:space="0" w:color="auto"/>
            <w:left w:val="none" w:sz="0" w:space="0" w:color="auto"/>
            <w:bottom w:val="none" w:sz="0" w:space="0" w:color="auto"/>
            <w:right w:val="none" w:sz="0" w:space="0" w:color="auto"/>
          </w:divBdr>
        </w:div>
        <w:div w:id="1779908300">
          <w:marLeft w:val="0"/>
          <w:marRight w:val="0"/>
          <w:marTop w:val="0"/>
          <w:marBottom w:val="0"/>
          <w:divBdr>
            <w:top w:val="none" w:sz="0" w:space="0" w:color="auto"/>
            <w:left w:val="none" w:sz="0" w:space="0" w:color="auto"/>
            <w:bottom w:val="none" w:sz="0" w:space="0" w:color="auto"/>
            <w:right w:val="none" w:sz="0" w:space="0" w:color="auto"/>
          </w:divBdr>
        </w:div>
      </w:divsChild>
    </w:div>
    <w:div w:id="1257791830">
      <w:bodyDiv w:val="1"/>
      <w:marLeft w:val="0"/>
      <w:marRight w:val="0"/>
      <w:marTop w:val="0"/>
      <w:marBottom w:val="0"/>
      <w:divBdr>
        <w:top w:val="none" w:sz="0" w:space="0" w:color="auto"/>
        <w:left w:val="none" w:sz="0" w:space="0" w:color="auto"/>
        <w:bottom w:val="none" w:sz="0" w:space="0" w:color="auto"/>
        <w:right w:val="none" w:sz="0" w:space="0" w:color="auto"/>
      </w:divBdr>
      <w:divsChild>
        <w:div w:id="1921793070">
          <w:marLeft w:val="0"/>
          <w:marRight w:val="0"/>
          <w:marTop w:val="0"/>
          <w:marBottom w:val="0"/>
          <w:divBdr>
            <w:top w:val="none" w:sz="0" w:space="0" w:color="3D3D3D"/>
            <w:left w:val="none" w:sz="0" w:space="0" w:color="3D3D3D"/>
            <w:bottom w:val="none" w:sz="0" w:space="0" w:color="3D3D3D"/>
            <w:right w:val="none" w:sz="0" w:space="0" w:color="3D3D3D"/>
          </w:divBdr>
          <w:divsChild>
            <w:div w:id="1353872448">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367633423">
      <w:bodyDiv w:val="1"/>
      <w:marLeft w:val="0"/>
      <w:marRight w:val="0"/>
      <w:marTop w:val="0"/>
      <w:marBottom w:val="0"/>
      <w:divBdr>
        <w:top w:val="none" w:sz="0" w:space="0" w:color="auto"/>
        <w:left w:val="none" w:sz="0" w:space="0" w:color="auto"/>
        <w:bottom w:val="none" w:sz="0" w:space="0" w:color="auto"/>
        <w:right w:val="none" w:sz="0" w:space="0" w:color="auto"/>
      </w:divBdr>
      <w:divsChild>
        <w:div w:id="1823279030">
          <w:marLeft w:val="0"/>
          <w:marRight w:val="0"/>
          <w:marTop w:val="0"/>
          <w:marBottom w:val="0"/>
          <w:divBdr>
            <w:top w:val="none" w:sz="0" w:space="0" w:color="3D3D3D"/>
            <w:left w:val="none" w:sz="0" w:space="0" w:color="3D3D3D"/>
            <w:bottom w:val="none" w:sz="0" w:space="0" w:color="3D3D3D"/>
            <w:right w:val="none" w:sz="0" w:space="0" w:color="3D3D3D"/>
          </w:divBdr>
          <w:divsChild>
            <w:div w:id="1461417922">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ixthcircuitappellateblog.com/uncategorized/a-brief-history-and-status-of-cleaned-up-in-the-sixth-circu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A9625F-ABD2-430B-B917-9829C9E4FB71}">
  <ds:schemaRefs>
    <ds:schemaRef ds:uri="http://schemas.openxmlformats.org/officeDocument/2006/bibliography"/>
  </ds:schemaRefs>
</ds:datastoreItem>
</file>

<file path=customXml/itemProps2.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4.xml><?xml version="1.0" encoding="utf-8"?>
<ds:datastoreItem xmlns:ds="http://schemas.openxmlformats.org/officeDocument/2006/customXml" ds:itemID="{05683D10-585F-436E-A014-DBE99411C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8438</Words>
  <Characters>48099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38</cp:revision>
  <dcterms:created xsi:type="dcterms:W3CDTF">2022-07-08T12:47:00Z</dcterms:created>
  <dcterms:modified xsi:type="dcterms:W3CDTF">2023-08-04T23:31:00Z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