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40C" w14:textId="6168F936" w:rsidR="002D795F" w:rsidRDefault="002D795F" w:rsidP="00F5734E">
      <w:pPr>
        <w:pStyle w:val="Heading2"/>
        <w:rPr>
          <w:rStyle w:val="None"/>
          <w:rFonts w:ascii="Times New Roman" w:hAnsi="Times New Roman" w:cs="Times New Roman"/>
          <w:b/>
          <w:bCs/>
        </w:rPr>
      </w:pPr>
    </w:p>
    <w:p w14:paraId="2572FDA2" w14:textId="77777777"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F90E01">
      <w:pPr>
        <w:pStyle w:val="Body"/>
        <w:tabs>
          <w:tab w:val="left" w:pos="2160"/>
        </w:tabs>
        <w:rPr>
          <w:rStyle w:val="None"/>
          <w:lang w:val="en-US"/>
        </w:rPr>
      </w:pPr>
      <w:r>
        <w:rPr>
          <w:rStyle w:val="None"/>
          <w:b/>
          <w:bCs/>
          <w:smallCaps/>
          <w:color w:val="4B0082"/>
          <w:lang w:val="en-US"/>
        </w:rPr>
        <w:t>Indigo Inkling</w:t>
      </w:r>
      <w:r w:rsidR="00F90E01">
        <w:rPr>
          <w:rStyle w:val="None"/>
          <w:b/>
          <w:bCs/>
          <w:smallCaps/>
          <w:color w:val="4B0082"/>
          <w:lang w:val="en-US"/>
        </w:rPr>
        <w:tab/>
      </w:r>
    </w:p>
    <w:p w14:paraId="7F3399CC" w14:textId="1F65E5BC" w:rsidR="00F5734E" w:rsidRDefault="00F5734E" w:rsidP="00A350BD">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A350BD">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When providing a full citation to a case, you should generally include the following, with the court and year enclosed within a single set of parentheses:</w:t>
      </w:r>
    </w:p>
    <w:p w14:paraId="053CE2A5" w14:textId="77777777" w:rsidR="00F5734E" w:rsidRPr="001157FA" w:rsidRDefault="00F5734E" w:rsidP="001157FA">
      <w:pPr>
        <w:pStyle w:val="Rule"/>
        <w:numPr>
          <w:ilvl w:val="0"/>
          <w:numId w:val="21"/>
        </w:numPr>
      </w:pPr>
      <w:r w:rsidRPr="001157FA">
        <w:rPr>
          <w:rStyle w:val="None"/>
        </w:rPr>
        <w:t>Italicized case name followed by an unitalicized comma</w:t>
      </w:r>
    </w:p>
    <w:p w14:paraId="0BCF8AB8" w14:textId="77777777" w:rsidR="00F5734E" w:rsidRPr="001157FA" w:rsidRDefault="00F5734E" w:rsidP="001157FA">
      <w:pPr>
        <w:pStyle w:val="Rule"/>
        <w:numPr>
          <w:ilvl w:val="0"/>
          <w:numId w:val="21"/>
        </w:numPr>
      </w:pPr>
      <w:r w:rsidRPr="001157FA">
        <w:rPr>
          <w:rStyle w:val="None"/>
        </w:rPr>
        <w:t>volume number, reporter, first page of the case in the reporter</w:t>
      </w:r>
    </w:p>
    <w:p w14:paraId="34095FDB" w14:textId="77777777" w:rsidR="00F5734E" w:rsidRPr="001157FA" w:rsidRDefault="00F5734E" w:rsidP="001157FA">
      <w:pPr>
        <w:pStyle w:val="Rule"/>
        <w:numPr>
          <w:ilvl w:val="0"/>
          <w:numId w:val="21"/>
        </w:numPr>
      </w:pPr>
      <w:r w:rsidRPr="001157FA">
        <w:rPr>
          <w:rStyle w:val="None"/>
        </w:rPr>
        <w:t xml:space="preserve">comma, space, and </w:t>
      </w:r>
      <w:proofErr w:type="spellStart"/>
      <w:r w:rsidRPr="001157FA">
        <w:rPr>
          <w:rStyle w:val="None"/>
        </w:rPr>
        <w:t>pincite</w:t>
      </w:r>
      <w:proofErr w:type="spellEnd"/>
      <w:r w:rsidRPr="001157FA">
        <w:rPr>
          <w:rStyle w:val="None"/>
        </w:rPr>
        <w:t xml:space="preserve"> to an exact page</w:t>
      </w:r>
    </w:p>
    <w:p w14:paraId="66AF1213" w14:textId="77777777" w:rsidR="00F5734E" w:rsidRPr="001157FA" w:rsidRDefault="00F5734E" w:rsidP="001157FA">
      <w:pPr>
        <w:pStyle w:val="Rule"/>
        <w:numPr>
          <w:ilvl w:val="0"/>
          <w:numId w:val="21"/>
        </w:numPr>
      </w:pPr>
      <w:r w:rsidRPr="001157FA">
        <w:rPr>
          <w:rStyle w:val="None"/>
        </w:rPr>
        <w:t xml:space="preserve">abbreviated court name (if not precisely apparent from the name of the reporter) </w:t>
      </w:r>
    </w:p>
    <w:p w14:paraId="6555419C" w14:textId="77777777" w:rsidR="00F5734E" w:rsidRPr="001157FA" w:rsidRDefault="00F5734E" w:rsidP="001157FA">
      <w:pPr>
        <w:pStyle w:val="Rule"/>
        <w:numPr>
          <w:ilvl w:val="0"/>
          <w:numId w:val="21"/>
        </w:numPr>
      </w:pPr>
      <w:r w:rsidRPr="001157FA">
        <w:rPr>
          <w:rStyle w:val="None"/>
        </w:rPr>
        <w:t>year</w:t>
      </w:r>
    </w:p>
    <w:p w14:paraId="12C2EE4B" w14:textId="4A00A1A1" w:rsidR="00F5734E" w:rsidRDefault="00F5734E" w:rsidP="001157FA">
      <w:pPr>
        <w:pStyle w:val="Rule"/>
        <w:rPr>
          <w:rStyle w:val="None"/>
        </w:rPr>
      </w:pPr>
      <w:r>
        <w:rPr>
          <w:rStyle w:val="None"/>
        </w:rPr>
        <w:t>Case citations may also include the additional components such as a signal, subsequent history, parallel citations, and explanatory parentheticals. These additional components are sometimes required and sometimes discretionary, as determined by the case’s characteristics, the way the citation is supporting the text, applicable court rules</w:t>
      </w:r>
      <w:r w:rsidR="00252F59">
        <w:rPr>
          <w:rStyle w:val="None"/>
        </w:rPr>
        <w:t>,</w:t>
      </w:r>
      <w:r>
        <w:rPr>
          <w:rStyle w:val="None"/>
        </w:rPr>
        <w:t xml:space="preserve"> or other audience expectations.</w:t>
      </w:r>
    </w:p>
    <w:p w14:paraId="5B3C66F2" w14:textId="77777777" w:rsidR="00F5734E" w:rsidRDefault="00F5734E" w:rsidP="00F5734E">
      <w:pPr>
        <w:rPr>
          <w:rStyle w:val="None"/>
        </w:rPr>
      </w:pP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BA4743">
        <w:rPr>
          <w:rStyle w:val="None"/>
        </w:rPr>
        <w:t>,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77777777"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be omitted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5AAD8129" w14:textId="77777777"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being supported)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r w:rsidRPr="00C40A67">
        <w:rPr>
          <w:rStyle w:val="None"/>
          <w:i/>
          <w:iCs/>
        </w:rPr>
        <w:t>Toolson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In formatting a case citation, italicize everything in the case name, but don’t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0A1AD270"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p>
    <w:p w14:paraId="2DE55EAC" w14:textId="620B8642" w:rsidR="00211A2D" w:rsidRDefault="008A7D6A" w:rsidP="00616CD0">
      <w:pPr>
        <w:pStyle w:val="Heading5"/>
        <w:rPr>
          <w:rStyle w:val="None"/>
        </w:rPr>
      </w:pPr>
      <w:r>
        <w:rPr>
          <w:rStyle w:val="None"/>
        </w:rPr>
        <w:t>R11.3.1</w:t>
      </w:r>
      <w:r>
        <w:rPr>
          <w:rStyle w:val="None"/>
        </w:rPr>
        <w:tab/>
        <w:t>Common word abbreviations (citation sentences</w:t>
      </w:r>
      <w:r w:rsidR="007A5B84">
        <w:rPr>
          <w:rStyle w:val="None"/>
        </w:rPr>
        <w:t xml:space="preserve"> and clauses</w:t>
      </w:r>
      <w:r>
        <w:rPr>
          <w:rStyle w:val="None"/>
        </w:rPr>
        <w:t>)</w:t>
      </w:r>
    </w:p>
    <w:p w14:paraId="287012A2" w14:textId="6F821BB0" w:rsidR="00F5734E" w:rsidRPr="004B6E2B" w:rsidRDefault="008A7D6A" w:rsidP="004B6E2B">
      <w:pPr>
        <w:pStyle w:val="Rule"/>
        <w:ind w:left="0"/>
        <w:rPr>
          <w:rStyle w:val="None"/>
        </w:rPr>
      </w:pPr>
      <w:r w:rsidRPr="004B6E2B">
        <w:rPr>
          <w:rStyle w:val="None"/>
        </w:rPr>
        <w:t xml:space="preserve">Abbreviate </w:t>
      </w:r>
      <w:r w:rsidR="00F5734E" w:rsidRPr="004B6E2B">
        <w:rPr>
          <w:rStyle w:val="None"/>
        </w:rPr>
        <w:t>common words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r>
        <w:rPr>
          <w:rStyle w:val="None"/>
          <w:i/>
          <w:iCs/>
        </w:rPr>
        <w:t>Cont’l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69FCEA09" w:rsidR="008A7D6A" w:rsidRPr="004B6E2B" w:rsidRDefault="008A7D6A" w:rsidP="004B6E2B">
      <w:pPr>
        <w:pStyle w:val="Rule"/>
        <w:ind w:left="0"/>
        <w:rPr>
          <w:rStyle w:val="None"/>
        </w:rPr>
      </w:pPr>
      <w:r w:rsidRPr="004B6E2B">
        <w:t xml:space="preserve">In citation sentences and clauses, abbreviate geographical locations according to </w:t>
      </w:r>
      <w:r w:rsidRPr="004B6E2B">
        <w:rPr>
          <w:rStyle w:val="Rulereferencecharacterstyle"/>
        </w:rPr>
        <w:t>Table T12</w:t>
      </w:r>
      <w:r w:rsidRPr="004B6E2B">
        <w:t xml:space="preserve">. </w:t>
      </w:r>
      <w:r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450B6D19" w:rsidR="004B6E2B" w:rsidRPr="004B6E2B" w:rsidRDefault="004B6E2B" w:rsidP="004B6E2B">
      <w:pPr>
        <w:pStyle w:val="Example"/>
        <w:ind w:left="1440"/>
        <w:rPr>
          <w:rStyle w:val="None"/>
          <w:i/>
          <w:iCs/>
        </w:rPr>
      </w:pPr>
      <w:r w:rsidRPr="004B6E2B">
        <w:rPr>
          <w:rStyle w:val="None"/>
          <w:i/>
          <w:iCs/>
        </w:rPr>
        <w:t>S.D. v. Fifteen Impounded Cats</w:t>
      </w:r>
    </w:p>
    <w:p w14:paraId="16E5CDFC" w14:textId="608E02AB" w:rsidR="00B07FA5" w:rsidRDefault="004B6E2B" w:rsidP="00616CD0">
      <w:pPr>
        <w:pStyle w:val="Heading5"/>
        <w:rPr>
          <w:rStyle w:val="None"/>
        </w:rPr>
      </w:pPr>
      <w:r>
        <w:rPr>
          <w:rStyle w:val="None"/>
        </w:rPr>
        <w:t xml:space="preserve">R11.3.3 </w:t>
      </w:r>
      <w:r>
        <w:rPr>
          <w:rStyle w:val="None"/>
        </w:rPr>
        <w:tab/>
        <w:t>Discretionary abbreviations (citation sentences</w:t>
      </w:r>
      <w:r w:rsidR="007A5B84">
        <w:rPr>
          <w:rStyle w:val="None"/>
        </w:rPr>
        <w:t xml:space="preserve"> and clauses</w:t>
      </w:r>
      <w:r>
        <w:rPr>
          <w:rStyle w:val="None"/>
        </w:rPr>
        <w:t>)</w:t>
      </w:r>
    </w:p>
    <w:p w14:paraId="64BA580C" w14:textId="7ECC871F" w:rsidR="004B6E2B" w:rsidRPr="00FD51BA" w:rsidRDefault="004B6E2B" w:rsidP="00FD51BA">
      <w:pPr>
        <w:pStyle w:val="Rule"/>
        <w:ind w:left="0"/>
        <w:rPr>
          <w:rStyle w:val="None"/>
        </w:rPr>
      </w:pPr>
      <w:r w:rsidRPr="00FD51BA">
        <w:rPr>
          <w:rStyle w:val="None"/>
        </w:rPr>
        <w:t xml:space="preserve">If the resulting abbreviation is not ambiguous, words of eight or more letters may be abbreviated to save substantial space in citation sentences. As a guide, remember that citation sentences and clauses stand apart from the prose text they support, and thus can prioritize efficiency over readability; but </w:t>
      </w:r>
      <w:r w:rsidR="00FD51BA" w:rsidRPr="00FD51BA">
        <w:rPr>
          <w:rStyle w:val="None"/>
        </w:rPr>
        <w:t>clarity and preciseness are still a factor.</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18240709" w:rsidR="00050D8E" w:rsidRDefault="00FD51BA" w:rsidP="00083161">
      <w:pPr>
        <w:pStyle w:val="Rule"/>
        <w:ind w:left="0"/>
        <w:rPr>
          <w:rStyle w:val="None"/>
        </w:rPr>
      </w:pPr>
      <w:r>
        <w:rPr>
          <w:rStyle w:val="None"/>
        </w:rPr>
        <w:t>Textual sentences</w:t>
      </w:r>
      <w:r w:rsidR="00A81540">
        <w:rPr>
          <w:rStyle w:val="None"/>
        </w:rPr>
        <w:t>—</w:t>
      </w:r>
      <w:proofErr w:type="gramStart"/>
      <w:r w:rsidR="00A81540">
        <w:rPr>
          <w:rStyle w:val="None"/>
        </w:rPr>
        <w:t>i.e.</w:t>
      </w:r>
      <w:proofErr w:type="gramEnd"/>
      <w:r w:rsidR="00A81540">
        <w:rPr>
          <w:rStyle w:val="None"/>
        </w:rPr>
        <w:t xml:space="preserv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5082"/>
        <w:gridCol w:w="4494"/>
      </w:tblGrid>
      <w:tr w:rsidR="004447BA" w:rsidRPr="001965A7" w14:paraId="44CA283D" w14:textId="5DFCAA88" w:rsidTr="00CB7C7E">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Texas Department of Community Affairs v. Burdine</w:t>
      </w:r>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2249B78B" w:rsidR="009F27B4" w:rsidRDefault="0041179D" w:rsidP="003D1967">
      <w:pPr>
        <w:pStyle w:val="Rule"/>
        <w:ind w:left="0"/>
        <w:rPr>
          <w:rStyle w:val="None"/>
        </w:rPr>
      </w:pPr>
      <w:r>
        <w:rPr>
          <w:rStyle w:val="None"/>
        </w:rPr>
        <w:t xml:space="preserve">The rules and examples below are given </w:t>
      </w:r>
      <w:r w:rsidR="00446B5A" w:rsidRPr="00CF6869">
        <w:rPr>
          <w:rStyle w:val="None"/>
          <w:i/>
          <w:iCs/>
          <w:u w:val="single"/>
        </w:rPr>
        <w:t>without</w:t>
      </w:r>
      <w:r w:rsidR="003F7CE5">
        <w:rPr>
          <w:rStyle w:val="None"/>
        </w:rPr>
        <w:t xml:space="preserve"> the</w:t>
      </w:r>
      <w:r>
        <w:rPr>
          <w:rStyle w:val="None"/>
        </w:rPr>
        <w:t xml:space="preserve"> comprehensive abbreviations required by </w:t>
      </w:r>
      <w:r w:rsidRPr="002E551D">
        <w:rPr>
          <w:rStyle w:val="Rulereferencecharacterstyle"/>
        </w:rPr>
        <w:t>Rule R11.3</w:t>
      </w:r>
      <w:r>
        <w:rPr>
          <w:rStyle w:val="None"/>
        </w:rPr>
        <w:t xml:space="preserve"> for case names in citation sentences and clauses</w:t>
      </w:r>
      <w:r w:rsidR="00446B5A">
        <w:rPr>
          <w:rStyle w:val="None"/>
        </w:rPr>
        <w:t>, to clarify that these truncations are used in all contexts</w:t>
      </w:r>
      <w:r w:rsidR="00CF6869">
        <w:rPr>
          <w:rStyle w:val="None"/>
        </w:rPr>
        <w:t xml:space="preserve"> including textual sentences</w:t>
      </w:r>
      <w:r w:rsidR="00446B5A">
        <w:rPr>
          <w:rStyle w:val="None"/>
        </w:rPr>
        <w:t xml:space="preserve">.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sidR="000D0B7B" w:rsidRPr="00CF6869">
        <w:rPr>
          <w:rStyle w:val="Rulereferencecharacterstyle"/>
        </w:rPr>
        <w:t>Table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Table 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Leeuwen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Only include the surname of the first-listed party of the plaintiffs and the surname of the first-listed party of the defendants. Do not use “et al.” to indicate omitted additional parties.</w:t>
      </w:r>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77777777" w:rsidR="00246CA6" w:rsidRDefault="00F5734E" w:rsidP="00246CA6">
      <w:pPr>
        <w:pStyle w:val="Example"/>
        <w:ind w:left="720"/>
        <w:rPr>
          <w:rStyle w:val="None"/>
        </w:rPr>
      </w:pPr>
      <w:r>
        <w:rPr>
          <w:rStyle w:val="None"/>
          <w:i/>
          <w:iCs/>
        </w:rPr>
        <w:t>Red Lion Broad. Co. v. FCC</w:t>
      </w:r>
      <w:r>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is drawn from the first letter of each word but pronounced as a word, whereas FBI is a sub-type of abbreviation called an initialism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are used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don’t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Delaware Riverkeeper Network v. FERC</w:t>
      </w:r>
      <w:r w:rsidRPr="00EC581B">
        <w:rPr>
          <w:rStyle w:val="None"/>
          <w:color w:val="auto"/>
          <w:lang w:val="en-US"/>
        </w:rPr>
        <w:t xml:space="preserve">, 753 F.3d 1304, 1321 (D.C. Cir. 2014) (Silberman, J., concurring). With this judge’s aggravation in mind, use only those abbreviations and acronyms that are easy to understand and make the reader’s work easier.  </w:t>
      </w:r>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1E039B62" w:rsidR="00F5734E" w:rsidRDefault="00EE25E8" w:rsidP="001308B4">
      <w:pPr>
        <w:pStyle w:val="Example"/>
        <w:ind w:left="72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Jackson v. </w:t>
      </w:r>
      <w:proofErr w:type="spellStart"/>
      <w:r w:rsidR="00F5734E">
        <w:rPr>
          <w:rStyle w:val="None"/>
          <w:i/>
          <w:iCs/>
        </w:rPr>
        <w:t>Leviston</w:t>
      </w:r>
      <w:proofErr w:type="spellEnd"/>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 xml:space="preserve">Curtis James Jackson III, p/k/a 50 Cent v. </w:t>
      </w:r>
      <w:proofErr w:type="spellStart"/>
      <w:r w:rsidR="00F5734E">
        <w:rPr>
          <w:rStyle w:val="None"/>
          <w:i/>
          <w:iCs/>
        </w:rPr>
        <w:t>Lastonia</w:t>
      </w:r>
      <w:proofErr w:type="spellEnd"/>
      <w:r w:rsidR="00F5734E">
        <w:rPr>
          <w:rStyle w:val="None"/>
          <w:i/>
          <w:iCs/>
        </w:rPr>
        <w:t xml:space="preserve"> </w:t>
      </w:r>
      <w:proofErr w:type="spellStart"/>
      <w:r w:rsidR="00F5734E">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 xml:space="preserve">Omit terms such as “L.L.C.” and “Inc.” that indicate the party is a business when that fact is made clear because the </w:t>
      </w:r>
      <w:proofErr w:type="gramStart"/>
      <w:r>
        <w:rPr>
          <w:rStyle w:val="None"/>
        </w:rPr>
        <w:t>party</w:t>
      </w:r>
      <w:proofErr w:type="gramEnd"/>
      <w:r>
        <w:rPr>
          <w:rStyle w:val="None"/>
        </w:rPr>
        <w:t xml:space="preserve">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xml:space="preserve">” when the case name also contains the name of an adversary; use the </w:t>
      </w:r>
      <w:proofErr w:type="gramStart"/>
      <w:r>
        <w:rPr>
          <w:rStyle w:val="None"/>
        </w:rPr>
        <w:t>adversary</w:t>
      </w:r>
      <w:proofErr w:type="gramEnd"/>
      <w:r>
        <w:rPr>
          <w:rStyle w:val="None"/>
        </w:rPr>
        <w:t xml:space="preserve">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United States v. </w:t>
      </w:r>
      <w:proofErr w:type="gramStart"/>
      <w:r w:rsidR="00F5734E">
        <w:rPr>
          <w:rStyle w:val="None"/>
          <w:i/>
          <w:iCs/>
        </w:rPr>
        <w:t>Ninety Five</w:t>
      </w:r>
      <w:proofErr w:type="gramEnd"/>
      <w:r w:rsidR="00F5734E">
        <w:rPr>
          <w:rStyle w:val="None"/>
          <w:i/>
          <w:iCs/>
        </w:rPr>
        <w:t xml:space="preser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Note that “United States” may be abbreviated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 xml:space="preserve">Republic of Korea v. </w:t>
      </w:r>
      <w:proofErr w:type="spellStart"/>
      <w:r w:rsidRPr="00061EB7">
        <w:rPr>
          <w:rStyle w:val="None"/>
          <w:i/>
          <w:iCs/>
        </w:rPr>
        <w:t>Ahn</w:t>
      </w:r>
      <w:proofErr w:type="spellEnd"/>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Republic v. Anh</w:t>
      </w:r>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 xml:space="preserve">Korea v. </w:t>
      </w:r>
      <w:proofErr w:type="spellStart"/>
      <w:r w:rsidRPr="00061EB7">
        <w:rPr>
          <w:rStyle w:val="None"/>
          <w:i/>
          <w:iCs/>
        </w:rPr>
        <w:t>Ahn</w:t>
      </w:r>
      <w:proofErr w:type="spellEnd"/>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proofErr w:type="gramStart"/>
      <w:r>
        <w:rPr>
          <w:rStyle w:val="None"/>
          <w:i/>
          <w:iCs/>
        </w:rPr>
        <w:t>in rem</w:t>
      </w:r>
      <w:proofErr w:type="gramEnd"/>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The Commissioner of Internal Revenue should be cited as “Commissioner” (abbreviated as “Comm’r”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are allowed. </w:t>
      </w:r>
      <w:r>
        <w:rPr>
          <w:rStyle w:val="None"/>
        </w:rPr>
        <w:t xml:space="preserve">But </w:t>
      </w:r>
      <w:r w:rsidR="0051316F">
        <w:rPr>
          <w:rStyle w:val="None"/>
        </w:rPr>
        <w:t>generally</w:t>
      </w:r>
      <w:r w:rsidR="00BC4BFF">
        <w:rPr>
          <w:rStyle w:val="None"/>
        </w:rPr>
        <w:t>,</w:t>
      </w:r>
      <w:r w:rsidR="0051316F">
        <w:rPr>
          <w:rStyle w:val="None"/>
        </w:rPr>
        <w:t xml:space="preserve"> omit</w:t>
      </w:r>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2FEEE343"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 xml:space="preserve">Union Pacific </w:t>
      </w:r>
      <w:proofErr w:type="spellStart"/>
      <w:r w:rsidR="00CD2CF7">
        <w:rPr>
          <w:rStyle w:val="None"/>
          <w:i/>
          <w:iCs/>
        </w:rPr>
        <w:t>R</w:t>
      </w:r>
      <w:r w:rsidR="00F927E7">
        <w:rPr>
          <w:rStyle w:val="None"/>
          <w:i/>
          <w:iCs/>
        </w:rPr>
        <w:t>ailrod</w:t>
      </w:r>
      <w:proofErr w:type="spellEnd"/>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r>
        <w:rPr>
          <w:rStyle w:val="None"/>
          <w:i/>
          <w:iCs/>
        </w:rPr>
        <w:t>Liriano v. Hobart Corp. </w:t>
      </w:r>
      <w:r>
        <w:rPr>
          <w:rStyle w:val="None"/>
        </w:rPr>
        <w:t>(</w:t>
      </w:r>
      <w:r>
        <w:rPr>
          <w:rStyle w:val="None"/>
          <w:i/>
          <w:iCs/>
        </w:rPr>
        <w:t>Liriano II</w:t>
      </w:r>
      <w:r>
        <w:rPr>
          <w:rStyle w:val="None"/>
        </w:rPr>
        <w:t>), 92 N.Y.2d 232 (1998).</w:t>
      </w:r>
    </w:p>
    <w:p w14:paraId="3FF04451" w14:textId="77777777" w:rsidR="00F5734E" w:rsidRDefault="00F5734E" w:rsidP="005A0AFE">
      <w:pPr>
        <w:pStyle w:val="Example"/>
        <w:ind w:left="720"/>
        <w:rPr>
          <w:rStyle w:val="None"/>
        </w:rPr>
      </w:pPr>
      <w:r>
        <w:rPr>
          <w:rStyle w:val="None"/>
          <w:i/>
          <w:iCs/>
        </w:rPr>
        <w:t>Liriano v. Hobart Corp. </w:t>
      </w:r>
      <w:r>
        <w:rPr>
          <w:rStyle w:val="None"/>
        </w:rPr>
        <w:t>(</w:t>
      </w:r>
      <w:proofErr w:type="spellStart"/>
      <w:r>
        <w:rPr>
          <w:rStyle w:val="None"/>
          <w:i/>
          <w:iCs/>
        </w:rPr>
        <w:t>Liraino</w:t>
      </w:r>
      <w:proofErr w:type="spellEnd"/>
      <w:r>
        <w:rPr>
          <w:rStyle w:val="None"/>
          <w:i/>
          <w:iCs/>
        </w:rPr>
        <w:t xml:space="preserve"> III</w:t>
      </w:r>
      <w:r>
        <w:rPr>
          <w:rStyle w:val="None"/>
        </w:rPr>
        <w:t>), 170 F.3d 264, 266 (2d Cir. 1999) (citing </w:t>
      </w:r>
      <w:r>
        <w:rPr>
          <w:rStyle w:val="None"/>
          <w:i/>
          <w:iCs/>
        </w:rPr>
        <w:t>Liriano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If a mandamus action is known by the name of the judge against whom the writ is sought,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Cases known by a distinct name</w:t>
      </w:r>
      <w:bookmarkEnd w:id="25"/>
      <w:r>
        <w:rPr>
          <w:rStyle w:val="None"/>
        </w:rPr>
        <w:t xml:space="preserve"> </w:t>
      </w:r>
    </w:p>
    <w:p w14:paraId="7C09CC80" w14:textId="77777777" w:rsidR="00F5734E" w:rsidRDefault="00F5734E" w:rsidP="00DD3D75">
      <w:pPr>
        <w:pStyle w:val="Rule"/>
        <w:ind w:left="0"/>
        <w:rPr>
          <w:rStyle w:val="None"/>
        </w:rPr>
      </w:pPr>
      <w:r>
        <w:rPr>
          <w:rStyle w:val="None"/>
        </w:rPr>
        <w:t>If a case is known both by the reported name and a distinct short form name, always include the reported name in a full citation. The short name may be included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 xml:space="preserve">Gucci America, Inc. v. </w:t>
            </w:r>
            <w:proofErr w:type="gramStart"/>
            <w:r>
              <w:rPr>
                <w:rStyle w:val="None"/>
                <w:i/>
                <w:iCs/>
                <w:sz w:val="20"/>
                <w:szCs w:val="20"/>
                <w:lang w:val="en-US"/>
              </w:rPr>
              <w:t>Guess?,</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Federal and state jurisdictions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576"/>
      </w:tblGrid>
      <w:tr w:rsidR="00B6404F" w14:paraId="59BB5B5E" w14:textId="77777777" w:rsidTr="00B6404F">
        <w:tc>
          <w:tcPr>
            <w:tcW w:w="9576" w:type="dxa"/>
          </w:tcPr>
          <w:p w14:paraId="44CF2496" w14:textId="6CD1B014" w:rsidR="00B6404F" w:rsidRDefault="00B6404F" w:rsidP="00B6404F">
            <w:pPr>
              <w:pStyle w:val="Rule"/>
              <w:ind w:left="0"/>
              <w:rPr>
                <w:rStyle w:val="None"/>
              </w:rPr>
            </w:pPr>
            <w:r>
              <w:rPr>
                <w:rStyle w:val="None"/>
              </w:rPr>
              <w:t>United States Supreme Court cases are printed in the official United States Reports, cited as &lt;vol.&gt; U.S. &lt;page&gt;. The publication of the United States Reports is significantly delayed from opinions’ decision date. When there is no U.S. citation available, use the Supreme Court Reports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are printed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Federal district court cases are printed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m</w:t>
            </w:r>
            <w:r>
              <w:rPr>
                <w:rStyle w:val="None"/>
              </w:rPr>
              <w:t>any</w:t>
            </w:r>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reliable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don’t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07B04101" w:rsidR="00855572" w:rsidRPr="00855572" w:rsidRDefault="00F5734E" w:rsidP="00855572">
      <w:pPr>
        <w:pStyle w:val="Example"/>
        <w:ind w:firstLine="720"/>
        <w:rPr>
          <w:rStyle w:val="None"/>
        </w:rPr>
      </w:pPr>
      <w:r>
        <w:rPr>
          <w:rStyle w:val="None"/>
          <w:i/>
          <w:iCs/>
        </w:rPr>
        <w:t>Harden v. Playboy Enterprises, Inc.</w:t>
      </w:r>
      <w:r>
        <w:rPr>
          <w:rStyle w:val="None"/>
        </w:rPr>
        <w:t>, 261 Ill. App. 3d 443 444,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being cited.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is found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are required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on full and short citations generally.</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be used to identify the page source for content of an explanatory parenthetical. </w:t>
      </w:r>
      <w:proofErr w:type="spellStart"/>
      <w:r>
        <w:rPr>
          <w:rStyle w:val="None"/>
        </w:rPr>
        <w:t>Pincites</w:t>
      </w:r>
      <w:proofErr w:type="spellEnd"/>
      <w:r>
        <w:rPr>
          <w:rStyle w:val="None"/>
        </w:rPr>
        <w:t xml:space="preserve"> can also be used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 xml:space="preserve">vii (1952). </w:t>
      </w:r>
      <w:r w:rsidR="00714039">
        <w:rPr>
          <w:rStyle w:val="None"/>
        </w:rPr>
        <w:t xml:space="preserve"> </w:t>
      </w:r>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460 F. Supp. 1026, 1026, 1028 (D.N.J. 1978) (dismissing a complaint charging that plaintiff, by reason of his illegal incarceration in jail, had been deprived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  </w:t>
      </w:r>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Before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w:t>
      </w:r>
      <w:proofErr w:type="gramStart"/>
      <w:r>
        <w:rPr>
          <w:rStyle w:val="None"/>
        </w:rPr>
        <w:t>paragraphs</w:t>
      </w:r>
      <w:proofErr w:type="gramEnd"/>
      <w:r>
        <w:rPr>
          <w:rStyle w:val="None"/>
        </w:rPr>
        <w:t xml:space="preserve">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 xml:space="preserve">Couch v. </w:t>
      </w:r>
      <w:proofErr w:type="spellStart"/>
      <w:r>
        <w:rPr>
          <w:rStyle w:val="None"/>
          <w:i/>
          <w:iCs/>
        </w:rPr>
        <w:t>Durrani</w:t>
      </w:r>
      <w:proofErr w:type="spellEnd"/>
      <w:r>
        <w:rPr>
          <w:rStyle w:val="None"/>
        </w:rPr>
        <w:t>, 2021-Ohio-726, ¶ 9 (Ct. App. 2021).</w:t>
      </w:r>
    </w:p>
    <w:p w14:paraId="38815427" w14:textId="77777777" w:rsidR="00F5734E" w:rsidRDefault="00F5734E" w:rsidP="00F734C1">
      <w:pPr>
        <w:pStyle w:val="Example"/>
        <w:ind w:left="720"/>
        <w:rPr>
          <w:rStyle w:val="None"/>
        </w:rPr>
      </w:pPr>
      <w:r>
        <w:rPr>
          <w:rStyle w:val="None"/>
          <w:i/>
          <w:iCs/>
        </w:rPr>
        <w:t xml:space="preserve">Couch v. </w:t>
      </w:r>
      <w:proofErr w:type="spellStart"/>
      <w:r>
        <w:rPr>
          <w:rStyle w:val="None"/>
          <w:i/>
          <w:iCs/>
        </w:rPr>
        <w:t>Durrani</w:t>
      </w:r>
      <w:proofErr w:type="spellEnd"/>
      <w:r>
        <w:rPr>
          <w:rStyle w:val="None"/>
        </w:rPr>
        <w:t>, 2021-Ohio-726, ¶ ¶ 9-15 (Ct. App. 2021).</w:t>
      </w:r>
    </w:p>
    <w:p w14:paraId="54862C44" w14:textId="77777777" w:rsidR="00F5734E" w:rsidRDefault="00F5734E" w:rsidP="00F734C1">
      <w:pPr>
        <w:pStyle w:val="Example"/>
        <w:ind w:left="720"/>
        <w:rPr>
          <w:rStyle w:val="None"/>
        </w:rPr>
      </w:pPr>
      <w:r>
        <w:rPr>
          <w:rStyle w:val="None"/>
          <w:i/>
          <w:iCs/>
        </w:rPr>
        <w:t>Id.</w:t>
      </w:r>
      <w:r>
        <w:rPr>
          <w:rStyle w:val="None"/>
        </w:rPr>
        <w:t xml:space="preserve"> at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Citing a footnote</w:t>
      </w:r>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Mattel, Inc. v. MGA Ent. Inc.</w:t>
      </w:r>
      <w:r>
        <w:rPr>
          <w:rStyle w:val="None"/>
        </w:rPr>
        <w:t>, 782 F. Supp. 2d 911 (C.D. Cal. 2011).</w:t>
      </w:r>
    </w:p>
    <w:p w14:paraId="3DADEBAE" w14:textId="77777777" w:rsidR="00F5734E" w:rsidRDefault="00F5734E" w:rsidP="00FA6FB6">
      <w:pPr>
        <w:pStyle w:val="Example"/>
        <w:rPr>
          <w:rStyle w:val="None"/>
        </w:rPr>
      </w:pPr>
      <w:r>
        <w:rPr>
          <w:rStyle w:val="None"/>
          <w:i/>
          <w:iCs/>
        </w:rPr>
        <w:t xml:space="preserve">Barking Hound </w:t>
      </w:r>
      <w:proofErr w:type="spellStart"/>
      <w:r>
        <w:rPr>
          <w:rStyle w:val="None"/>
          <w:i/>
          <w:iCs/>
        </w:rPr>
        <w:t>Villege</w:t>
      </w:r>
      <w:proofErr w:type="spellEnd"/>
      <w:r>
        <w:rPr>
          <w:rStyle w:val="None"/>
          <w:i/>
          <w:iCs/>
        </w:rPr>
        <w:t xml:space="preserve">, LLC v. </w:t>
      </w:r>
      <w:proofErr w:type="spellStart"/>
      <w:r>
        <w:rPr>
          <w:rStyle w:val="None"/>
          <w:i/>
          <w:iCs/>
        </w:rPr>
        <w:t>Monyak</w:t>
      </w:r>
      <w:proofErr w:type="spellEnd"/>
      <w:r>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Use U.S. if the opinion is published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w:t>
            </w:r>
            <w:proofErr w:type="gramStart"/>
            <w:r>
              <w:rPr>
                <w:rStyle w:val="None"/>
                <w:sz w:val="20"/>
                <w:szCs w:val="20"/>
                <w:lang w:val="en-US"/>
              </w:rPr>
              <w:t>sits, if</w:t>
            </w:r>
            <w:proofErr w:type="gramEnd"/>
            <w:r>
              <w:rPr>
                <w:rStyle w:val="None"/>
                <w:sz w:val="20"/>
                <w:szCs w:val="20"/>
                <w:lang w:val="en-US"/>
              </w:rPr>
              <w:t xml:space="preserve">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w:t>
            </w:r>
            <w:proofErr w:type="gramStart"/>
            <w:r>
              <w:rPr>
                <w:rStyle w:val="None"/>
                <w:sz w:val="20"/>
                <w:szCs w:val="20"/>
                <w:lang w:val="en-US"/>
              </w:rPr>
              <w:t>sits, if</w:t>
            </w:r>
            <w:proofErr w:type="gramEnd"/>
            <w:r>
              <w:rPr>
                <w:rStyle w:val="None"/>
                <w:sz w:val="20"/>
                <w:szCs w:val="20"/>
                <w:lang w:val="en-US"/>
              </w:rPr>
              <w:t xml:space="preserve">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Brown v. Swindell</w:t>
            </w:r>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General rule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division </w:t>
      </w:r>
      <w:r w:rsidR="004A5BD7">
        <w:rPr>
          <w:rStyle w:val="None"/>
        </w:rPr>
        <w:t xml:space="preserve"> </w:t>
      </w:r>
    </w:p>
    <w:p w14:paraId="3DBEC501" w14:textId="2EEF8850" w:rsidR="009A702D" w:rsidRDefault="009A702D" w:rsidP="00DC07EC">
      <w:pPr>
        <w:pStyle w:val="Rule"/>
        <w:ind w:left="0"/>
        <w:rPr>
          <w:rStyle w:val="None"/>
        </w:rPr>
      </w:pPr>
      <w:r>
        <w:rPr>
          <w:rStyle w:val="None"/>
        </w:rPr>
        <w:t>Where intermediate appellate departments or divisions are relevant to the point being made</w:t>
      </w:r>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jurisdictions</w:t>
      </w:r>
      <w:r w:rsidR="00DC07EC">
        <w:rPr>
          <w:rStyle w:val="None"/>
        </w:rPr>
        <w:t xml:space="preserve"> such as Florida and Texas where this information is </w:t>
      </w:r>
      <w:r w:rsidR="009264C7">
        <w:rPr>
          <w:rStyle w:val="None"/>
        </w:rPr>
        <w:t>required.</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 xml:space="preserve">Court abbreviations in case citations convey crucial information. For example, a case citing “N.Y.” refers to the highest court in the state of New York—the New York Court of Appeals. But “N.Y. Sup. Ct.” is the proper abbreviation for the New York Supreme Court—which some will be surprised to know is the name of the trial-level court in the state of New York, not the state high court. </w:t>
      </w:r>
      <w:proofErr w:type="gramStart"/>
      <w:r>
        <w:rPr>
          <w:rStyle w:val="None"/>
          <w:lang w:val="en-US"/>
        </w:rPr>
        <w:t>Generally</w:t>
      </w:r>
      <w:proofErr w:type="gramEnd"/>
      <w:r>
        <w:rPr>
          <w:rStyle w:val="None"/>
          <w:lang w:val="en-US"/>
        </w:rPr>
        <w:t xml:space="preserve">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Court indicated by reporter</w:t>
      </w:r>
    </w:p>
    <w:p w14:paraId="13696B80" w14:textId="77777777" w:rsidR="00F5734E" w:rsidRDefault="00F5734E" w:rsidP="00823846">
      <w:pPr>
        <w:pStyle w:val="Rule"/>
        <w:ind w:left="0"/>
        <w:rPr>
          <w:rStyle w:val="None"/>
        </w:rPr>
      </w:pPr>
      <w:r>
        <w:rPr>
          <w:rStyle w:val="None"/>
        </w:rPr>
        <w:t>If the identity of the court is clearly and unambiguously indicated by the reporter’s name, do not include the court in the parenthetical information with the year. When writing to a court and governed by local rules requiring parallel citations, the court’s identity may be indicated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Year indicated in medium-neutral citation</w:t>
      </w:r>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is clearly and unambiguously indicated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Water &amp; Energy Sys. Tech., Inc. v. Keil</w:t>
      </w:r>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r w:rsidRPr="000325F3">
        <w:t>Some opinions are so new and pending that they have not yet been assigned to reporters.</w:t>
      </w:r>
      <w:r w:rsidR="00E35F1F">
        <w:t xml:space="preserve"> These early opinions are referred to as “slip opinions,” presumably because they are (or historically, were) rendered on slips of paper rather than in printed bound volumes.</w:t>
      </w:r>
      <w:r w:rsidRPr="000325F3">
        <w:t xml:space="preserve"> </w:t>
      </w:r>
    </w:p>
    <w:p w14:paraId="63FCD10E" w14:textId="327FAF38" w:rsidR="00F5734E" w:rsidRPr="000325F3" w:rsidRDefault="00F5734E" w:rsidP="000325F3">
      <w:pPr>
        <w:pStyle w:val="Rule"/>
        <w:ind w:left="0"/>
      </w:pPr>
      <w:r w:rsidRPr="000325F3">
        <w:t>Some opinions are designated “</w:t>
      </w:r>
      <w:r w:rsidR="00E35F1F">
        <w:t>not for publication</w:t>
      </w:r>
      <w:r w:rsidRPr="000325F3">
        <w:t xml:space="preserve">” by the issuing </w:t>
      </w:r>
      <w:proofErr w:type="gramStart"/>
      <w:r w:rsidRPr="000325F3">
        <w:t>court, and</w:t>
      </w:r>
      <w:proofErr w:type="gramEnd"/>
      <w:r w:rsidRPr="000325F3">
        <w:t xml:space="preserve"> will never be assigned an </w:t>
      </w:r>
      <w:r w:rsidR="00E35F1F">
        <w:t>official reporter citation</w:t>
      </w:r>
      <w:r w:rsidRPr="000325F3">
        <w:t>. Pending and unreported cases generally can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Pr>
          <w:rStyle w:val="None"/>
          <w:b/>
          <w:bCs/>
        </w:rPr>
        <w:t xml:space="preserve"> </w:t>
      </w:r>
      <w:r>
        <w:rPr>
          <w:rStyle w:val="None"/>
        </w:rPr>
        <w:t xml:space="preserve">LEXIS and Westlaw or </w:t>
      </w:r>
      <w:proofErr w:type="gramStart"/>
      <w:r>
        <w:rPr>
          <w:rStyle w:val="None"/>
        </w:rPr>
        <w:t>other</w:t>
      </w:r>
      <w:proofErr w:type="gramEnd"/>
      <w:r>
        <w:rPr>
          <w:rStyle w:val="None"/>
        </w:rPr>
        <w:t xml:space="preserve">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w:t>
      </w:r>
      <w:proofErr w:type="gramStart"/>
      <w:r>
        <w:rPr>
          <w:rStyle w:val="None"/>
        </w:rPr>
        <w:t>similar to</w:t>
      </w:r>
      <w:proofErr w:type="gramEnd"/>
      <w:r>
        <w:rPr>
          <w:rStyle w:val="None"/>
        </w:rPr>
        <w:t xml:space="preserve">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are indicated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r>
        <w:rPr>
          <w:rStyle w:val="None"/>
        </w:rPr>
        <w:t xml:space="preserve">Some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563E099E" w14:textId="5701DEC6" w:rsidR="00F5734E" w:rsidRDefault="00E064A1" w:rsidP="0074298C">
      <w:pPr>
        <w:pStyle w:val="Rule"/>
        <w:ind w:left="0"/>
      </w:pPr>
      <w:r>
        <w:rPr>
          <w:rStyle w:val="None"/>
        </w:rPr>
        <w:t xml:space="preserve">Do not underline the </w:t>
      </w:r>
      <w:r w:rsidR="00BC43C3">
        <w:rPr>
          <w:rStyle w:val="None"/>
        </w:rPr>
        <w:t xml:space="preserve">URL or create a </w:t>
      </w:r>
      <w:r>
        <w:rPr>
          <w:rStyle w:val="None"/>
        </w:rPr>
        <w:t>hyperlink</w:t>
      </w:r>
      <w:r w:rsidR="00AF4F48">
        <w:rPr>
          <w:rStyle w:val="None"/>
        </w:rPr>
        <w:t>. Remove the link if needed for formatting</w:t>
      </w:r>
      <w:r w:rsidR="00BE1C23">
        <w:rPr>
          <w:rStyle w:val="None"/>
        </w:rPr>
        <w:t>, as</w:t>
      </w:r>
      <w:r w:rsidR="00AF4F48">
        <w:rPr>
          <w:rStyle w:val="None"/>
        </w:rPr>
        <w:t xml:space="preserve"> working hyperlinks are not a part of the Uniform System of Citation.</w:t>
      </w:r>
      <w:r w:rsidR="00BC43C3">
        <w:rPr>
          <w:rStyle w:val="None"/>
        </w:rPr>
        <w:t xml:space="preserve"> (This rule may need to be honored more in the breach, </w:t>
      </w:r>
      <w:r w:rsidR="00AC21D1">
        <w:rPr>
          <w:rStyle w:val="None"/>
        </w:rPr>
        <w:t>at the writer’s discretion. Understand that a blue underlined hyperlink is not compliant with the Uniform System of Citation but might be more appreciated in context.</w:t>
      </w:r>
      <w:r w:rsidR="00BC43C3">
        <w:rPr>
          <w:rStyle w:val="None"/>
        </w:rPr>
        <w:t>)</w:t>
      </w:r>
    </w:p>
    <w:p w14:paraId="2503E497" w14:textId="77777777" w:rsidR="00F5734E" w:rsidRDefault="00F5734E" w:rsidP="00D0245A">
      <w:pPr>
        <w:pStyle w:val="Example"/>
        <w:rPr>
          <w:rFonts w:ascii="Georgia" w:hAnsi="Georgia"/>
        </w:rPr>
      </w:pPr>
      <w:r>
        <w:rPr>
          <w:rStyle w:val="None"/>
          <w:b/>
        </w:rPr>
        <w:t xml:space="preserve">Example: </w:t>
      </w:r>
    </w:p>
    <w:p w14:paraId="216547CE" w14:textId="77777777" w:rsidR="00F5734E" w:rsidRPr="00D0245A"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05256F14" w14:textId="77777777" w:rsidR="00150CE4" w:rsidRDefault="00150CE4" w:rsidP="00D20E29">
      <w:pPr>
        <w:pStyle w:val="InklingTitle"/>
      </w:pPr>
      <w:r>
        <w:t>Indigo Inkling</w:t>
      </w:r>
    </w:p>
    <w:p w14:paraId="65E6E443" w14:textId="742B6EA7" w:rsidR="00D0245A" w:rsidRDefault="00150CE4" w:rsidP="003A580A">
      <w:pPr>
        <w:pStyle w:val="Inkling"/>
        <w:rPr>
          <w:rStyle w:val="None"/>
          <w:lang w:val="en-US"/>
        </w:rPr>
      </w:pPr>
      <w:r>
        <w:t xml:space="preserve">Pending case citations can change day to day, at least if you are strictly following the Uniform System of Citation. The example </w:t>
      </w:r>
      <w:r w:rsidR="00D20E29">
        <w:t>provided in</w:t>
      </w:r>
      <w:r>
        <w:t xml:space="preserve"> </w:t>
      </w:r>
      <w:r w:rsidRPr="00D20E29">
        <w:rPr>
          <w:rStyle w:val="Rulereferencecharacterstyle"/>
        </w:rPr>
        <w:t>Rule 12.4.2</w:t>
      </w:r>
      <w:r>
        <w:t xml:space="preserve"> would be </w:t>
      </w:r>
      <w:r>
        <w:rPr>
          <w:rStyle w:val="None"/>
          <w:lang w:val="en-US"/>
        </w:rPr>
        <w:t>valid for a citation created late in the evening on February 26, 2015, or the next day—in other words, before this case was distributed to research platforms and published in various reporters</w:t>
      </w:r>
      <w:r w:rsidR="00BE1C23">
        <w:rPr>
          <w:rStyle w:val="None"/>
          <w:lang w:val="en-US"/>
        </w:rPr>
        <w:t xml:space="preserve">. Once </w:t>
      </w:r>
      <w:proofErr w:type="spellStart"/>
      <w:r w:rsidR="00BF3C3B">
        <w:rPr>
          <w:rStyle w:val="None"/>
          <w:lang w:val="en-US"/>
        </w:rPr>
        <w:t>o</w:t>
      </w:r>
      <w:r>
        <w:rPr>
          <w:rStyle w:val="None"/>
          <w:lang w:val="en-US"/>
        </w:rPr>
        <w:t>nce</w:t>
      </w:r>
      <w:proofErr w:type="spellEnd"/>
      <w:r>
        <w:rPr>
          <w:rStyle w:val="None"/>
          <w:lang w:val="en-US"/>
        </w:rPr>
        <w:t xml:space="preserve"> a case becomes available on a commercial database, use that citation in the legal citation to comply with the Uniform System of Citation.</w:t>
      </w:r>
      <w:r w:rsidR="00D20E29">
        <w:rPr>
          <w:rStyle w:val="None"/>
          <w:lang w:val="en-US"/>
        </w:rPr>
        <w:t xml:space="preserve"> </w:t>
      </w:r>
      <w:r w:rsidR="00BF3C3B">
        <w:rPr>
          <w:rStyle w:val="None"/>
          <w:lang w:val="en-US"/>
        </w:rPr>
        <w:t xml:space="preserve">(We note that this </w:t>
      </w:r>
      <w:r w:rsidR="00D20E29">
        <w:rPr>
          <w:rStyle w:val="None"/>
          <w:lang w:val="en-US"/>
        </w:rPr>
        <w:t xml:space="preserve">would make the citation </w:t>
      </w:r>
      <w:r w:rsidR="00BF3C3B">
        <w:rPr>
          <w:rStyle w:val="None"/>
          <w:lang w:val="en-US"/>
        </w:rPr>
        <w:t xml:space="preserve">arguably </w:t>
      </w:r>
      <w:r w:rsidR="00D20E29">
        <w:rPr>
          <w:rStyle w:val="None"/>
          <w:lang w:val="en-US"/>
        </w:rPr>
        <w:t xml:space="preserve">more accessible to lawyers and court staff with access to commercial databases, but less available to the </w:t>
      </w:r>
      <w:proofErr w:type="gramStart"/>
      <w:r w:rsidR="00D20E29">
        <w:rPr>
          <w:rStyle w:val="None"/>
          <w:lang w:val="en-US"/>
        </w:rPr>
        <w:t>general public</w:t>
      </w:r>
      <w:proofErr w:type="gramEnd"/>
      <w:r w:rsidR="00147019">
        <w:rPr>
          <w:rStyle w:val="None"/>
          <w:lang w:val="en-US"/>
        </w:rPr>
        <w:t xml:space="preserve"> lacking such premium access</w:t>
      </w:r>
      <w:r w:rsidR="00D20E29">
        <w:rPr>
          <w:rStyle w:val="None"/>
          <w:lang w:val="en-US"/>
        </w:rPr>
        <w:t>.</w:t>
      </w:r>
      <w:r w:rsidR="003A580A">
        <w:rPr>
          <w:rStyle w:val="None"/>
          <w:lang w:val="en-US"/>
        </w:rPr>
        <w:t xml:space="preserve">) </w:t>
      </w:r>
    </w:p>
    <w:p w14:paraId="7245EFEA" w14:textId="77777777" w:rsidR="00D0245A" w:rsidRDefault="00D0245A" w:rsidP="003A580A">
      <w:pPr>
        <w:pStyle w:val="Inkling"/>
        <w:rPr>
          <w:rStyle w:val="None"/>
          <w:lang w:val="en-US"/>
        </w:rPr>
      </w:pPr>
    </w:p>
    <w:p w14:paraId="24A13440" w14:textId="65CFDC5E" w:rsidR="00150CE4" w:rsidRPr="003A580A" w:rsidRDefault="003A580A" w:rsidP="003A580A">
      <w:pPr>
        <w:pStyle w:val="Inkling"/>
      </w:pPr>
      <w:r>
        <w:rPr>
          <w:rStyle w:val="None"/>
          <w:lang w:val="en-US"/>
        </w:rPr>
        <w:t xml:space="preserve">And then, if that case is formally “reported” by the court and assigned a reporter designation, </w:t>
      </w:r>
      <w:proofErr w:type="gramStart"/>
      <w:r>
        <w:rPr>
          <w:rStyle w:val="None"/>
          <w:lang w:val="en-US"/>
        </w:rPr>
        <w:t>both of these</w:t>
      </w:r>
      <w:proofErr w:type="gramEnd"/>
      <w:r>
        <w:rPr>
          <w:rStyle w:val="None"/>
          <w:lang w:val="en-US"/>
        </w:rPr>
        <w:t xml:space="preserve"> citations would become incorrect and superseded by the standard citation to the volume, reporter, and page.</w:t>
      </w:r>
      <w:r w:rsidR="0067151B">
        <w:rPr>
          <w:rStyle w:val="None"/>
          <w:lang w:val="en-US"/>
        </w:rPr>
        <w:t xml:space="preserve"> Even that official citation might change years later, </w:t>
      </w:r>
      <w:r>
        <w:rPr>
          <w:rStyle w:val="None"/>
          <w:lang w:val="en-US"/>
        </w:rPr>
        <w:t xml:space="preserve">if that case were overruled or otherwise </w:t>
      </w:r>
      <w:r w:rsidR="0067151B">
        <w:rPr>
          <w:rStyle w:val="None"/>
          <w:lang w:val="en-US"/>
        </w:rPr>
        <w:t xml:space="preserve">subsequently negated, requiring negative history to be appended under </w:t>
      </w:r>
      <w:r w:rsidR="0067151B" w:rsidRPr="0067151B">
        <w:rPr>
          <w:rStyle w:val="Rulereferencecharacterstyle"/>
        </w:rPr>
        <w:t>Rule R14</w:t>
      </w:r>
      <w:r w:rsidR="0067151B">
        <w:rPr>
          <w:rStyle w:val="None"/>
          <w:lang w:val="en-US"/>
        </w:rPr>
        <w:t>.</w:t>
      </w:r>
      <w:r w:rsidR="008C28EB">
        <w:rPr>
          <w:rStyle w:val="None"/>
          <w:lang w:val="en-US"/>
        </w:rPr>
        <w:t xml:space="preserve"> Two key principles to boil all this down are: (1) cite the most authoritative source available to you </w:t>
      </w:r>
      <w:proofErr w:type="gramStart"/>
      <w:r w:rsidR="008C28EB">
        <w:rPr>
          <w:rStyle w:val="None"/>
          <w:lang w:val="en-US"/>
        </w:rPr>
        <w:t>at the moment</w:t>
      </w:r>
      <w:proofErr w:type="gramEnd"/>
      <w:r w:rsidR="008C28EB">
        <w:rPr>
          <w:rStyle w:val="None"/>
          <w:lang w:val="en-US"/>
        </w:rPr>
        <w:t xml:space="preserve"> you create the citation; and (2) cite “good law” or protect your reader by indicating a required caveat about whatever you are citing.</w:t>
      </w:r>
    </w:p>
    <w:p w14:paraId="582C7C66" w14:textId="77777777" w:rsidR="00F5734E" w:rsidRDefault="00F5734E" w:rsidP="00F5734E">
      <w:pPr>
        <w:pStyle w:val="Body"/>
        <w:spacing w:line="320" w:lineRule="atLeast"/>
        <w:rPr>
          <w:rStyle w:val="None"/>
        </w:rPr>
      </w:pP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Ward v. Rock Against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2F497C65" w:rsidR="00F5734E" w:rsidRPr="00AC21D1" w:rsidRDefault="00F5734E" w:rsidP="00AC21D1">
      <w:pPr>
        <w:pStyle w:val="Example"/>
      </w:pPr>
      <w:proofErr w:type="spellStart"/>
      <w:r w:rsidRPr="00AC21D1">
        <w:rPr>
          <w:rStyle w:val="None"/>
          <w:i/>
          <w:iCs/>
        </w:rPr>
        <w:t>Dep’t</w:t>
      </w:r>
      <w:proofErr w:type="spellEnd"/>
      <w:r w:rsidRPr="00AC21D1">
        <w:rPr>
          <w:rStyle w:val="None"/>
          <w:i/>
          <w:iCs/>
        </w:rPr>
        <w:t xml:space="preserve">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on the order of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7777777" w:rsidR="00F5734E" w:rsidRDefault="00F5734E" w:rsidP="00AC21D1">
      <w:pPr>
        <w:pStyle w:val="Example"/>
        <w:rPr>
          <w:rStyle w:val="None"/>
        </w:rPr>
      </w:pPr>
      <w:proofErr w:type="spellStart"/>
      <w:r>
        <w:rPr>
          <w:rStyle w:val="None"/>
          <w:i/>
          <w:iCs/>
        </w:rPr>
        <w:t>Dep’t</w:t>
      </w:r>
      <w:proofErr w:type="spellEnd"/>
      <w:r>
        <w:rPr>
          <w:rStyle w:val="None"/>
          <w:i/>
          <w:iCs/>
        </w:rPr>
        <w:t xml:space="preserve"> of Revenue v. James B. Beam Distilling Co.</w:t>
      </w:r>
      <w:r>
        <w:rPr>
          <w:rStyle w:val="None"/>
        </w:rPr>
        <w:t>, 377 U.S. 341, 349 (1964) (7–2 decision) (Black, J., dissenting) (disagreeing with Justice Goldberg as to the relative merits of bourbon and scotch).</w:t>
      </w:r>
    </w:p>
    <w:p w14:paraId="679263B4" w14:textId="77777777" w:rsidR="00F5734E" w:rsidRDefault="00F5734E" w:rsidP="00AC21D1">
      <w:pPr>
        <w:pStyle w:val="Example"/>
        <w:rPr>
          <w:rStyle w:val="None"/>
        </w:rPr>
      </w:pPr>
    </w:p>
    <w:p w14:paraId="7607EAE5" w14:textId="77777777" w:rsidR="00F5734E" w:rsidRDefault="00F5734E" w:rsidP="00F5734E">
      <w:pPr>
        <w:pStyle w:val="Body"/>
        <w:tabs>
          <w:tab w:val="left" w:pos="1440"/>
        </w:tabs>
        <w:spacing w:before="150" w:after="90"/>
        <w:ind w:left="1080"/>
        <w:rPr>
          <w:rFonts w:ascii="Georgia" w:hAnsi="Georgia"/>
        </w:rPr>
      </w:pPr>
    </w:p>
    <w:p w14:paraId="28CB52B9" w14:textId="148B1420" w:rsidR="00F5734E" w:rsidRPr="007D1359" w:rsidRDefault="00F5734E" w:rsidP="003E5933">
      <w:pPr>
        <w:pStyle w:val="Heading3"/>
        <w:rPr>
          <w:rStyle w:val="None"/>
          <w:b w:val="0"/>
          <w:bCs w:val="0"/>
          <w:sz w:val="27"/>
          <w:szCs w:val="27"/>
        </w:rPr>
      </w:pPr>
      <w:bookmarkStart w:id="28" w:name="_Toc78928054"/>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8"/>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When citing a case, include the subsequent history of the case, subject to several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an important role in defining what the law is. To figure out the difference between good law and bad law, we </w:t>
      </w:r>
      <w:proofErr w:type="gramStart"/>
      <w:r>
        <w:rPr>
          <w:rStyle w:val="None"/>
          <w:lang w:val="en-US"/>
        </w:rPr>
        <w:t>have to</w:t>
      </w:r>
      <w:proofErr w:type="gramEnd"/>
      <w:r>
        <w:rPr>
          <w:rStyle w:val="None"/>
          <w:lang w:val="en-US"/>
        </w:rPr>
        <w:t xml:space="preserve"> look at the case’s subsequent history to make sure it was not vacated or reversed on the point being relied upon in a cited assertion. These types of important subsequent history are required by the Uniform System of Citation. On the other hand, some subsequent history is generally unimportant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some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 xml:space="preserve">Note that subsequent history is the history of that </w:t>
      </w:r>
      <w:proofErr w:type="gramStart"/>
      <w:r>
        <w:rPr>
          <w:rStyle w:val="None"/>
          <w:lang w:val="en-US"/>
        </w:rPr>
        <w:t>particular case</w:t>
      </w:r>
      <w:proofErr w:type="gramEnd"/>
      <w:r>
        <w:rPr>
          <w:rStyle w:val="None"/>
          <w:lang w:val="en-US"/>
        </w:rPr>
        <w:t xml:space="preserv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was later overruled,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being made.</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559EE280"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italicized, 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whether the primary case being cited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405"/>
        <w:gridCol w:w="4331"/>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affirmed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r w:rsidRPr="00136CD8">
              <w:rPr>
                <w:rStyle w:val="None"/>
                <w:i/>
                <w:iCs/>
              </w:rPr>
              <w:t>rev’d</w:t>
            </w:r>
            <w:proofErr w:type="spell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w:t>
            </w:r>
            <w:r w:rsidR="003A0688">
              <w:rPr>
                <w:rStyle w:val="None"/>
              </w:rPr>
              <w:t>.</w:t>
            </w:r>
            <w:r w:rsidR="00E82704">
              <w:rPr>
                <w:rStyle w:val="None"/>
              </w:rPr>
              <w:t xml:space="preserve"> Note this subsequent history can be combined with </w:t>
            </w:r>
            <w:proofErr w:type="spellStart"/>
            <w:r w:rsidR="00E82704">
              <w:rPr>
                <w:rStyle w:val="None"/>
                <w:i/>
                <w:iCs/>
              </w:rPr>
              <w:t>rev’d</w:t>
            </w:r>
            <w:proofErr w:type="spell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r w:rsidRPr="00136CD8">
              <w:rPr>
                <w:rStyle w:val="None"/>
                <w:i/>
                <w:iCs/>
              </w:rPr>
              <w:t>rev’d</w:t>
            </w:r>
            <w:proofErr w:type="spell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cert. denied</w:t>
            </w:r>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proofErr w:type="gramStart"/>
            <w:r w:rsidR="003A0688">
              <w:rPr>
                <w:rStyle w:val="None"/>
              </w:rPr>
              <w:t>only</w:t>
            </w:r>
            <w:proofErr w:type="gramEnd"/>
            <w:r w:rsidR="003A0688">
              <w:rPr>
                <w:rStyle w:val="None"/>
              </w:rPr>
              <w:t xml:space="preserve">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vacated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In re Verizon Internet Servs., Inc.</w:t>
      </w:r>
      <w:r w:rsidRPr="00755409">
        <w:rPr>
          <w:rStyle w:val="None"/>
        </w:rPr>
        <w:t>, 257 F. Supp. 2d 244 (D.D.C. 2003), </w:t>
      </w:r>
      <w:proofErr w:type="spellStart"/>
      <w:r w:rsidRPr="00755409">
        <w:rPr>
          <w:rStyle w:val="None"/>
          <w:i/>
          <w:iCs/>
        </w:rPr>
        <w:t>rev’d</w:t>
      </w:r>
      <w:proofErr w:type="spell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Servs., Inc.</w:t>
      </w:r>
      <w:r w:rsidRPr="00755409">
        <w:rPr>
          <w:rStyle w:val="None"/>
        </w:rPr>
        <w:t xml:space="preserve">, 351 F.3d 1229 (D.C. Cir. 2003). </w:t>
      </w:r>
    </w:p>
    <w:p w14:paraId="5A4EA4A4" w14:textId="4057203F" w:rsidR="00F5734E" w:rsidRPr="00755409" w:rsidRDefault="00F009ED" w:rsidP="00755409">
      <w:pPr>
        <w:pStyle w:val="Example"/>
        <w:rPr>
          <w:rStyle w:val="None"/>
        </w:rPr>
      </w:pPr>
      <w:r w:rsidRPr="00755409">
        <w:rPr>
          <w:rStyle w:val="None"/>
        </w:rPr>
        <w:t>—</w:t>
      </w:r>
      <w:r w:rsidR="00F5734E" w:rsidRPr="00755409">
        <w:rPr>
          <w:rStyle w:val="None"/>
        </w:rPr>
        <w:t>Note: This subsequent history is always required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6237E72E" w:rsidR="00F5734E" w:rsidRPr="00755409" w:rsidRDefault="00F009ED" w:rsidP="00755409">
      <w:pPr>
        <w:pStyle w:val="Example"/>
        <w:rPr>
          <w:rStyle w:val="None"/>
        </w:rPr>
      </w:pPr>
      <w:r w:rsidRPr="00755409">
        <w:rPr>
          <w:rStyle w:val="None"/>
        </w:rPr>
        <w:t>—</w:t>
      </w:r>
      <w:r w:rsidR="00F5734E" w:rsidRPr="00755409">
        <w:rPr>
          <w:rStyle w:val="None"/>
        </w:rPr>
        <w:t>Note: This would be an appropriate citation while the Supreme Court’s decision and opinion remained pending. After the opinion, it is unlikely that this citation would be needed since the Supreme Court opinion itself is the final authority.</w:t>
      </w:r>
      <w:r w:rsidR="00A811EF" w:rsidRPr="00755409">
        <w:rPr>
          <w:rStyle w:val="None"/>
        </w:rPr>
        <w:t xml:space="preserve"> The citation for cert. granted could replace the docket number with a Lexis or Westlaw database code referring directly to the grant of certiorari.</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Env't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Note: This denial of certiorari is included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76DEE08C"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 xml:space="preserve">collateral </w:t>
      </w:r>
      <w:proofErr w:type="gramStart"/>
      <w:r>
        <w:rPr>
          <w:rStyle w:val="None"/>
        </w:rPr>
        <w:t>litigatio</w:t>
      </w:r>
      <w:r w:rsidR="004449CB">
        <w:rPr>
          <w:rStyle w:val="None"/>
        </w:rPr>
        <w:t>n</w:t>
      </w:r>
      <w:proofErr w:type="gramEnd"/>
      <w:r w:rsidR="00755409">
        <w:rPr>
          <w:rStyle w:val="None"/>
        </w:rPr>
        <w:t>,</w:t>
      </w:r>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is </w:t>
      </w:r>
      <w:r w:rsidR="00BC36D8">
        <w:rPr>
          <w:rStyle w:val="None"/>
          <w:i/>
          <w:iCs/>
        </w:rPr>
        <w:t>overruled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is superseded by statute or by a constitutional amendment. </w:t>
      </w:r>
      <w:r w:rsidR="00711E25">
        <w:rPr>
          <w:rStyle w:val="None"/>
        </w:rPr>
        <w:t>The subsequent legislative or constitutional history may be noted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Mut. Ins. Co.</w:t>
      </w:r>
      <w:r w:rsidRPr="00E30769">
        <w:rPr>
          <w:rStyle w:val="None"/>
        </w:rPr>
        <w:t xml:space="preserve">, 379 N.W.2d 860 (Wis. Ct. App. 1985), </w:t>
      </w:r>
      <w:r w:rsidR="001B7BE4" w:rsidRPr="001B4056">
        <w:rPr>
          <w:rStyle w:val="None"/>
          <w:i/>
          <w:iCs/>
        </w:rPr>
        <w:t>overruled by Hull v. St. Farm Mut.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3989B287"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(“under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Comm’r</w:t>
      </w:r>
      <w:r>
        <w:rPr>
          <w:rStyle w:val="None"/>
          <w:lang w:val="en-US"/>
        </w:rPr>
        <w:t>, 939 F.2d 44 (3d Cir. 1991), </w:t>
      </w:r>
      <w:proofErr w:type="spellStart"/>
      <w:r>
        <w:rPr>
          <w:rStyle w:val="None"/>
          <w:i/>
          <w:iCs/>
          <w:lang w:val="en-US"/>
        </w:rPr>
        <w:t>rev’d</w:t>
      </w:r>
      <w:proofErr w:type="spellEnd"/>
      <w:r>
        <w:rPr>
          <w:rStyle w:val="None"/>
          <w:i/>
          <w:iCs/>
          <w:lang w:val="en-US"/>
        </w:rPr>
        <w:t xml:space="preserve"> sub nom. Horn v. Comm’r</w:t>
      </w:r>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provide the new case name if either the parties’ names are merely reversed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 xml:space="preserve">United States v. </w:t>
      </w:r>
      <w:proofErr w:type="gramStart"/>
      <w:r>
        <w:rPr>
          <w:rStyle w:val="None"/>
          <w:i/>
          <w:iCs/>
          <w:lang w:val="en-US"/>
        </w:rPr>
        <w:t>Schmuck</w:t>
      </w:r>
      <w:proofErr w:type="gramEnd"/>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 xml:space="preserve">United States v. </w:t>
      </w:r>
      <w:proofErr w:type="gramStart"/>
      <w:r>
        <w:rPr>
          <w:rStyle w:val="None"/>
          <w:i/>
          <w:iCs/>
          <w:lang w:val="en-US"/>
        </w:rPr>
        <w:t>Schmuck</w:t>
      </w:r>
      <w:proofErr w:type="gramEnd"/>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77777777" w:rsidR="00F5734E" w:rsidRDefault="00F5734E" w:rsidP="00800FB1">
      <w:pPr>
        <w:pStyle w:val="Example"/>
        <w:rPr>
          <w:rStyle w:val="None"/>
        </w:rPr>
      </w:pPr>
      <w:r>
        <w:rPr>
          <w:rStyle w:val="None"/>
          <w:i/>
          <w:iCs/>
        </w:rPr>
        <w:t xml:space="preserve">Rives &amp; Owen v. </w:t>
      </w:r>
      <w:proofErr w:type="spellStart"/>
      <w:r>
        <w:rPr>
          <w:rStyle w:val="None"/>
          <w:i/>
          <w:iCs/>
        </w:rPr>
        <w:t>Wilborne</w:t>
      </w:r>
      <w:proofErr w:type="spellEnd"/>
      <w:r>
        <w:rPr>
          <w:rStyle w:val="None"/>
        </w:rPr>
        <w:t>, 6 Ala. 45, 47 (Ala.)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1E63D5B" w:rsidR="00F5734E" w:rsidRDefault="00F5734E" w:rsidP="004631F5">
      <w:pPr>
        <w:pStyle w:val="Inkling"/>
        <w:rPr>
          <w:rStyle w:val="None"/>
          <w:lang w:val="en-US"/>
        </w:rPr>
      </w:pPr>
      <w:r>
        <w:rPr>
          <w:rStyle w:val="None"/>
          <w:lang w:val="en-US"/>
        </w:rPr>
        <w:t xml:space="preserve">Legal citation is not just a set of formatting rules, but an expression of ethics, an expression extending far beyond the dictate to literally cite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Pr>
          <w:rStyle w:val="None"/>
          <w:i/>
          <w:iCs/>
          <w:lang w:val="en-US"/>
        </w:rPr>
        <w:t>See, e.g.</w:t>
      </w:r>
      <w:r>
        <w:rPr>
          <w:rStyle w:val="None"/>
          <w:lang w:val="en-US"/>
        </w:rPr>
        <w:t xml:space="preserve">, Susie Salmon, </w:t>
      </w:r>
      <w:r>
        <w:rPr>
          <w:rStyle w:val="None"/>
          <w:i/>
          <w:iCs/>
          <w:lang w:val="en-US"/>
        </w:rPr>
        <w:t>Shedding the Uniform: Beyond a “Uniform System of Citation” to a More Efficient Fit</w:t>
      </w:r>
      <w:r>
        <w:rPr>
          <w:rStyle w:val="None"/>
          <w:lang w:val="en-US"/>
        </w:rPr>
        <w:t xml:space="preserve">, 99 </w:t>
      </w:r>
      <w:proofErr w:type="spellStart"/>
      <w:r>
        <w:rPr>
          <w:rStyle w:val="None"/>
          <w:lang w:val="en-US"/>
        </w:rPr>
        <w:t>Marq</w:t>
      </w:r>
      <w:proofErr w:type="spellEnd"/>
      <w:r>
        <w:rPr>
          <w:rStyle w:val="None"/>
          <w:lang w:val="en-US"/>
        </w:rPr>
        <w:t xml:space="preserve">. L. Rev. 763 (2016); Jennifer Elisa Chapman, </w:t>
      </w:r>
      <w:r>
        <w:rPr>
          <w:rStyle w:val="None"/>
          <w:i/>
          <w:iCs/>
          <w:lang w:val="en-US"/>
        </w:rPr>
        <w:t>Citation Ethics: Toward an Ethical Framework of Legal Citation</w:t>
      </w:r>
      <w:r>
        <w:rPr>
          <w:rStyle w:val="None"/>
          <w:lang w:val="en-US"/>
        </w:rPr>
        <w:t xml:space="preserve"> (May 29, 2021), Yale Law Library Citation and the Law Symposium (forthcoming</w:t>
      </w:r>
      <w:r w:rsidR="004631F5">
        <w:rPr>
          <w:rStyle w:val="None"/>
          <w:lang w:val="en-US"/>
        </w:rPr>
        <w:t xml:space="preserve"> 2021</w:t>
      </w:r>
      <w:r>
        <w:rPr>
          <w:rStyle w:val="None"/>
          <w:lang w:val="en-US"/>
        </w:rPr>
        <w:t xml:space="preserve">), </w:t>
      </w:r>
      <w:r w:rsidRPr="004631F5">
        <w:rPr>
          <w:rStyle w:val="None"/>
          <w:i/>
          <w:iCs/>
          <w:lang w:val="en-US"/>
        </w:rPr>
        <w:t>available at</w:t>
      </w:r>
      <w:r>
        <w:rPr>
          <w:rStyle w:val="None"/>
          <w:lang w:val="en-US"/>
        </w:rPr>
        <w:t xml:space="preserve"> https://ssrn.com/abstract=3856202. Citation of cases involving enslaved persons are one example. Historically, these cases were cited no differently than any other case. As of January 2021, the latest printing of </w:t>
      </w:r>
      <w:r>
        <w:rPr>
          <w:rStyle w:val="None"/>
          <w:i/>
          <w:iCs/>
          <w:lang w:val="en-US"/>
        </w:rPr>
        <w:t>The Bluebook</w:t>
      </w:r>
      <w:r>
        <w:rPr>
          <w:rStyle w:val="None"/>
          <w:lang w:val="en-US"/>
        </w:rPr>
        <w:t xml:space="preserve"> (21st ed.) added a rule to expand the citation for such cases, which must now include a parenthetical indicating that </w:t>
      </w:r>
      <w:proofErr w:type="gramStart"/>
      <w:r>
        <w:rPr>
          <w:rStyle w:val="None"/>
          <w:lang w:val="en-US"/>
        </w:rPr>
        <w:t>a</w:t>
      </w:r>
      <w:proofErr w:type="gramEnd"/>
      <w:r>
        <w:rPr>
          <w:rStyle w:val="None"/>
          <w:lang w:val="en-US"/>
        </w:rPr>
        <w:t xml:space="preserve"> enslaved person or people were parties or at issue in the case. This Second Edition of </w:t>
      </w:r>
      <w:r>
        <w:rPr>
          <w:rStyle w:val="None"/>
          <w:i/>
          <w:iCs/>
          <w:lang w:val="en-US"/>
        </w:rPr>
        <w:t>The Indigo Book</w:t>
      </w:r>
      <w:r>
        <w:rPr>
          <w:rStyle w:val="None"/>
          <w:lang w:val="en-US"/>
        </w:rPr>
        <w:t xml:space="preserve"> expresses this rule as </w:t>
      </w:r>
      <w:proofErr w:type="gramStart"/>
      <w:r>
        <w:rPr>
          <w:rStyle w:val="None"/>
          <w:lang w:val="en-US"/>
        </w:rPr>
        <w:t>well, and</w:t>
      </w:r>
      <w:proofErr w:type="gramEnd"/>
      <w:r>
        <w:rPr>
          <w:rStyle w:val="None"/>
          <w:i/>
          <w:iCs/>
          <w:lang w:val="en-US"/>
        </w:rPr>
        <w:t xml:space="preserve"> </w:t>
      </w:r>
      <w:r>
        <w:rPr>
          <w:rStyle w:val="None"/>
          <w:lang w:val="en-US"/>
        </w:rPr>
        <w:t xml:space="preserve">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29" w:name="_Toc78928055"/>
      <w:r>
        <w:rPr>
          <w:rStyle w:val="None"/>
          <w:sz w:val="27"/>
          <w:szCs w:val="27"/>
        </w:rPr>
        <w:t>R15</w:t>
      </w:r>
      <w:r w:rsidR="00A64F1E">
        <w:rPr>
          <w:rStyle w:val="None"/>
          <w:sz w:val="27"/>
          <w:szCs w:val="27"/>
        </w:rPr>
        <w:tab/>
      </w:r>
      <w:r>
        <w:rPr>
          <w:rStyle w:val="None"/>
          <w:sz w:val="27"/>
          <w:szCs w:val="27"/>
        </w:rPr>
        <w:t>Short Form Citation for Cases</w:t>
      </w:r>
      <w:bookmarkEnd w:id="29"/>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Once a case has been cited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2C9F64" w:rsidR="00F5734E" w:rsidRDefault="00713552" w:rsidP="00A032DC">
      <w:pPr>
        <w:pStyle w:val="Rule"/>
        <w:ind w:left="0"/>
        <w:rPr>
          <w:rStyle w:val="None"/>
        </w:rPr>
      </w:pPr>
      <w:r>
        <w:rPr>
          <w:rStyle w:val="None"/>
        </w:rPr>
        <w:t>For the case name, u</w:t>
      </w:r>
      <w:r w:rsidR="00F5734E">
        <w:rPr>
          <w:rStyle w:val="None"/>
        </w:rPr>
        <w:t xml:space="preserve">se the chosen party’s name—usually the first-named party’s name—consistent with these rules for selecting a short-form citation and consistent with the abbreviation rules in </w:t>
      </w:r>
      <w:r w:rsidR="00F5734E" w:rsidRPr="00A032DC">
        <w:rPr>
          <w:rStyle w:val="Rulereferencecharacterstyle"/>
        </w:rPr>
        <w:t>Rule R11</w:t>
      </w:r>
      <w:r w:rsidR="00F5734E">
        <w:rPr>
          <w:rStyle w:val="None"/>
        </w:rPr>
        <w:t xml:space="preserve"> for all case names (full citation or short citation</w:t>
      </w:r>
      <w:proofErr w:type="gramStart"/>
      <w:r w:rsidR="00F5734E">
        <w:rPr>
          <w:rStyle w:val="None"/>
        </w:rPr>
        <w:t>).</w:t>
      </w:r>
      <w:r>
        <w:rPr>
          <w:rStyle w:val="None"/>
        </w:rPr>
        <w:t>For</w:t>
      </w:r>
      <w:proofErr w:type="gramEnd"/>
      <w:r>
        <w:rPr>
          <w:rStyle w:val="None"/>
        </w:rPr>
        <w:t xml:space="preserve"> the citation format, include the volume of the reporter, the reporter, the word “at” and the </w:t>
      </w:r>
      <w:proofErr w:type="spellStart"/>
      <w:r>
        <w:rPr>
          <w:rStyle w:val="None"/>
        </w:rPr>
        <w:t>pincite</w:t>
      </w:r>
      <w:proofErr w:type="spellEnd"/>
      <w:r>
        <w:rPr>
          <w:rStyle w:val="None"/>
        </w:rPr>
        <w:t xml:space="preserve"> to the page being cited.</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fair market value of property due to the flying balls. 233 N.E.2d at 219.</w:t>
      </w: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fair market value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44801DD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proofErr w:type="gramStart"/>
      <w:r w:rsidRPr="00616CD0">
        <w:rPr>
          <w:rStyle w:val="None"/>
        </w:rPr>
        <w:t>In</w:t>
      </w:r>
      <w:proofErr w:type="gramEnd"/>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Case names can be long, so various short-citation forms must be used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be used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When a short form may be used</w:t>
      </w:r>
    </w:p>
    <w:p w14:paraId="261B5F22" w14:textId="4CE537F3" w:rsidR="005A1C17" w:rsidRDefault="00867859" w:rsidP="00AB39EA">
      <w:pPr>
        <w:pStyle w:val="Rule"/>
        <w:ind w:left="0"/>
        <w:rPr>
          <w:rStyle w:val="None"/>
        </w:rPr>
      </w:pPr>
      <w:r>
        <w:rPr>
          <w:rStyle w:val="None"/>
        </w:rPr>
        <w:t xml:space="preserve">Once a case has been cited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be </w:t>
      </w:r>
      <w:r w:rsidR="002A0C7D">
        <w:rPr>
          <w:rStyle w:val="None"/>
        </w:rPr>
        <w:t>applied</w:t>
      </w:r>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As with full citations, the case name is italicized but the comma after the case name is not italicized.</w:t>
      </w:r>
      <w:r w:rsidR="00C064EF">
        <w:rPr>
          <w:rStyle w:val="None"/>
        </w:rPr>
        <w:t xml:space="preserve"> </w:t>
      </w:r>
      <w:r w:rsidR="00860712">
        <w:rPr>
          <w:rStyle w:val="None"/>
        </w:rPr>
        <w:t xml:space="preserve">The shortened citation form omits the “v.” (for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is incorporated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Exceptions to using the first party of the case name</w:t>
      </w:r>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is used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Gonzalez v. Raich</w:t>
      </w:r>
      <w:r>
        <w:rPr>
          <w:rStyle w:val="None"/>
        </w:rPr>
        <w:t>, 545 U.S. 1 (2005) becomes </w:t>
      </w:r>
      <w:r>
        <w:rPr>
          <w:rStyle w:val="None"/>
          <w:i/>
          <w:iCs/>
        </w:rPr>
        <w:t>Raich</w:t>
      </w:r>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Shortening party names</w:t>
      </w:r>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w:t>
      </w:r>
      <w:proofErr w:type="gramStart"/>
      <w:r>
        <w:rPr>
          <w:rStyle w:val="None"/>
        </w:rPr>
        <w:t>at</w:t>
      </w:r>
      <w:proofErr w:type="gramEnd"/>
      <w:r>
        <w:rPr>
          <w:rStyle w:val="None"/>
        </w:rPr>
        <w:t xml:space="preserve">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0089E0C2"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xml:space="preserve"> as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be copyrighted.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77777777" w:rsidR="00F5734E" w:rsidRDefault="00F5734E" w:rsidP="00FF4865">
      <w:pPr>
        <w:pStyle w:val="Example"/>
      </w:pPr>
      <w:r>
        <w:rPr>
          <w:rStyle w:val="None"/>
        </w:rPr>
        <w:t xml:space="preserve">Fair use is ultimately a legal question because the question “primarily involves legal work.” </w:t>
      </w:r>
      <w:r>
        <w:rPr>
          <w:rStyle w:val="None"/>
          <w:i/>
          <w:iCs/>
        </w:rPr>
        <w:t>Google LLC v. Oracle Am., Inc.</w:t>
      </w:r>
      <w:r>
        <w:rPr>
          <w:rStyle w:val="None"/>
        </w:rPr>
        <w:t xml:space="preserve">, 141 S. Ct. 1183, 1199 (2021). Although it may involve “subsidiary factual questions,”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references</w:t>
      </w:r>
    </w:p>
    <w:p w14:paraId="458808AF" w14:textId="77777777" w:rsidR="00F5734E" w:rsidRDefault="00F5734E" w:rsidP="00FF4865">
      <w:pPr>
        <w:pStyle w:val="Rule"/>
        <w:ind w:left="0"/>
      </w:pPr>
      <w:r>
        <w:rPr>
          <w:rStyle w:val="None"/>
          <w:i/>
          <w:iCs/>
        </w:rPr>
        <w:t>Id.</w:t>
      </w:r>
      <w:r>
        <w:rPr>
          <w:rStyle w:val="None"/>
        </w:rPr>
        <w:t xml:space="preserve"> should be used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Default="00F5734E" w:rsidP="00050411">
      <w:pPr>
        <w:pStyle w:val="InklingTitle"/>
        <w:rPr>
          <w:rStyle w:val="None"/>
          <w:b w:val="0"/>
          <w:bCs w:val="0"/>
          <w:smallCaps w:val="0"/>
          <w:color w:val="4B0082"/>
          <w:shd w:val="clear" w:color="auto" w:fill="C0C0C0"/>
          <w:lang w:val="en-US"/>
        </w:rPr>
      </w:pPr>
      <w:r w:rsidRPr="00050411">
        <w:rPr>
          <w:rStyle w:val="None"/>
          <w:color w:val="4B0082"/>
          <w:lang w:val="en-US"/>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550DE261" w:rsidR="00F5734E" w:rsidRDefault="00F5734E" w:rsidP="00050411">
      <w:pPr>
        <w:pStyle w:val="Inkling"/>
        <w:rPr>
          <w:rStyle w:val="None"/>
        </w:rPr>
      </w:pPr>
      <w:r>
        <w:rPr>
          <w:rStyle w:val="None"/>
        </w:rPr>
        <w:t xml:space="preserve">The short form </w:t>
      </w:r>
      <w:r w:rsidRPr="00685687">
        <w:rPr>
          <w:rStyle w:val="None"/>
          <w:i/>
          <w:iCs/>
        </w:rPr>
        <w:t>id.</w:t>
      </w:r>
      <w:r w:rsidR="00685687">
        <w:rPr>
          <w:rStyle w:val="None"/>
        </w:rPr>
        <w:t xml:space="preserve">—capitalized as </w:t>
      </w:r>
      <w:r w:rsidR="00685687">
        <w:rPr>
          <w:rStyle w:val="None"/>
          <w:i/>
          <w:iCs/>
        </w:rPr>
        <w:t>Id.</w:t>
      </w:r>
      <w:r w:rsidR="00685687">
        <w:rPr>
          <w:rStyle w:val="None"/>
        </w:rPr>
        <w:t xml:space="preserve"> when it starts a citation sentence—</w:t>
      </w:r>
      <w:r>
        <w:rPr>
          <w:rStyle w:val="None"/>
        </w:rPr>
        <w:t>can be used only to refer to the immediately preceding citation</w:t>
      </w:r>
      <w:r w:rsidR="00685687">
        <w:rPr>
          <w:rStyle w:val="None"/>
        </w:rPr>
        <w:t>. T</w:t>
      </w:r>
      <w:r>
        <w:rPr>
          <w:rStyle w:val="None"/>
        </w:rPr>
        <w:t xml:space="preserve">he standard for what is immediately preceding is strict indeed. Do not use </w:t>
      </w:r>
      <w:r>
        <w:rPr>
          <w:rStyle w:val="None"/>
          <w:i/>
          <w:iCs/>
        </w:rPr>
        <w:t>id.</w:t>
      </w:r>
      <w:r>
        <w:rPr>
          <w:rStyle w:val="None"/>
        </w:rPr>
        <w:t xml:space="preserve"> simply because a full citation has been given somewhere previously in the text. </w:t>
      </w:r>
      <w:r>
        <w:rPr>
          <w:rStyle w:val="None"/>
          <w:i/>
          <w:iCs/>
        </w:rPr>
        <w:t>Id.</w:t>
      </w:r>
      <w:r>
        <w:rPr>
          <w:rStyle w:val="None"/>
        </w:rPr>
        <w:t xml:space="preserve"> can follow a single citation; a string citation terminates the opportunity to use </w:t>
      </w:r>
      <w:r>
        <w:rPr>
          <w:rStyle w:val="None"/>
          <w:i/>
          <w:iCs/>
        </w:rPr>
        <w:t xml:space="preserve">id. </w:t>
      </w:r>
      <w:r>
        <w:rPr>
          <w:rStyle w:val="None"/>
        </w:rPr>
        <w:t xml:space="preserve">next. Indeed, any reference by name to an intervening authority, even without an actual citation, also terminates the opportunity to use </w:t>
      </w:r>
      <w:r>
        <w:rPr>
          <w:rStyle w:val="None"/>
          <w:i/>
          <w:iCs/>
        </w:rPr>
        <w:t>id.</w:t>
      </w:r>
      <w:r>
        <w:rPr>
          <w:rStyle w:val="None"/>
        </w:rPr>
        <w:t xml:space="preserve"> next.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deral">
    <w:altName w:val="Cambria"/>
    <w:charset w:val="00"/>
    <w:family w:val="roman"/>
    <w:pitch w:val="default"/>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 w:numId="20">
    <w:abstractNumId w:val="20"/>
  </w:num>
  <w:num w:numId="21">
    <w:abstractNumId w:val="11"/>
  </w:num>
  <w:num w:numId="22">
    <w:abstractNumId w:val="22"/>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734E"/>
    <w:rsid w:val="00000FC3"/>
    <w:rsid w:val="00003A97"/>
    <w:rsid w:val="00007F30"/>
    <w:rsid w:val="00013E9A"/>
    <w:rsid w:val="000251ED"/>
    <w:rsid w:val="00030943"/>
    <w:rsid w:val="000325F3"/>
    <w:rsid w:val="00041555"/>
    <w:rsid w:val="00042C7E"/>
    <w:rsid w:val="00050411"/>
    <w:rsid w:val="00050D8E"/>
    <w:rsid w:val="00061EB7"/>
    <w:rsid w:val="00065C55"/>
    <w:rsid w:val="00082F37"/>
    <w:rsid w:val="00083161"/>
    <w:rsid w:val="000A2C8E"/>
    <w:rsid w:val="000A3D86"/>
    <w:rsid w:val="000B2F1A"/>
    <w:rsid w:val="000C4B4A"/>
    <w:rsid w:val="000C7EF9"/>
    <w:rsid w:val="000D0B7B"/>
    <w:rsid w:val="000D5152"/>
    <w:rsid w:val="000D5864"/>
    <w:rsid w:val="000D7E18"/>
    <w:rsid w:val="000E140E"/>
    <w:rsid w:val="000F0FD4"/>
    <w:rsid w:val="000F4FE2"/>
    <w:rsid w:val="000F6953"/>
    <w:rsid w:val="0010295B"/>
    <w:rsid w:val="00110911"/>
    <w:rsid w:val="001157FA"/>
    <w:rsid w:val="00122483"/>
    <w:rsid w:val="00124323"/>
    <w:rsid w:val="0012610C"/>
    <w:rsid w:val="001262D6"/>
    <w:rsid w:val="001273B1"/>
    <w:rsid w:val="001308B4"/>
    <w:rsid w:val="00136CD8"/>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C6E0C"/>
    <w:rsid w:val="002D795F"/>
    <w:rsid w:val="002E551D"/>
    <w:rsid w:val="002F3335"/>
    <w:rsid w:val="003144AA"/>
    <w:rsid w:val="00333A33"/>
    <w:rsid w:val="003356D3"/>
    <w:rsid w:val="003367D7"/>
    <w:rsid w:val="00350FE1"/>
    <w:rsid w:val="00353401"/>
    <w:rsid w:val="00355DFB"/>
    <w:rsid w:val="003610E3"/>
    <w:rsid w:val="00366383"/>
    <w:rsid w:val="00376621"/>
    <w:rsid w:val="00381D79"/>
    <w:rsid w:val="00383A01"/>
    <w:rsid w:val="003A0688"/>
    <w:rsid w:val="003A580A"/>
    <w:rsid w:val="003B0691"/>
    <w:rsid w:val="003C088A"/>
    <w:rsid w:val="003C359C"/>
    <w:rsid w:val="003C62F1"/>
    <w:rsid w:val="003D1967"/>
    <w:rsid w:val="003E5933"/>
    <w:rsid w:val="003F1043"/>
    <w:rsid w:val="003F7CE5"/>
    <w:rsid w:val="00401430"/>
    <w:rsid w:val="00402ABF"/>
    <w:rsid w:val="0041179D"/>
    <w:rsid w:val="004214B7"/>
    <w:rsid w:val="00423CA4"/>
    <w:rsid w:val="00436A39"/>
    <w:rsid w:val="0044390A"/>
    <w:rsid w:val="004447BA"/>
    <w:rsid w:val="004449CB"/>
    <w:rsid w:val="00446B5A"/>
    <w:rsid w:val="004528F4"/>
    <w:rsid w:val="004631F5"/>
    <w:rsid w:val="00463341"/>
    <w:rsid w:val="004752B2"/>
    <w:rsid w:val="0048614A"/>
    <w:rsid w:val="0049366A"/>
    <w:rsid w:val="0049646C"/>
    <w:rsid w:val="004A58A0"/>
    <w:rsid w:val="004A5BD7"/>
    <w:rsid w:val="004B1F40"/>
    <w:rsid w:val="004B6E2B"/>
    <w:rsid w:val="004E1FC5"/>
    <w:rsid w:val="004F0002"/>
    <w:rsid w:val="004F32EB"/>
    <w:rsid w:val="004F3DD0"/>
    <w:rsid w:val="004F56D8"/>
    <w:rsid w:val="0051316F"/>
    <w:rsid w:val="00515FB7"/>
    <w:rsid w:val="00516A4C"/>
    <w:rsid w:val="00543C2D"/>
    <w:rsid w:val="00556A89"/>
    <w:rsid w:val="00556B38"/>
    <w:rsid w:val="00573D0F"/>
    <w:rsid w:val="005839A9"/>
    <w:rsid w:val="0058654E"/>
    <w:rsid w:val="005A0AFE"/>
    <w:rsid w:val="005A13A0"/>
    <w:rsid w:val="005A1C17"/>
    <w:rsid w:val="005B163B"/>
    <w:rsid w:val="005E4A85"/>
    <w:rsid w:val="005F4B6C"/>
    <w:rsid w:val="00604A58"/>
    <w:rsid w:val="00606AD7"/>
    <w:rsid w:val="00616CD0"/>
    <w:rsid w:val="006344AE"/>
    <w:rsid w:val="00644066"/>
    <w:rsid w:val="006462E3"/>
    <w:rsid w:val="00653B7C"/>
    <w:rsid w:val="0067151B"/>
    <w:rsid w:val="006760A5"/>
    <w:rsid w:val="00680836"/>
    <w:rsid w:val="00681994"/>
    <w:rsid w:val="00681C0B"/>
    <w:rsid w:val="00685687"/>
    <w:rsid w:val="0069199F"/>
    <w:rsid w:val="006B05D1"/>
    <w:rsid w:val="006D588C"/>
    <w:rsid w:val="006D71E5"/>
    <w:rsid w:val="006E462E"/>
    <w:rsid w:val="006E78DF"/>
    <w:rsid w:val="006F2AA8"/>
    <w:rsid w:val="00711E25"/>
    <w:rsid w:val="00712D7B"/>
    <w:rsid w:val="00713552"/>
    <w:rsid w:val="00714039"/>
    <w:rsid w:val="00723052"/>
    <w:rsid w:val="00723897"/>
    <w:rsid w:val="00736FAA"/>
    <w:rsid w:val="00741217"/>
    <w:rsid w:val="00741B68"/>
    <w:rsid w:val="0074298C"/>
    <w:rsid w:val="00755409"/>
    <w:rsid w:val="007576E3"/>
    <w:rsid w:val="00762E12"/>
    <w:rsid w:val="00765EEA"/>
    <w:rsid w:val="00783C24"/>
    <w:rsid w:val="007A5B84"/>
    <w:rsid w:val="007B0C69"/>
    <w:rsid w:val="007C16A9"/>
    <w:rsid w:val="007C703F"/>
    <w:rsid w:val="007D1359"/>
    <w:rsid w:val="007D1918"/>
    <w:rsid w:val="007D6DFF"/>
    <w:rsid w:val="007F1C88"/>
    <w:rsid w:val="00800FB1"/>
    <w:rsid w:val="00823846"/>
    <w:rsid w:val="00824419"/>
    <w:rsid w:val="00832748"/>
    <w:rsid w:val="00841420"/>
    <w:rsid w:val="00855572"/>
    <w:rsid w:val="00857B34"/>
    <w:rsid w:val="00860712"/>
    <w:rsid w:val="00865748"/>
    <w:rsid w:val="00867859"/>
    <w:rsid w:val="00871FA4"/>
    <w:rsid w:val="00875C82"/>
    <w:rsid w:val="00894A68"/>
    <w:rsid w:val="008A0E38"/>
    <w:rsid w:val="008A7D6A"/>
    <w:rsid w:val="008C28EB"/>
    <w:rsid w:val="008C5302"/>
    <w:rsid w:val="008C6667"/>
    <w:rsid w:val="008D1151"/>
    <w:rsid w:val="008F496C"/>
    <w:rsid w:val="009070D8"/>
    <w:rsid w:val="0091205B"/>
    <w:rsid w:val="00922B49"/>
    <w:rsid w:val="009264C7"/>
    <w:rsid w:val="00927E26"/>
    <w:rsid w:val="00932DEE"/>
    <w:rsid w:val="00936B40"/>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566A5"/>
    <w:rsid w:val="00A61249"/>
    <w:rsid w:val="00A62A72"/>
    <w:rsid w:val="00A64F1E"/>
    <w:rsid w:val="00A7595B"/>
    <w:rsid w:val="00A76812"/>
    <w:rsid w:val="00A811EF"/>
    <w:rsid w:val="00A81540"/>
    <w:rsid w:val="00A93C97"/>
    <w:rsid w:val="00AB39EA"/>
    <w:rsid w:val="00AC21D1"/>
    <w:rsid w:val="00AD0991"/>
    <w:rsid w:val="00AD7DD6"/>
    <w:rsid w:val="00AE4590"/>
    <w:rsid w:val="00AF2030"/>
    <w:rsid w:val="00AF4F48"/>
    <w:rsid w:val="00B0105D"/>
    <w:rsid w:val="00B07CD5"/>
    <w:rsid w:val="00B07FA5"/>
    <w:rsid w:val="00B236E7"/>
    <w:rsid w:val="00B3073C"/>
    <w:rsid w:val="00B40C2A"/>
    <w:rsid w:val="00B43C8F"/>
    <w:rsid w:val="00B54845"/>
    <w:rsid w:val="00B55AF5"/>
    <w:rsid w:val="00B6404F"/>
    <w:rsid w:val="00B86837"/>
    <w:rsid w:val="00BA4743"/>
    <w:rsid w:val="00BA5FCD"/>
    <w:rsid w:val="00BA60EC"/>
    <w:rsid w:val="00BB7CA4"/>
    <w:rsid w:val="00BC36D8"/>
    <w:rsid w:val="00BC43C3"/>
    <w:rsid w:val="00BC4BFF"/>
    <w:rsid w:val="00BC719B"/>
    <w:rsid w:val="00BD2104"/>
    <w:rsid w:val="00BD2AAB"/>
    <w:rsid w:val="00BD5B2C"/>
    <w:rsid w:val="00BD62AE"/>
    <w:rsid w:val="00BE1C23"/>
    <w:rsid w:val="00BE43D8"/>
    <w:rsid w:val="00BF3C3B"/>
    <w:rsid w:val="00C054F0"/>
    <w:rsid w:val="00C064EF"/>
    <w:rsid w:val="00C13095"/>
    <w:rsid w:val="00C2218F"/>
    <w:rsid w:val="00C40A67"/>
    <w:rsid w:val="00C519CF"/>
    <w:rsid w:val="00C51D53"/>
    <w:rsid w:val="00C60818"/>
    <w:rsid w:val="00C67B26"/>
    <w:rsid w:val="00C92286"/>
    <w:rsid w:val="00CA63AF"/>
    <w:rsid w:val="00CB5E9C"/>
    <w:rsid w:val="00CC75D3"/>
    <w:rsid w:val="00CD0C39"/>
    <w:rsid w:val="00CD2CF7"/>
    <w:rsid w:val="00CF6869"/>
    <w:rsid w:val="00D0245A"/>
    <w:rsid w:val="00D02C14"/>
    <w:rsid w:val="00D20E29"/>
    <w:rsid w:val="00D21A70"/>
    <w:rsid w:val="00D57300"/>
    <w:rsid w:val="00D6631A"/>
    <w:rsid w:val="00D864D3"/>
    <w:rsid w:val="00D96B56"/>
    <w:rsid w:val="00DC07EC"/>
    <w:rsid w:val="00DD3D75"/>
    <w:rsid w:val="00DE2A9F"/>
    <w:rsid w:val="00DE3DBD"/>
    <w:rsid w:val="00DF5969"/>
    <w:rsid w:val="00E04CC0"/>
    <w:rsid w:val="00E064A1"/>
    <w:rsid w:val="00E1618B"/>
    <w:rsid w:val="00E20CF0"/>
    <w:rsid w:val="00E25C13"/>
    <w:rsid w:val="00E30769"/>
    <w:rsid w:val="00E35F1F"/>
    <w:rsid w:val="00E5265C"/>
    <w:rsid w:val="00E62767"/>
    <w:rsid w:val="00E65995"/>
    <w:rsid w:val="00E67D4A"/>
    <w:rsid w:val="00E7471C"/>
    <w:rsid w:val="00E7649A"/>
    <w:rsid w:val="00E80C7A"/>
    <w:rsid w:val="00E82704"/>
    <w:rsid w:val="00EA26CE"/>
    <w:rsid w:val="00EA6280"/>
    <w:rsid w:val="00EC581B"/>
    <w:rsid w:val="00ED5BE6"/>
    <w:rsid w:val="00EE25E8"/>
    <w:rsid w:val="00EE55EC"/>
    <w:rsid w:val="00F009ED"/>
    <w:rsid w:val="00F07668"/>
    <w:rsid w:val="00F124DD"/>
    <w:rsid w:val="00F356BB"/>
    <w:rsid w:val="00F36AB7"/>
    <w:rsid w:val="00F376E1"/>
    <w:rsid w:val="00F44847"/>
    <w:rsid w:val="00F5217B"/>
    <w:rsid w:val="00F521AF"/>
    <w:rsid w:val="00F5734E"/>
    <w:rsid w:val="00F6671B"/>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14"/>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outline w:val="0"/>
      <w:shadow w:val="0"/>
      <w:emboss w:val="0"/>
      <w:imprint w:val="0"/>
      <w:color w:val="000000"/>
      <w:u w:val="single" w:color="000000"/>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0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68D78-7FB9-4687-A2BD-4F05C9709F0F}">
  <ds:schemaRefs>
    <ds:schemaRef ds:uri="http://schemas.openxmlformats.org/officeDocument/2006/bibliography"/>
  </ds:schemaRefs>
</ds:datastoreItem>
</file>

<file path=customXml/itemProps2.xml><?xml version="1.0" encoding="utf-8"?>
<ds:datastoreItem xmlns:ds="http://schemas.openxmlformats.org/officeDocument/2006/customXml" ds:itemID="{B852F0DB-53E1-43D8-B275-CB71DD3DDE5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86d5d2d-b57e-4c1d-b0d1-44a1edc7b34c"/>
    <ds:schemaRef ds:uri="72fd2ed8-3466-45e3-92b8-f63a3ad26e87"/>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4CC23A9-347E-4A39-9764-DC21EFDEDB71}">
  <ds:schemaRefs>
    <ds:schemaRef ds:uri="http://schemas.microsoft.com/sharepoint/v3/contenttype/forms"/>
  </ds:schemaRefs>
</ds:datastoreItem>
</file>

<file path=customXml/itemProps4.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7641</Words>
  <Characters>43560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2</cp:revision>
  <dcterms:created xsi:type="dcterms:W3CDTF">2021-08-20T17:26:00Z</dcterms:created>
  <dcterms:modified xsi:type="dcterms:W3CDTF">2021-08-20T17:26:00Z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