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540C" w14:textId="6168F936" w:rsidR="002D795F" w:rsidRDefault="002D795F" w:rsidP="00F5734E">
      <w:pPr>
        <w:pStyle w:val="Heading2"/>
        <w:rPr>
          <w:rStyle w:val="None"/>
          <w:rFonts w:ascii="Times New Roman" w:hAnsi="Times New Roman" w:cs="Times New Roman"/>
          <w:b/>
          <w:bCs/>
        </w:rPr>
      </w:pPr>
    </w:p>
    <w:p w14:paraId="2572FDA2" w14:textId="77777777" w:rsidR="002D795F" w:rsidRDefault="002D795F" w:rsidP="00F5734E">
      <w:pPr>
        <w:pStyle w:val="Heading2"/>
        <w:rPr>
          <w:rStyle w:val="None"/>
          <w:rFonts w:ascii="Times New Roman" w:hAnsi="Times New Roman" w:cs="Times New Roman"/>
          <w:b/>
          <w:bCs/>
        </w:rPr>
      </w:pPr>
    </w:p>
    <w:p w14:paraId="5785FCDF" w14:textId="35FC270D" w:rsidR="00F5734E" w:rsidRPr="00F5734E" w:rsidRDefault="00F5734E" w:rsidP="00F5734E">
      <w:pPr>
        <w:pStyle w:val="Heading2"/>
        <w:rPr>
          <w:rStyle w:val="None"/>
          <w:rFonts w:ascii="Times New Roman" w:hAnsi="Times New Roman" w:cs="Times New Roman"/>
          <w:b/>
          <w:bCs/>
        </w:rPr>
      </w:pPr>
      <w:bookmarkStart w:id="0" w:name="_Toc78928024"/>
      <w:r w:rsidRPr="00F5734E">
        <w:rPr>
          <w:rStyle w:val="None"/>
          <w:rFonts w:ascii="Times New Roman" w:hAnsi="Times New Roman" w:cs="Times New Roman"/>
          <w:b/>
          <w:bCs/>
        </w:rPr>
        <w:t>B. CASES</w:t>
      </w:r>
      <w:bookmarkEnd w:id="0"/>
    </w:p>
    <w:p w14:paraId="4A42C95C" w14:textId="6BFE5FC8" w:rsidR="00F5734E" w:rsidRDefault="00F5734E" w:rsidP="000B3E62">
      <w:pPr>
        <w:pStyle w:val="InklingTitle"/>
        <w:rPr>
          <w:rStyle w:val="None"/>
          <w:lang w:val="en-US"/>
        </w:rPr>
      </w:pPr>
      <w:r>
        <w:rPr>
          <w:rStyle w:val="None"/>
          <w:color w:val="4B0082"/>
          <w:lang w:val="en-US"/>
        </w:rPr>
        <w:t xml:space="preserve">Indigo </w:t>
      </w:r>
      <w:r w:rsidRPr="000B3E62">
        <w:rPr>
          <w:rStyle w:val="None"/>
        </w:rPr>
        <w:t>Inkling</w:t>
      </w:r>
      <w:r w:rsidR="00F90E01">
        <w:rPr>
          <w:rStyle w:val="None"/>
          <w:color w:val="4B0082"/>
          <w:lang w:val="en-US"/>
        </w:rPr>
        <w:tab/>
      </w:r>
    </w:p>
    <w:p w14:paraId="7F3399CC" w14:textId="1F65E5BC" w:rsidR="00F5734E" w:rsidRDefault="00F5734E" w:rsidP="0078600A">
      <w:pPr>
        <w:pStyle w:val="Inkling"/>
      </w:pPr>
      <w:r>
        <w:t>The format of traditional case citations derives from the historical print publication of bound reporters, such as West’s National Reporter System. The citation elements are based on the reporter’s volume number, title of the reporter including series number, and first page of the cited case. In June 2021, the famous reporter of federal appellate cases, the Federal Reporter, 3d published its last volume, turning over to the first volume of a new series, the Federal Reporter, 4th. Citations for federal appellate cases decided in the latter half of 2021 and beyond will be assigned citations along the lines of 123 F.4th 456. The Federal Reporter, 3d is a set of books for sale by West Publishing, and Federal Reporter, 4th no doubt will be as well. Most researchers do not lay their hands on these books</w:t>
      </w:r>
      <w:r w:rsidR="001E1550">
        <w:t>,</w:t>
      </w:r>
      <w:r>
        <w:t xml:space="preserve"> much less purchase them</w:t>
      </w:r>
      <w:r w:rsidR="001E1550">
        <w:t xml:space="preserve">; still, </w:t>
      </w:r>
      <w:r>
        <w:t>the elements of traditional case citation derive directly from the West publication system.</w:t>
      </w:r>
    </w:p>
    <w:p w14:paraId="79A01CF8" w14:textId="77777777" w:rsidR="00F5734E" w:rsidRDefault="00F5734E" w:rsidP="00A350BD">
      <w:pPr>
        <w:pStyle w:val="Inkling"/>
      </w:pPr>
    </w:p>
    <w:p w14:paraId="045745B9" w14:textId="7A261CF6" w:rsidR="00F5734E" w:rsidRDefault="00F5734E" w:rsidP="0078600A">
      <w:pPr>
        <w:pStyle w:val="Inkling"/>
      </w:pPr>
      <w:r>
        <w:t xml:space="preserve">Starting in the early 1990s, some states began adopting public-domain citations, also known as neutral citations, vendor-neutral citations, medium-neutral citations, and universal citations, because they do not rely on specific proprietary bound publications. A medium-neutral citation looks something like this: These states are shown in Table T3. The Indigo Book encourages the use of public domain citations. When giving a public domain citation, also include a parallel citation to the appropriate print reporter if possible. For example: </w:t>
      </w:r>
      <w:r>
        <w:rPr>
          <w:i/>
          <w:iCs/>
        </w:rPr>
        <w:t>Curlee by and through Becerra v. Johnson</w:t>
      </w:r>
      <w:r>
        <w:t xml:space="preserve">, 2021-NCSC-32, 856 S.E.2d 478. </w:t>
      </w:r>
    </w:p>
    <w:p w14:paraId="231A8DF2" w14:textId="77777777" w:rsidR="00F5734E" w:rsidRDefault="00F5734E" w:rsidP="00A350BD">
      <w:pPr>
        <w:pStyle w:val="Inkling"/>
      </w:pPr>
    </w:p>
    <w:p w14:paraId="4CC4382F" w14:textId="7349835A" w:rsidR="00F5734E" w:rsidRPr="003E5933" w:rsidRDefault="00F5734E" w:rsidP="003E5933">
      <w:pPr>
        <w:pStyle w:val="Heading3"/>
      </w:pPr>
      <w:bookmarkStart w:id="1" w:name="_Toc78928025"/>
      <w:r w:rsidRPr="003E5933">
        <w:t>R11</w:t>
      </w:r>
      <w:r w:rsidRPr="003E5933">
        <w:tab/>
        <w:t>Full citation</w:t>
      </w:r>
      <w:bookmarkEnd w:id="1"/>
    </w:p>
    <w:p w14:paraId="1EAC308D" w14:textId="14D51039" w:rsidR="00F5734E" w:rsidRPr="00366383" w:rsidRDefault="00F5734E" w:rsidP="00616CD0">
      <w:pPr>
        <w:pStyle w:val="Heading4"/>
        <w:rPr>
          <w:rStyle w:val="None"/>
          <w:i/>
          <w:iCs/>
        </w:rPr>
      </w:pPr>
      <w:bookmarkStart w:id="2" w:name="_Toc78928026"/>
      <w:r w:rsidRPr="00366383">
        <w:rPr>
          <w:rStyle w:val="None"/>
        </w:rPr>
        <w:t>R11.1</w:t>
      </w:r>
      <w:r w:rsidRPr="00366383">
        <w:rPr>
          <w:rStyle w:val="None"/>
        </w:rPr>
        <w:tab/>
        <w:t>Elements of a Full Citation</w:t>
      </w:r>
      <w:bookmarkEnd w:id="2"/>
    </w:p>
    <w:p w14:paraId="4ECF6405" w14:textId="77777777" w:rsidR="00F5734E" w:rsidRDefault="00F5734E" w:rsidP="00974A14">
      <w:pPr>
        <w:pStyle w:val="Rule"/>
        <w:rPr>
          <w:rStyle w:val="None"/>
        </w:rPr>
      </w:pPr>
      <w:r>
        <w:rPr>
          <w:rStyle w:val="None"/>
        </w:rPr>
        <w:t>When providing a full citation to a case, you should generally include the following, with the court and year enclosed within a single set of parentheses:</w:t>
      </w:r>
    </w:p>
    <w:p w14:paraId="053CE2A5" w14:textId="77777777" w:rsidR="00F5734E" w:rsidRPr="001157FA" w:rsidRDefault="00F5734E" w:rsidP="001157FA">
      <w:pPr>
        <w:pStyle w:val="Rule"/>
        <w:numPr>
          <w:ilvl w:val="0"/>
          <w:numId w:val="21"/>
        </w:numPr>
      </w:pPr>
      <w:r w:rsidRPr="001157FA">
        <w:rPr>
          <w:rStyle w:val="None"/>
        </w:rPr>
        <w:t>Italicized case name followed by an unitalicized comma</w:t>
      </w:r>
    </w:p>
    <w:p w14:paraId="0BCF8AB8" w14:textId="77777777" w:rsidR="00F5734E" w:rsidRPr="001157FA" w:rsidRDefault="00F5734E" w:rsidP="001157FA">
      <w:pPr>
        <w:pStyle w:val="Rule"/>
        <w:numPr>
          <w:ilvl w:val="0"/>
          <w:numId w:val="21"/>
        </w:numPr>
      </w:pPr>
      <w:r w:rsidRPr="001157FA">
        <w:rPr>
          <w:rStyle w:val="None"/>
        </w:rPr>
        <w:t>volume number, reporter, first page of the case in the reporter</w:t>
      </w:r>
    </w:p>
    <w:p w14:paraId="34095FDB" w14:textId="77777777" w:rsidR="00F5734E" w:rsidRPr="001157FA" w:rsidRDefault="00F5734E" w:rsidP="001157FA">
      <w:pPr>
        <w:pStyle w:val="Rule"/>
        <w:numPr>
          <w:ilvl w:val="0"/>
          <w:numId w:val="21"/>
        </w:numPr>
      </w:pPr>
      <w:r w:rsidRPr="001157FA">
        <w:rPr>
          <w:rStyle w:val="None"/>
        </w:rPr>
        <w:t xml:space="preserve">comma, space, and </w:t>
      </w:r>
      <w:proofErr w:type="spellStart"/>
      <w:r w:rsidRPr="001157FA">
        <w:rPr>
          <w:rStyle w:val="None"/>
        </w:rPr>
        <w:t>pincite</w:t>
      </w:r>
      <w:proofErr w:type="spellEnd"/>
      <w:r w:rsidRPr="001157FA">
        <w:rPr>
          <w:rStyle w:val="None"/>
        </w:rPr>
        <w:t xml:space="preserve"> to an exact page</w:t>
      </w:r>
    </w:p>
    <w:p w14:paraId="66AF1213" w14:textId="77777777" w:rsidR="00F5734E" w:rsidRPr="001157FA" w:rsidRDefault="00F5734E" w:rsidP="001157FA">
      <w:pPr>
        <w:pStyle w:val="Rule"/>
        <w:numPr>
          <w:ilvl w:val="0"/>
          <w:numId w:val="21"/>
        </w:numPr>
      </w:pPr>
      <w:r w:rsidRPr="001157FA">
        <w:rPr>
          <w:rStyle w:val="None"/>
        </w:rPr>
        <w:t xml:space="preserve">abbreviated court name (if not precisely apparent from the name of the reporter) </w:t>
      </w:r>
    </w:p>
    <w:p w14:paraId="6555419C" w14:textId="77777777" w:rsidR="00F5734E" w:rsidRPr="001157FA" w:rsidRDefault="00F5734E" w:rsidP="001157FA">
      <w:pPr>
        <w:pStyle w:val="Rule"/>
        <w:numPr>
          <w:ilvl w:val="0"/>
          <w:numId w:val="21"/>
        </w:numPr>
      </w:pPr>
      <w:r w:rsidRPr="001157FA">
        <w:rPr>
          <w:rStyle w:val="None"/>
        </w:rPr>
        <w:t>year</w:t>
      </w:r>
    </w:p>
    <w:p w14:paraId="12C2EE4B" w14:textId="4A00A1A1" w:rsidR="00F5734E" w:rsidRDefault="00F5734E" w:rsidP="001157FA">
      <w:pPr>
        <w:pStyle w:val="Rule"/>
        <w:rPr>
          <w:rStyle w:val="None"/>
        </w:rPr>
      </w:pPr>
      <w:r>
        <w:rPr>
          <w:rStyle w:val="None"/>
        </w:rPr>
        <w:t>Case citations may also include the additional components such as a signal, subsequent history, parallel citations, and explanatory parentheticals. These additional components are sometimes required and sometimes discretionary, as determined by the case’s characteristics, the way the citation is supporting the text, applicable court rules</w:t>
      </w:r>
      <w:r w:rsidR="00252F59">
        <w:rPr>
          <w:rStyle w:val="None"/>
        </w:rPr>
        <w:t>,</w:t>
      </w:r>
      <w:r>
        <w:rPr>
          <w:rStyle w:val="None"/>
        </w:rPr>
        <w:t xml:space="preserve"> or other audience expectations.</w:t>
      </w:r>
    </w:p>
    <w:p w14:paraId="5B3C66F2" w14:textId="77777777" w:rsidR="00F5734E" w:rsidRDefault="00F5734E" w:rsidP="00F5734E">
      <w:pPr>
        <w:rPr>
          <w:rStyle w:val="None"/>
        </w:rPr>
      </w:pPr>
    </w:p>
    <w:p w14:paraId="3746387E" w14:textId="77777777" w:rsidR="00F5734E" w:rsidRDefault="00F5734E" w:rsidP="00F5734E">
      <w:pPr>
        <w:spacing w:line="360" w:lineRule="atLeast"/>
        <w:rPr>
          <w:rStyle w:val="None"/>
        </w:rPr>
      </w:pPr>
    </w:p>
    <w:p w14:paraId="1BF206CD" w14:textId="0E252EF3" w:rsidR="00F5734E" w:rsidRPr="00BA4743" w:rsidRDefault="001157FA" w:rsidP="00BA4743">
      <w:pPr>
        <w:pStyle w:val="Example"/>
        <w:ind w:left="720"/>
        <w:rPr>
          <w:rStyle w:val="None"/>
          <w:b/>
          <w:bCs w:val="0"/>
        </w:rPr>
      </w:pPr>
      <w:r w:rsidRPr="00BA4743">
        <w:rPr>
          <w:rStyle w:val="None"/>
          <w:b/>
          <w:bCs w:val="0"/>
        </w:rPr>
        <w:t>Examples (federal)</w:t>
      </w:r>
      <w:r w:rsidR="00F5734E" w:rsidRPr="00BA4743">
        <w:rPr>
          <w:rStyle w:val="None"/>
          <w:b/>
          <w:bCs w:val="0"/>
        </w:rPr>
        <w:t>:</w:t>
      </w:r>
    </w:p>
    <w:p w14:paraId="2EFBB5D3" w14:textId="77777777" w:rsidR="00F5734E" w:rsidRPr="00BA4743" w:rsidRDefault="00F5734E" w:rsidP="00BA4743">
      <w:pPr>
        <w:pStyle w:val="Example"/>
        <w:ind w:left="720"/>
        <w:rPr>
          <w:rFonts w:ascii="Georgia" w:hAnsi="Georgia"/>
        </w:rPr>
      </w:pPr>
      <w:r w:rsidRPr="00BA4743">
        <w:rPr>
          <w:rStyle w:val="None"/>
          <w:i/>
          <w:iCs/>
        </w:rPr>
        <w:t xml:space="preserve">Manhattan </w:t>
      </w:r>
      <w:proofErr w:type="spellStart"/>
      <w:r w:rsidRPr="00BA4743">
        <w:rPr>
          <w:rStyle w:val="None"/>
          <w:i/>
          <w:iCs/>
        </w:rPr>
        <w:t>Cmty</w:t>
      </w:r>
      <w:proofErr w:type="spellEnd"/>
      <w:r w:rsidRPr="00BA4743">
        <w:rPr>
          <w:rStyle w:val="None"/>
          <w:i/>
          <w:iCs/>
        </w:rPr>
        <w:t>. Access Corp. v. Halleck</w:t>
      </w:r>
      <w:r w:rsidRPr="00BA4743">
        <w:rPr>
          <w:rStyle w:val="None"/>
        </w:rPr>
        <w:t>, 139 S. Ct. 1921 (2019).</w:t>
      </w:r>
    </w:p>
    <w:p w14:paraId="097B20D8" w14:textId="77777777" w:rsidR="00F5734E" w:rsidRPr="00BA4743" w:rsidRDefault="00F5734E" w:rsidP="00BA4743">
      <w:pPr>
        <w:pStyle w:val="Example"/>
        <w:ind w:left="720"/>
        <w:rPr>
          <w:rFonts w:ascii="Georgia" w:hAnsi="Georgia"/>
        </w:rPr>
      </w:pPr>
      <w:r w:rsidRPr="00BA4743">
        <w:rPr>
          <w:rStyle w:val="None"/>
          <w:i/>
          <w:iCs/>
        </w:rPr>
        <w:t>Seltzer v. Green Day</w:t>
      </w:r>
      <w:r w:rsidRPr="00BA4743">
        <w:rPr>
          <w:rStyle w:val="None"/>
        </w:rPr>
        <w:t>, 725 F.3d 1170 (9th Cir. 2013).</w:t>
      </w:r>
    </w:p>
    <w:p w14:paraId="53A7B2FE" w14:textId="77777777" w:rsidR="00F5734E" w:rsidRPr="00BA4743" w:rsidRDefault="00F5734E" w:rsidP="00BA4743">
      <w:pPr>
        <w:pStyle w:val="Example"/>
        <w:ind w:left="720"/>
        <w:rPr>
          <w:rFonts w:ascii="Georgia" w:hAnsi="Georgia"/>
        </w:rPr>
      </w:pPr>
      <w:r w:rsidRPr="00BA4743">
        <w:rPr>
          <w:rStyle w:val="None"/>
          <w:i/>
          <w:iCs/>
        </w:rPr>
        <w:t xml:space="preserve">Leonard v. </w:t>
      </w:r>
      <w:proofErr w:type="spellStart"/>
      <w:r w:rsidRPr="00BA4743">
        <w:rPr>
          <w:rStyle w:val="None"/>
          <w:i/>
          <w:iCs/>
        </w:rPr>
        <w:t>Pepsico</w:t>
      </w:r>
      <w:proofErr w:type="spellEnd"/>
      <w:r w:rsidRPr="00BA4743">
        <w:rPr>
          <w:rStyle w:val="None"/>
          <w:i/>
          <w:iCs/>
        </w:rPr>
        <w:t>, Inc.</w:t>
      </w:r>
      <w:r w:rsidRPr="00BA4743">
        <w:rPr>
          <w:rStyle w:val="None"/>
        </w:rPr>
        <w:t>, 88 F. Supp. 2d 116, 127 (S.D.N.Y. 1999).</w:t>
      </w:r>
    </w:p>
    <w:p w14:paraId="638AA0C6" w14:textId="77777777" w:rsidR="00F5734E" w:rsidRPr="00BA4743" w:rsidRDefault="00F5734E" w:rsidP="00BA4743">
      <w:pPr>
        <w:pStyle w:val="Example"/>
        <w:ind w:left="720"/>
        <w:rPr>
          <w:rStyle w:val="None"/>
          <w:shd w:val="clear" w:color="auto" w:fill="FFFF00"/>
        </w:rPr>
      </w:pPr>
    </w:p>
    <w:p w14:paraId="5846B85A" w14:textId="1053B5A8" w:rsidR="00F5734E" w:rsidRPr="00BA4743" w:rsidRDefault="001157FA" w:rsidP="00BA4743">
      <w:pPr>
        <w:pStyle w:val="Example"/>
        <w:ind w:left="720"/>
        <w:rPr>
          <w:rStyle w:val="None"/>
          <w:b/>
          <w:bCs w:val="0"/>
        </w:rPr>
      </w:pPr>
      <w:r w:rsidRPr="00BA4743">
        <w:rPr>
          <w:rStyle w:val="None"/>
          <w:b/>
          <w:bCs w:val="0"/>
        </w:rPr>
        <w:t>Examples (state):</w:t>
      </w:r>
    </w:p>
    <w:p w14:paraId="2C1B282B" w14:textId="77777777" w:rsidR="00F5734E" w:rsidRPr="00BA4743" w:rsidRDefault="00F5734E" w:rsidP="00BA4743">
      <w:pPr>
        <w:pStyle w:val="Example"/>
        <w:ind w:left="720"/>
        <w:rPr>
          <w:rFonts w:ascii="Georgia" w:hAnsi="Georgia"/>
        </w:rPr>
      </w:pPr>
      <w:proofErr w:type="spellStart"/>
      <w:r w:rsidRPr="00BA4743">
        <w:rPr>
          <w:rStyle w:val="None"/>
          <w:i/>
          <w:iCs/>
        </w:rPr>
        <w:t>SciGrip</w:t>
      </w:r>
      <w:proofErr w:type="spellEnd"/>
      <w:r w:rsidRPr="00BA4743">
        <w:rPr>
          <w:rStyle w:val="None"/>
          <w:i/>
          <w:iCs/>
        </w:rPr>
        <w:t xml:space="preserve">, Inc. v. </w:t>
      </w:r>
      <w:proofErr w:type="spellStart"/>
      <w:r w:rsidRPr="00BA4743">
        <w:rPr>
          <w:rStyle w:val="None"/>
          <w:i/>
          <w:iCs/>
        </w:rPr>
        <w:t>Osae</w:t>
      </w:r>
      <w:proofErr w:type="spellEnd"/>
      <w:r w:rsidRPr="00BA4743">
        <w:rPr>
          <w:rStyle w:val="None"/>
        </w:rPr>
        <w:t>, 838 S.E.2d 334 (N.C. 2020).</w:t>
      </w:r>
    </w:p>
    <w:p w14:paraId="28E0BA70" w14:textId="77777777" w:rsidR="00F5734E" w:rsidRPr="00BA4743" w:rsidRDefault="00F5734E" w:rsidP="00BA4743">
      <w:pPr>
        <w:pStyle w:val="Example"/>
        <w:ind w:left="720"/>
        <w:rPr>
          <w:rStyle w:val="None"/>
        </w:rPr>
      </w:pPr>
      <w:r w:rsidRPr="00BA4743">
        <w:rPr>
          <w:rStyle w:val="None"/>
          <w:i/>
          <w:iCs/>
        </w:rPr>
        <w:t>People v. Lucero</w:t>
      </w:r>
      <w:r w:rsidRPr="00BA4743">
        <w:rPr>
          <w:rStyle w:val="None"/>
        </w:rPr>
        <w:t>, 747 P.2d 660 (Colo. 1987).</w:t>
      </w:r>
    </w:p>
    <w:p w14:paraId="505D12BC" w14:textId="77777777" w:rsidR="00F5734E" w:rsidRPr="00BA4743" w:rsidRDefault="00F5734E" w:rsidP="00BA4743">
      <w:pPr>
        <w:pStyle w:val="Example"/>
        <w:ind w:left="720"/>
      </w:pPr>
      <w:r w:rsidRPr="00BA4743">
        <w:rPr>
          <w:rStyle w:val="None"/>
          <w:i/>
          <w:iCs/>
        </w:rPr>
        <w:t xml:space="preserve">Mercer Univ. v. </w:t>
      </w:r>
      <w:proofErr w:type="spellStart"/>
      <w:r w:rsidRPr="00BA4743">
        <w:rPr>
          <w:rStyle w:val="None"/>
          <w:i/>
          <w:iCs/>
        </w:rPr>
        <w:t>Stofer</w:t>
      </w:r>
      <w:proofErr w:type="spellEnd"/>
      <w:r w:rsidRPr="00BA4743">
        <w:rPr>
          <w:rStyle w:val="None"/>
        </w:rPr>
        <w:t>, 841 S.E.2d 224 (Ga. Ct. App. 2020).</w:t>
      </w:r>
      <w:r w:rsidRPr="00BA4743">
        <w:rPr>
          <w:rStyle w:val="None"/>
          <w:rFonts w:ascii="Arial Unicode MS" w:hAnsi="Arial Unicode MS" w:hint="eastAsia"/>
        </w:rPr>
        <w:br/>
      </w:r>
    </w:p>
    <w:p w14:paraId="1DA48B0B" w14:textId="77777777" w:rsidR="00F5734E" w:rsidRDefault="00F5734E" w:rsidP="00F5734E">
      <w:pPr>
        <w:pStyle w:val="Body"/>
        <w:spacing w:line="360" w:lineRule="atLeast"/>
        <w:ind w:left="840"/>
        <w:rPr>
          <w:rStyle w:val="None"/>
          <w:lang w:val="en-US"/>
        </w:rPr>
      </w:pPr>
    </w:p>
    <w:p w14:paraId="4C76E92E" w14:textId="50775181" w:rsidR="00F5734E" w:rsidRPr="0091205B" w:rsidRDefault="00F5734E" w:rsidP="00616CD0">
      <w:pPr>
        <w:pStyle w:val="Heading5"/>
        <w:rPr>
          <w:rStyle w:val="None"/>
        </w:rPr>
      </w:pPr>
      <w:bookmarkStart w:id="3" w:name="_Toc78928027"/>
      <w:r w:rsidRPr="0091205B">
        <w:rPr>
          <w:rStyle w:val="None"/>
        </w:rPr>
        <w:t xml:space="preserve">R11.1.1 </w:t>
      </w:r>
      <w:r w:rsidRPr="0091205B">
        <w:rPr>
          <w:rStyle w:val="None"/>
        </w:rPr>
        <w:tab/>
        <w:t xml:space="preserve">Parallel </w:t>
      </w:r>
      <w:r w:rsidR="009A60EF">
        <w:rPr>
          <w:rStyle w:val="None"/>
        </w:rPr>
        <w:t>c</w:t>
      </w:r>
      <w:r w:rsidRPr="0091205B">
        <w:rPr>
          <w:rStyle w:val="None"/>
        </w:rPr>
        <w:t>itation</w:t>
      </w:r>
      <w:bookmarkEnd w:id="3"/>
    </w:p>
    <w:p w14:paraId="08DC6ECB" w14:textId="77777777" w:rsidR="00F5734E" w:rsidRDefault="00F5734E" w:rsidP="00F5734E">
      <w:pPr>
        <w:rPr>
          <w:rStyle w:val="None"/>
        </w:rPr>
      </w:pPr>
    </w:p>
    <w:p w14:paraId="0B931680" w14:textId="77777777" w:rsidR="00F5734E" w:rsidRDefault="00F5734E" w:rsidP="00C054F0">
      <w:pPr>
        <w:pStyle w:val="Rule"/>
        <w:rPr>
          <w:rStyle w:val="None"/>
        </w:rPr>
      </w:pPr>
      <w:r>
        <w:rPr>
          <w:rStyle w:val="None"/>
        </w:rPr>
        <w:t>A case citation may also include parallel citation to another print reporter or online location for the case, such as a medium-neutral citation. When the print reporter unambiguously indicates the identity of the court, omit the court from duplication at the end of the citation. When the medium-neutral citation unambiguously indicates the court and year, either or both elements may be omitted from further duplication at the end of the citation.</w:t>
      </w:r>
    </w:p>
    <w:p w14:paraId="24D2DB2F" w14:textId="77777777" w:rsidR="00F5734E" w:rsidRDefault="00F5734E" w:rsidP="00F5734E">
      <w:pPr>
        <w:rPr>
          <w:rStyle w:val="None"/>
        </w:rPr>
      </w:pPr>
    </w:p>
    <w:p w14:paraId="482F53C5" w14:textId="77777777" w:rsidR="00F5734E" w:rsidRPr="00BA4743" w:rsidRDefault="00F5734E" w:rsidP="00C054F0">
      <w:pPr>
        <w:pStyle w:val="Example"/>
        <w:rPr>
          <w:rStyle w:val="None"/>
          <w:b/>
          <w:bCs w:val="0"/>
        </w:rPr>
      </w:pPr>
      <w:r w:rsidRPr="00BA4743">
        <w:rPr>
          <w:rStyle w:val="None"/>
          <w:b/>
          <w:bCs w:val="0"/>
        </w:rPr>
        <w:t>Examples:</w:t>
      </w:r>
    </w:p>
    <w:p w14:paraId="5AAD8129" w14:textId="77777777" w:rsidR="00F5734E" w:rsidRPr="00BA4743" w:rsidRDefault="00F5734E" w:rsidP="00BA4743">
      <w:pPr>
        <w:pStyle w:val="Example"/>
        <w:rPr>
          <w:rFonts w:ascii="Georgia" w:hAnsi="Georgia"/>
        </w:rPr>
      </w:pPr>
      <w:r w:rsidRPr="00BA4743">
        <w:rPr>
          <w:rStyle w:val="None"/>
          <w:i/>
          <w:iCs/>
        </w:rPr>
        <w:t xml:space="preserve">State ex rel. </w:t>
      </w:r>
      <w:proofErr w:type="spellStart"/>
      <w:r w:rsidRPr="00BA4743">
        <w:rPr>
          <w:rStyle w:val="None"/>
          <w:i/>
          <w:iCs/>
        </w:rPr>
        <w:t>Pilarczyk</w:t>
      </w:r>
      <w:proofErr w:type="spellEnd"/>
      <w:r w:rsidRPr="00BA4743">
        <w:rPr>
          <w:rStyle w:val="None"/>
          <w:i/>
          <w:iCs/>
        </w:rPr>
        <w:t xml:space="preserve"> v. Geauga </w:t>
      </w:r>
      <w:proofErr w:type="spellStart"/>
      <w:r w:rsidRPr="00BA4743">
        <w:rPr>
          <w:rStyle w:val="None"/>
          <w:i/>
          <w:iCs/>
        </w:rPr>
        <w:t>Cty</w:t>
      </w:r>
      <w:proofErr w:type="spellEnd"/>
      <w:r w:rsidRPr="00BA4743">
        <w:rPr>
          <w:rStyle w:val="None"/>
          <w:i/>
          <w:iCs/>
        </w:rPr>
        <w:t>.</w:t>
      </w:r>
      <w:r w:rsidRPr="00BA4743">
        <w:rPr>
          <w:rStyle w:val="None"/>
        </w:rPr>
        <w:t>, 2019-Ohio-2880, 157 Ohio St. 3d 191, 134 N.E.3d 142.</w:t>
      </w:r>
    </w:p>
    <w:p w14:paraId="4D40DE81" w14:textId="77777777" w:rsidR="00F5734E" w:rsidRPr="009070D8" w:rsidRDefault="00F5734E" w:rsidP="00BA4743">
      <w:pPr>
        <w:pStyle w:val="Example"/>
        <w:rPr>
          <w:rStyle w:val="None"/>
          <w:b/>
          <w:bCs w:val="0"/>
        </w:rPr>
      </w:pPr>
      <w:r w:rsidRPr="00BA4743">
        <w:rPr>
          <w:rStyle w:val="None"/>
          <w:i/>
          <w:iCs/>
        </w:rPr>
        <w:t>USA Power LLC v. PacifiCorp</w:t>
      </w:r>
      <w:r w:rsidRPr="00BA4743">
        <w:rPr>
          <w:rStyle w:val="None"/>
        </w:rPr>
        <w:t>, 2016 UT 20, 372 P.3d 629.</w:t>
      </w:r>
    </w:p>
    <w:p w14:paraId="4CA4E82F" w14:textId="77777777" w:rsidR="00F5734E" w:rsidRDefault="00F5734E" w:rsidP="00F5734E">
      <w:pPr>
        <w:spacing w:before="150" w:after="90"/>
        <w:rPr>
          <w:rFonts w:ascii="Georgia" w:hAnsi="Georgia"/>
        </w:rPr>
      </w:pPr>
    </w:p>
    <w:p w14:paraId="6D6C2D6F" w14:textId="77777777" w:rsidR="00F5734E" w:rsidRPr="00927E26" w:rsidRDefault="00F5734E" w:rsidP="00616CD0">
      <w:pPr>
        <w:pStyle w:val="Heading5"/>
      </w:pPr>
      <w:bookmarkStart w:id="4" w:name="_Toc78928028"/>
      <w:r w:rsidRPr="00927E26">
        <w:t xml:space="preserve">R11.1.2 </w:t>
      </w:r>
      <w:r w:rsidRPr="00927E26">
        <w:tab/>
        <w:t>Parentheticals</w:t>
      </w:r>
      <w:bookmarkEnd w:id="4"/>
    </w:p>
    <w:p w14:paraId="6A17FDC6" w14:textId="77777777" w:rsidR="00F5734E" w:rsidRDefault="00F5734E" w:rsidP="00F5734E"/>
    <w:p w14:paraId="356F77E9" w14:textId="77777777" w:rsidR="00F5734E" w:rsidRPr="0091205B" w:rsidRDefault="00F5734E" w:rsidP="0091205B">
      <w:pPr>
        <w:pStyle w:val="Rule"/>
      </w:pPr>
      <w:r w:rsidRPr="0091205B">
        <w:t>A case citation may also include one</w:t>
      </w:r>
      <w:r w:rsidRPr="0091205B">
        <w:rPr>
          <w:rStyle w:val="None"/>
        </w:rPr>
        <w:t xml:space="preserve"> or more parentheticals after the main citation elements. Parentheticals, if any, ordered according to the following functions: (indicating the weight of authority such as </w:t>
      </w:r>
      <w:proofErr w:type="spellStart"/>
      <w:r w:rsidRPr="0091205B">
        <w:rPr>
          <w:rStyle w:val="None"/>
        </w:rPr>
        <w:t>en</w:t>
      </w:r>
      <w:proofErr w:type="spellEnd"/>
      <w:r w:rsidRPr="0091205B">
        <w:rPr>
          <w:rStyle w:val="None"/>
        </w:rPr>
        <w:t xml:space="preserve"> banc) (indicating the source of a quotation or cited assertion in the main </w:t>
      </w:r>
      <w:r w:rsidRPr="0091205B">
        <w:t xml:space="preserve">assertion being supported) (indicating explanatory information), if required or permitted as shown in </w:t>
      </w:r>
      <w:r w:rsidRPr="00F124DD">
        <w:rPr>
          <w:rStyle w:val="Rulereferencecharacterstyle"/>
        </w:rPr>
        <w:t>Rule R10</w:t>
      </w:r>
      <w:r w:rsidRPr="0091205B">
        <w:t>.</w:t>
      </w:r>
    </w:p>
    <w:p w14:paraId="1057FD77" w14:textId="77777777" w:rsidR="00F5734E" w:rsidRDefault="00F5734E" w:rsidP="00F5734E"/>
    <w:p w14:paraId="1AA36D37" w14:textId="77777777" w:rsidR="00F5734E" w:rsidRPr="00C40A67" w:rsidRDefault="00F5734E" w:rsidP="00273ADF">
      <w:pPr>
        <w:pStyle w:val="Example"/>
        <w:rPr>
          <w:b/>
          <w:bCs w:val="0"/>
        </w:rPr>
      </w:pPr>
      <w:r w:rsidRPr="00C40A67">
        <w:rPr>
          <w:b/>
          <w:bCs w:val="0"/>
        </w:rPr>
        <w:t>Examples:</w:t>
      </w:r>
    </w:p>
    <w:p w14:paraId="0AA18630" w14:textId="77777777" w:rsidR="00F5734E" w:rsidRPr="00273ADF" w:rsidRDefault="00F5734E" w:rsidP="00273ADF">
      <w:pPr>
        <w:pStyle w:val="Example"/>
        <w:rPr>
          <w:rStyle w:val="None"/>
        </w:rPr>
      </w:pPr>
      <w:r w:rsidRPr="00C40A67">
        <w:rPr>
          <w:rStyle w:val="None"/>
          <w:i/>
          <w:iCs/>
        </w:rPr>
        <w:t xml:space="preserve">Barking Hound Village, LLC v. </w:t>
      </w:r>
      <w:proofErr w:type="spellStart"/>
      <w:r w:rsidRPr="00C40A67">
        <w:rPr>
          <w:rStyle w:val="None"/>
          <w:i/>
          <w:iCs/>
        </w:rPr>
        <w:t>Monyak</w:t>
      </w:r>
      <w:proofErr w:type="spellEnd"/>
      <w:r w:rsidRPr="00273ADF">
        <w:rPr>
          <w:rStyle w:val="None"/>
        </w:rPr>
        <w:t>, 787 S.E.2d 191, 198 (Ga. 2016) (“the unique human-animal bond, while cherished, is beyond legal measure”).</w:t>
      </w:r>
    </w:p>
    <w:p w14:paraId="03CE2253" w14:textId="77777777" w:rsidR="00FF73B8" w:rsidRPr="00273ADF" w:rsidRDefault="00FF73B8" w:rsidP="00273ADF">
      <w:pPr>
        <w:pStyle w:val="Example"/>
        <w:rPr>
          <w:rStyle w:val="None"/>
        </w:rPr>
      </w:pPr>
    </w:p>
    <w:p w14:paraId="71A5A38B" w14:textId="0E94F6D6" w:rsidR="00F5734E" w:rsidRPr="00273ADF" w:rsidRDefault="00F5734E" w:rsidP="00273ADF">
      <w:pPr>
        <w:pStyle w:val="Example"/>
      </w:pPr>
      <w:r w:rsidRPr="00C40A67">
        <w:rPr>
          <w:rStyle w:val="None"/>
          <w:i/>
          <w:iCs/>
        </w:rPr>
        <w:t>Toolson v. N.Y. Yankees, Inc.</w:t>
      </w:r>
      <w:r w:rsidRPr="00273ADF">
        <w:rPr>
          <w:rStyle w:val="None"/>
        </w:rPr>
        <w:t xml:space="preserve">, 346 U.S. 356 (1953) (per </w:t>
      </w:r>
      <w:proofErr w:type="spellStart"/>
      <w:r w:rsidRPr="00273ADF">
        <w:rPr>
          <w:rStyle w:val="None"/>
        </w:rPr>
        <w:t>curiam</w:t>
      </w:r>
      <w:proofErr w:type="spellEnd"/>
      <w:r w:rsidRPr="00273ADF">
        <w:rPr>
          <w:rStyle w:val="None"/>
        </w:rPr>
        <w:t>) (affirming baseball’s exemption from the scope of federal antitrust laws).</w:t>
      </w:r>
    </w:p>
    <w:p w14:paraId="7A800FF7" w14:textId="77777777" w:rsidR="00F5734E" w:rsidRDefault="00F5734E" w:rsidP="00F5734E">
      <w:pPr>
        <w:pStyle w:val="Body"/>
        <w:spacing w:before="150" w:after="90"/>
        <w:rPr>
          <w:rStyle w:val="None"/>
          <w:shd w:val="clear" w:color="auto" w:fill="FFFF00"/>
          <w:lang w:val="en-US"/>
        </w:rPr>
      </w:pPr>
    </w:p>
    <w:p w14:paraId="1DF17C54" w14:textId="79581C2D" w:rsidR="00F5734E" w:rsidRPr="00C40A67" w:rsidRDefault="00F5734E" w:rsidP="00616CD0">
      <w:pPr>
        <w:pStyle w:val="Heading5"/>
        <w:rPr>
          <w:rStyle w:val="None"/>
        </w:rPr>
      </w:pPr>
      <w:bookmarkStart w:id="5" w:name="_Toc78928029"/>
      <w:r w:rsidRPr="00C40A67">
        <w:rPr>
          <w:rStyle w:val="None"/>
        </w:rPr>
        <w:t>R11.1.3</w:t>
      </w:r>
      <w:r w:rsidRPr="00C40A67">
        <w:rPr>
          <w:rStyle w:val="None"/>
        </w:rPr>
        <w:tab/>
        <w:t xml:space="preserve">Prior or </w:t>
      </w:r>
      <w:r w:rsidR="00FA79D6">
        <w:rPr>
          <w:rStyle w:val="None"/>
        </w:rPr>
        <w:t>s</w:t>
      </w:r>
      <w:r w:rsidRPr="00C40A67">
        <w:rPr>
          <w:rStyle w:val="None"/>
        </w:rPr>
        <w:t xml:space="preserve">ubsequent </w:t>
      </w:r>
      <w:r w:rsidR="00FA79D6">
        <w:rPr>
          <w:rStyle w:val="None"/>
        </w:rPr>
        <w:t>h</w:t>
      </w:r>
      <w:r w:rsidRPr="00C40A67">
        <w:rPr>
          <w:rStyle w:val="None"/>
        </w:rPr>
        <w:t xml:space="preserve">istory of the </w:t>
      </w:r>
      <w:r w:rsidR="00FA79D6">
        <w:rPr>
          <w:rStyle w:val="None"/>
        </w:rPr>
        <w:t>c</w:t>
      </w:r>
      <w:r w:rsidRPr="00C40A67">
        <w:rPr>
          <w:rStyle w:val="None"/>
        </w:rPr>
        <w:t>ase</w:t>
      </w:r>
      <w:bookmarkEnd w:id="5"/>
    </w:p>
    <w:p w14:paraId="543B7742" w14:textId="1819135A" w:rsidR="00F5734E" w:rsidRDefault="00273ADF" w:rsidP="00273ADF">
      <w:pPr>
        <w:pStyle w:val="Rule"/>
        <w:ind w:left="0"/>
        <w:rPr>
          <w:rStyle w:val="None"/>
        </w:rPr>
      </w:pPr>
      <w:r>
        <w:rPr>
          <w:rStyle w:val="None"/>
        </w:rPr>
        <w:t xml:space="preserve">A </w:t>
      </w:r>
      <w:r w:rsidR="00F5734E">
        <w:rPr>
          <w:rStyle w:val="None"/>
        </w:rPr>
        <w:t xml:space="preserve">case citation may also include prior or subsequent history, if required by </w:t>
      </w:r>
      <w:r w:rsidR="00F5734E" w:rsidRPr="0010295B">
        <w:rPr>
          <w:rStyle w:val="Rulereferencecharacterstyle"/>
        </w:rPr>
        <w:t>Rule R14</w:t>
      </w:r>
      <w:r w:rsidR="00F5734E">
        <w:rPr>
          <w:rStyle w:val="None"/>
        </w:rPr>
        <w:t xml:space="preserve">. </w:t>
      </w:r>
    </w:p>
    <w:p w14:paraId="085B0987" w14:textId="77777777" w:rsidR="00F5734E" w:rsidRPr="00083161" w:rsidRDefault="00F5734E" w:rsidP="0010295B">
      <w:pPr>
        <w:pStyle w:val="Example"/>
        <w:rPr>
          <w:rStyle w:val="None"/>
          <w:b/>
          <w:bCs w:val="0"/>
        </w:rPr>
      </w:pPr>
      <w:r w:rsidRPr="00083161">
        <w:rPr>
          <w:rStyle w:val="None"/>
          <w:b/>
          <w:bCs w:val="0"/>
        </w:rPr>
        <w:t>Example:</w:t>
      </w:r>
    </w:p>
    <w:p w14:paraId="27893EC3" w14:textId="1CD38715" w:rsidR="00F5734E" w:rsidRDefault="00F5734E" w:rsidP="00C40A67">
      <w:pPr>
        <w:pStyle w:val="Example"/>
        <w:rPr>
          <w:rStyle w:val="None"/>
        </w:rPr>
      </w:pPr>
      <w:r w:rsidRPr="00273ADF">
        <w:rPr>
          <w:rStyle w:val="None"/>
          <w:i/>
          <w:iCs/>
        </w:rPr>
        <w:t xml:space="preserve">Leonard v. </w:t>
      </w:r>
      <w:proofErr w:type="spellStart"/>
      <w:r w:rsidRPr="00273ADF">
        <w:rPr>
          <w:rStyle w:val="None"/>
          <w:i/>
          <w:iCs/>
        </w:rPr>
        <w:t>Pepsico</w:t>
      </w:r>
      <w:proofErr w:type="spellEnd"/>
      <w:r w:rsidRPr="00273ADF">
        <w:rPr>
          <w:rStyle w:val="None"/>
          <w:i/>
          <w:iCs/>
        </w:rPr>
        <w:t>, Inc.</w:t>
      </w:r>
      <w:r w:rsidRPr="00273ADF">
        <w:rPr>
          <w:rStyle w:val="None"/>
        </w:rPr>
        <w:t xml:space="preserve">, 88 F. Supp. 2d 116, 127 (S.D.N.Y. 1999), </w:t>
      </w:r>
      <w:r w:rsidRPr="00273ADF">
        <w:rPr>
          <w:rStyle w:val="None"/>
          <w:i/>
          <w:iCs/>
        </w:rPr>
        <w:t>aff’d</w:t>
      </w:r>
      <w:r w:rsidRPr="00273ADF">
        <w:rPr>
          <w:rStyle w:val="None"/>
        </w:rPr>
        <w:t xml:space="preserve">, 210 F.3d 88 (2d Cir. 2000) (per </w:t>
      </w:r>
      <w:proofErr w:type="spellStart"/>
      <w:r w:rsidRPr="00273ADF">
        <w:rPr>
          <w:rStyle w:val="None"/>
        </w:rPr>
        <w:t>curiam</w:t>
      </w:r>
      <w:proofErr w:type="spellEnd"/>
      <w:r w:rsidRPr="00273ADF">
        <w:rPr>
          <w:rStyle w:val="None"/>
        </w:rPr>
        <w:t>).</w:t>
      </w:r>
    </w:p>
    <w:p w14:paraId="79F1E167" w14:textId="77777777" w:rsidR="00BA4743" w:rsidRPr="00273ADF" w:rsidRDefault="00BA4743" w:rsidP="00C40A67">
      <w:pPr>
        <w:pStyle w:val="Example"/>
        <w:rPr>
          <w:rFonts w:ascii="Georgia" w:hAnsi="Georgia"/>
        </w:rPr>
      </w:pPr>
    </w:p>
    <w:p w14:paraId="57397397" w14:textId="70C30A87" w:rsidR="00F5734E" w:rsidRPr="00C40A67" w:rsidRDefault="00F5734E" w:rsidP="00616CD0">
      <w:pPr>
        <w:pStyle w:val="Heading4"/>
        <w:rPr>
          <w:rStyle w:val="None"/>
          <w:i/>
          <w:iCs/>
        </w:rPr>
      </w:pPr>
      <w:bookmarkStart w:id="6" w:name="_Toc78928030"/>
      <w:r w:rsidRPr="00C40A67">
        <w:rPr>
          <w:rStyle w:val="None"/>
        </w:rPr>
        <w:t>R11.2</w:t>
      </w:r>
      <w:r w:rsidRPr="00C40A67">
        <w:rPr>
          <w:rStyle w:val="None"/>
        </w:rPr>
        <w:tab/>
      </w:r>
      <w:r w:rsidR="003610E3" w:rsidRPr="00C40A67">
        <w:rPr>
          <w:rStyle w:val="None"/>
        </w:rPr>
        <w:tab/>
      </w:r>
      <w:r w:rsidRPr="00C40A67">
        <w:rPr>
          <w:rStyle w:val="None"/>
        </w:rPr>
        <w:t>Case Names Italicized</w:t>
      </w:r>
      <w:bookmarkEnd w:id="6"/>
    </w:p>
    <w:p w14:paraId="52143CE6" w14:textId="6265307F" w:rsidR="00F5734E" w:rsidRDefault="00F5734E" w:rsidP="00083161">
      <w:pPr>
        <w:pStyle w:val="Rule"/>
        <w:ind w:left="0"/>
        <w:rPr>
          <w:rStyle w:val="None"/>
        </w:rPr>
      </w:pPr>
      <w:r>
        <w:rPr>
          <w:rStyle w:val="None"/>
        </w:rPr>
        <w:t>In formatting a case citation, italicize everything in the case name, but don’t italicize the comma at the end of the case name.</w:t>
      </w:r>
    </w:p>
    <w:p w14:paraId="5F025EDD" w14:textId="77777777" w:rsidR="004B6E2B" w:rsidRDefault="004B6E2B" w:rsidP="00083161">
      <w:pPr>
        <w:pStyle w:val="Rule"/>
        <w:ind w:left="0"/>
        <w:rPr>
          <w:rStyle w:val="None"/>
        </w:rPr>
      </w:pPr>
    </w:p>
    <w:p w14:paraId="6D71239C" w14:textId="289C4B80" w:rsidR="00F5734E" w:rsidRPr="00C40A67" w:rsidRDefault="000E140E" w:rsidP="00616CD0">
      <w:pPr>
        <w:pStyle w:val="Heading4"/>
        <w:rPr>
          <w:rStyle w:val="None"/>
          <w:i/>
          <w:iCs/>
        </w:rPr>
      </w:pPr>
      <w:bookmarkStart w:id="7" w:name="_Toc78928031"/>
      <w:r>
        <w:rPr>
          <w:rStyle w:val="None"/>
        </w:rPr>
        <w:t>R</w:t>
      </w:r>
      <w:r w:rsidR="00F5734E" w:rsidRPr="00C40A67">
        <w:rPr>
          <w:rStyle w:val="None"/>
        </w:rPr>
        <w:t>11.3</w:t>
      </w:r>
      <w:r w:rsidR="00F5734E" w:rsidRPr="00C40A67">
        <w:rPr>
          <w:rStyle w:val="None"/>
        </w:rPr>
        <w:tab/>
      </w:r>
      <w:r>
        <w:rPr>
          <w:rStyle w:val="None"/>
        </w:rPr>
        <w:tab/>
      </w:r>
      <w:r w:rsidR="00F5734E" w:rsidRPr="00C40A67">
        <w:rPr>
          <w:rStyle w:val="None"/>
        </w:rPr>
        <w:t>Comprehensive Case-Name Abbreviations in Citation Sentences and Clauses</w:t>
      </w:r>
      <w:bookmarkEnd w:id="7"/>
    </w:p>
    <w:p w14:paraId="64CC69C5" w14:textId="0A1AD270" w:rsidR="00211A2D" w:rsidRDefault="00F36AB7" w:rsidP="00083161">
      <w:pPr>
        <w:pStyle w:val="Rule"/>
        <w:ind w:left="0"/>
        <w:rPr>
          <w:rStyle w:val="None"/>
        </w:rPr>
      </w:pPr>
      <w:r>
        <w:rPr>
          <w:rStyle w:val="None"/>
        </w:rPr>
        <w:t xml:space="preserve">Citation sentences and clauses stand apart from the traditional prose text, as shown in </w:t>
      </w:r>
      <w:r w:rsidRPr="00F44847">
        <w:rPr>
          <w:rStyle w:val="Rulereferencecharacterstyle"/>
        </w:rPr>
        <w:t>Rule R</w:t>
      </w:r>
      <w:r w:rsidR="00F44847" w:rsidRPr="00F44847">
        <w:rPr>
          <w:rStyle w:val="Rulereferencecharacterstyle"/>
        </w:rPr>
        <w:t>3</w:t>
      </w:r>
      <w:r w:rsidR="00185FD3">
        <w:rPr>
          <w:rStyle w:val="Rulereferencecharacterstyle"/>
        </w:rPr>
        <w:t>.</w:t>
      </w:r>
      <w:r>
        <w:rPr>
          <w:rStyle w:val="None"/>
        </w:rPr>
        <w:t xml:space="preserve"> </w:t>
      </w:r>
      <w:r w:rsidR="00F5734E">
        <w:rPr>
          <w:rStyle w:val="None"/>
        </w:rPr>
        <w:t xml:space="preserve">In citation sentences and clauses, </w:t>
      </w:r>
      <w:r w:rsidR="00211A2D">
        <w:rPr>
          <w:rStyle w:val="None"/>
        </w:rPr>
        <w:t xml:space="preserve">use extensive word and geographical </w:t>
      </w:r>
      <w:r w:rsidR="008A7D6A">
        <w:rPr>
          <w:rStyle w:val="None"/>
        </w:rPr>
        <w:t xml:space="preserve">abbreviations as indicated in </w:t>
      </w:r>
      <w:r w:rsidR="008A7D6A" w:rsidRPr="00F36AB7">
        <w:rPr>
          <w:rStyle w:val="Rulereferencecharacterstyle"/>
        </w:rPr>
        <w:t>Table T11</w:t>
      </w:r>
      <w:r w:rsidR="008A7D6A">
        <w:rPr>
          <w:rStyle w:val="None"/>
        </w:rPr>
        <w:t xml:space="preserve"> and </w:t>
      </w:r>
      <w:r w:rsidR="008A7D6A" w:rsidRPr="00F36AB7">
        <w:rPr>
          <w:rStyle w:val="Rulereferencecharacterstyle"/>
        </w:rPr>
        <w:t>Table T12</w:t>
      </w:r>
      <w:r w:rsidR="008A7D6A">
        <w:rPr>
          <w:rStyle w:val="None"/>
        </w:rPr>
        <w:t>.</w:t>
      </w:r>
    </w:p>
    <w:p w14:paraId="2DE55EAC" w14:textId="620B8642" w:rsidR="00211A2D" w:rsidRDefault="008A7D6A" w:rsidP="00616CD0">
      <w:pPr>
        <w:pStyle w:val="Heading5"/>
        <w:rPr>
          <w:rStyle w:val="None"/>
        </w:rPr>
      </w:pPr>
      <w:r>
        <w:rPr>
          <w:rStyle w:val="None"/>
        </w:rPr>
        <w:t>R11.3.1</w:t>
      </w:r>
      <w:r>
        <w:rPr>
          <w:rStyle w:val="None"/>
        </w:rPr>
        <w:tab/>
        <w:t>Common word abbreviations (citation sentences</w:t>
      </w:r>
      <w:r w:rsidR="007A5B84">
        <w:rPr>
          <w:rStyle w:val="None"/>
        </w:rPr>
        <w:t xml:space="preserve"> and clauses</w:t>
      </w:r>
      <w:r>
        <w:rPr>
          <w:rStyle w:val="None"/>
        </w:rPr>
        <w:t>)</w:t>
      </w:r>
    </w:p>
    <w:p w14:paraId="287012A2" w14:textId="6F821BB0" w:rsidR="00F5734E" w:rsidRPr="004B6E2B" w:rsidRDefault="008A7D6A" w:rsidP="004B6E2B">
      <w:pPr>
        <w:pStyle w:val="Rule"/>
        <w:ind w:left="0"/>
        <w:rPr>
          <w:rStyle w:val="None"/>
        </w:rPr>
      </w:pPr>
      <w:r w:rsidRPr="004B6E2B">
        <w:rPr>
          <w:rStyle w:val="None"/>
        </w:rPr>
        <w:t xml:space="preserve">Abbreviate </w:t>
      </w:r>
      <w:r w:rsidR="00F5734E" w:rsidRPr="004B6E2B">
        <w:rPr>
          <w:rStyle w:val="None"/>
        </w:rPr>
        <w:t>common words in case names according to </w:t>
      </w:r>
      <w:r w:rsidR="00F5734E" w:rsidRPr="004B6E2B">
        <w:rPr>
          <w:rStyle w:val="Rulereferencecharacterstyle"/>
        </w:rPr>
        <w:t>Table T11</w:t>
      </w:r>
      <w:r w:rsidRPr="004B6E2B">
        <w:rPr>
          <w:rStyle w:val="Rulereferencecharacterstyle"/>
          <w:color w:val="auto"/>
        </w:rPr>
        <w:t xml:space="preserve">. </w:t>
      </w:r>
    </w:p>
    <w:p w14:paraId="6E87872C" w14:textId="25E6DE40" w:rsidR="00F5734E" w:rsidRDefault="000B2F1A" w:rsidP="00D96B56">
      <w:pPr>
        <w:pStyle w:val="Example"/>
        <w:ind w:left="1440"/>
        <w:rPr>
          <w:rStyle w:val="None"/>
        </w:rPr>
      </w:pPr>
      <w:r>
        <w:rPr>
          <w:rStyle w:val="None"/>
          <w:b/>
          <w:bCs w:val="0"/>
        </w:rPr>
        <w:t>Correct (in a citation sentence):</w:t>
      </w:r>
    </w:p>
    <w:p w14:paraId="60599745" w14:textId="77777777" w:rsidR="00F5734E" w:rsidRDefault="00F5734E" w:rsidP="00D96B56">
      <w:pPr>
        <w:pStyle w:val="Example"/>
        <w:ind w:left="1440"/>
        <w:rPr>
          <w:rStyle w:val="None"/>
          <w:b/>
          <w:bCs w:val="0"/>
        </w:rPr>
      </w:pPr>
      <w:r>
        <w:rPr>
          <w:rStyle w:val="None"/>
          <w:i/>
          <w:iCs/>
        </w:rPr>
        <w:t>Cont’l Paper Bag Co. v. E. Paper Bag Co.</w:t>
      </w:r>
    </w:p>
    <w:p w14:paraId="680D2EAC" w14:textId="7FE7B1C9" w:rsidR="00F5734E" w:rsidRDefault="000B2F1A" w:rsidP="00D96B56">
      <w:pPr>
        <w:pStyle w:val="Example"/>
        <w:ind w:left="1440"/>
        <w:rPr>
          <w:rStyle w:val="None"/>
        </w:rPr>
      </w:pPr>
      <w:r>
        <w:rPr>
          <w:rStyle w:val="None"/>
          <w:b/>
          <w:bCs w:val="0"/>
        </w:rPr>
        <w:t>Incorrect (in a citation sentence):</w:t>
      </w:r>
    </w:p>
    <w:p w14:paraId="5CC458F2" w14:textId="769C6F84" w:rsidR="00F5734E" w:rsidRDefault="00F5734E" w:rsidP="00D96B56">
      <w:pPr>
        <w:pStyle w:val="Example"/>
        <w:ind w:left="1440"/>
        <w:rPr>
          <w:rStyle w:val="None"/>
          <w:i/>
          <w:iCs/>
        </w:rPr>
      </w:pPr>
      <w:r>
        <w:rPr>
          <w:rStyle w:val="None"/>
          <w:i/>
          <w:iCs/>
        </w:rPr>
        <w:t>Continental Paper Bag Company v. Eastern Paper Bag Company</w:t>
      </w:r>
    </w:p>
    <w:p w14:paraId="4432C871" w14:textId="7A479633" w:rsidR="008A7D6A" w:rsidRDefault="008A7D6A" w:rsidP="00616CD0">
      <w:pPr>
        <w:pStyle w:val="Heading5"/>
      </w:pPr>
      <w:r>
        <w:rPr>
          <w:rStyle w:val="None"/>
        </w:rPr>
        <w:t>R11.3.2</w:t>
      </w:r>
      <w:r>
        <w:rPr>
          <w:rStyle w:val="None"/>
        </w:rPr>
        <w:tab/>
        <w:t>Geographical abbreviations (citation sentences</w:t>
      </w:r>
      <w:r w:rsidR="007A5B84">
        <w:rPr>
          <w:rStyle w:val="None"/>
        </w:rPr>
        <w:t xml:space="preserve"> and clauses</w:t>
      </w:r>
      <w:r>
        <w:rPr>
          <w:rStyle w:val="None"/>
        </w:rPr>
        <w:t>)</w:t>
      </w:r>
    </w:p>
    <w:p w14:paraId="12114D07" w14:textId="69FCEA09" w:rsidR="008A7D6A" w:rsidRPr="004B6E2B" w:rsidRDefault="008A7D6A" w:rsidP="004B6E2B">
      <w:pPr>
        <w:pStyle w:val="Rule"/>
        <w:ind w:left="0"/>
        <w:rPr>
          <w:rStyle w:val="None"/>
        </w:rPr>
      </w:pPr>
      <w:r w:rsidRPr="004B6E2B">
        <w:t xml:space="preserve">In citation sentences and clauses, abbreviate geographical locations according to </w:t>
      </w:r>
      <w:r w:rsidRPr="004B6E2B">
        <w:rPr>
          <w:rStyle w:val="Rulereferencecharacterstyle"/>
        </w:rPr>
        <w:t>Table T12</w:t>
      </w:r>
      <w:r w:rsidRPr="004B6E2B">
        <w:t xml:space="preserve">. </w:t>
      </w:r>
      <w:r w:rsidRPr="004B6E2B">
        <w:rPr>
          <w:rStyle w:val="None"/>
        </w:rPr>
        <w:t xml:space="preserve">Do not abbreviate a geographical place if it is one of the parties in the case. </w:t>
      </w:r>
    </w:p>
    <w:p w14:paraId="3A29F366" w14:textId="2F6CB136" w:rsidR="000B2F1A" w:rsidRPr="004B6E2B" w:rsidRDefault="000B2F1A" w:rsidP="004B6E2B">
      <w:pPr>
        <w:pStyle w:val="Example"/>
        <w:ind w:left="1440"/>
        <w:rPr>
          <w:rStyle w:val="None"/>
          <w:b/>
          <w:bCs w:val="0"/>
        </w:rPr>
      </w:pPr>
      <w:r w:rsidRPr="004B6E2B">
        <w:rPr>
          <w:rStyle w:val="None"/>
          <w:b/>
          <w:bCs w:val="0"/>
        </w:rPr>
        <w:t>Correct (in a citation sentence):</w:t>
      </w:r>
    </w:p>
    <w:p w14:paraId="78D99439" w14:textId="6462B105" w:rsidR="000B2F1A" w:rsidRPr="004B6E2B" w:rsidRDefault="000B2F1A" w:rsidP="004B6E2B">
      <w:pPr>
        <w:pStyle w:val="Example"/>
        <w:ind w:left="1440"/>
        <w:rPr>
          <w:rStyle w:val="None"/>
          <w:i/>
          <w:iCs/>
        </w:rPr>
      </w:pPr>
      <w:r w:rsidRPr="004B6E2B">
        <w:rPr>
          <w:rStyle w:val="None"/>
          <w:i/>
          <w:iCs/>
        </w:rPr>
        <w:t>Church of Scientology of Cal. v. Blackman</w:t>
      </w:r>
    </w:p>
    <w:p w14:paraId="392DFD23" w14:textId="35254B65" w:rsidR="000B2F1A" w:rsidRPr="004B6E2B" w:rsidRDefault="000B2F1A" w:rsidP="004B6E2B">
      <w:pPr>
        <w:pStyle w:val="Example"/>
        <w:ind w:left="1440"/>
        <w:rPr>
          <w:rStyle w:val="None"/>
          <w:b/>
          <w:bCs w:val="0"/>
        </w:rPr>
      </w:pPr>
      <w:r w:rsidRPr="004B6E2B">
        <w:rPr>
          <w:rStyle w:val="None"/>
          <w:b/>
          <w:bCs w:val="0"/>
        </w:rPr>
        <w:t>Incorrect (in a citation sentence):</w:t>
      </w:r>
    </w:p>
    <w:p w14:paraId="7A919944" w14:textId="015992D5" w:rsidR="000B2F1A" w:rsidRPr="004B6E2B" w:rsidRDefault="000B2F1A" w:rsidP="004B6E2B">
      <w:pPr>
        <w:pStyle w:val="Example"/>
        <w:ind w:left="1440"/>
        <w:rPr>
          <w:rStyle w:val="None"/>
          <w:i/>
          <w:iCs/>
        </w:rPr>
      </w:pPr>
      <w:r w:rsidRPr="004B6E2B">
        <w:rPr>
          <w:rStyle w:val="None"/>
          <w:i/>
          <w:iCs/>
        </w:rPr>
        <w:t>Church of Scientology of California v. Blackman</w:t>
      </w:r>
    </w:p>
    <w:p w14:paraId="6C40B782" w14:textId="09CCF529" w:rsidR="00B07FA5" w:rsidRPr="004B6E2B" w:rsidRDefault="00B07FA5" w:rsidP="004B6E2B">
      <w:pPr>
        <w:pStyle w:val="Example"/>
        <w:ind w:left="1440"/>
        <w:rPr>
          <w:rStyle w:val="None"/>
        </w:rPr>
      </w:pPr>
    </w:p>
    <w:p w14:paraId="20501E2C" w14:textId="656F2054" w:rsidR="00B07FA5" w:rsidRPr="004B6E2B" w:rsidRDefault="00211A2D" w:rsidP="004B6E2B">
      <w:pPr>
        <w:pStyle w:val="Example"/>
        <w:ind w:left="1440"/>
        <w:rPr>
          <w:rStyle w:val="None"/>
          <w:b/>
          <w:bCs w:val="0"/>
        </w:rPr>
      </w:pPr>
      <w:r w:rsidRPr="004B6E2B">
        <w:rPr>
          <w:rStyle w:val="None"/>
          <w:b/>
          <w:bCs w:val="0"/>
        </w:rPr>
        <w:t>Correct (in a citation sentence)</w:t>
      </w:r>
      <w:r w:rsidR="00B07FA5" w:rsidRPr="004B6E2B">
        <w:rPr>
          <w:rStyle w:val="None"/>
          <w:b/>
          <w:bCs w:val="0"/>
        </w:rPr>
        <w:t>:</w:t>
      </w:r>
    </w:p>
    <w:p w14:paraId="71EE8EA2" w14:textId="26AB546E" w:rsidR="00211A2D" w:rsidRPr="004B6E2B" w:rsidRDefault="00211A2D" w:rsidP="004B6E2B">
      <w:pPr>
        <w:pStyle w:val="Example"/>
        <w:ind w:left="1440"/>
        <w:rPr>
          <w:rStyle w:val="None"/>
          <w:i/>
          <w:iCs/>
        </w:rPr>
      </w:pPr>
      <w:r w:rsidRPr="004B6E2B">
        <w:rPr>
          <w:rStyle w:val="None"/>
          <w:i/>
          <w:iCs/>
        </w:rPr>
        <w:t>South Dakota v. Fifteen Impounded Cats</w:t>
      </w:r>
      <w:r w:rsidR="004B6E2B" w:rsidRPr="004B6E2B">
        <w:rPr>
          <w:rStyle w:val="None"/>
          <w:i/>
          <w:iCs/>
        </w:rPr>
        <w:tab/>
      </w:r>
    </w:p>
    <w:p w14:paraId="319D12FF" w14:textId="286ADCB7" w:rsidR="00211A2D" w:rsidRPr="004B6E2B" w:rsidRDefault="00211A2D" w:rsidP="004B6E2B">
      <w:pPr>
        <w:pStyle w:val="Example"/>
        <w:ind w:left="1440"/>
        <w:rPr>
          <w:rStyle w:val="None"/>
          <w:b/>
          <w:bCs w:val="0"/>
        </w:rPr>
      </w:pPr>
      <w:r w:rsidRPr="004B6E2B">
        <w:rPr>
          <w:rStyle w:val="None"/>
          <w:b/>
          <w:bCs w:val="0"/>
        </w:rPr>
        <w:t>Incorrect (in a citation sentence)</w:t>
      </w:r>
      <w:r w:rsidR="004B6E2B" w:rsidRPr="004B6E2B">
        <w:rPr>
          <w:rStyle w:val="None"/>
          <w:b/>
          <w:bCs w:val="0"/>
        </w:rPr>
        <w:t>:</w:t>
      </w:r>
    </w:p>
    <w:p w14:paraId="51B219E7" w14:textId="450B6D19" w:rsidR="004B6E2B" w:rsidRPr="004B6E2B" w:rsidRDefault="004B6E2B" w:rsidP="004B6E2B">
      <w:pPr>
        <w:pStyle w:val="Example"/>
        <w:ind w:left="1440"/>
        <w:rPr>
          <w:rStyle w:val="None"/>
          <w:i/>
          <w:iCs/>
        </w:rPr>
      </w:pPr>
      <w:r w:rsidRPr="004B6E2B">
        <w:rPr>
          <w:rStyle w:val="None"/>
          <w:i/>
          <w:iCs/>
        </w:rPr>
        <w:t>S.D. v. Fifteen Impounded Cats</w:t>
      </w:r>
    </w:p>
    <w:p w14:paraId="16E5CDFC" w14:textId="608E02AB" w:rsidR="00B07FA5" w:rsidRDefault="004B6E2B" w:rsidP="00616CD0">
      <w:pPr>
        <w:pStyle w:val="Heading5"/>
        <w:rPr>
          <w:rStyle w:val="None"/>
        </w:rPr>
      </w:pPr>
      <w:r>
        <w:rPr>
          <w:rStyle w:val="None"/>
        </w:rPr>
        <w:t xml:space="preserve">R11.3.3 </w:t>
      </w:r>
      <w:r>
        <w:rPr>
          <w:rStyle w:val="None"/>
        </w:rPr>
        <w:tab/>
        <w:t>Discretionary abbreviations (citation sentences</w:t>
      </w:r>
      <w:r w:rsidR="007A5B84">
        <w:rPr>
          <w:rStyle w:val="None"/>
        </w:rPr>
        <w:t xml:space="preserve"> and clauses</w:t>
      </w:r>
      <w:r>
        <w:rPr>
          <w:rStyle w:val="None"/>
        </w:rPr>
        <w:t>)</w:t>
      </w:r>
    </w:p>
    <w:p w14:paraId="64BA580C" w14:textId="7ECC871F" w:rsidR="004B6E2B" w:rsidRPr="00FD51BA" w:rsidRDefault="004B6E2B" w:rsidP="00FD51BA">
      <w:pPr>
        <w:pStyle w:val="Rule"/>
        <w:ind w:left="0"/>
        <w:rPr>
          <w:rStyle w:val="None"/>
        </w:rPr>
      </w:pPr>
      <w:r w:rsidRPr="00FD51BA">
        <w:rPr>
          <w:rStyle w:val="None"/>
        </w:rPr>
        <w:t xml:space="preserve">If the resulting abbreviation is not ambiguous, words of eight or more letters may be abbreviated to save substantial space in citation sentences. As a guide, remember that citation sentences and clauses stand apart from the prose text they support, and thus can prioritize efficiency over readability; but </w:t>
      </w:r>
      <w:r w:rsidR="00FD51BA" w:rsidRPr="00FD51BA">
        <w:rPr>
          <w:rStyle w:val="None"/>
        </w:rPr>
        <w:t>clarity and preciseness are still a factor.</w:t>
      </w:r>
    </w:p>
    <w:p w14:paraId="32949D76" w14:textId="77777777" w:rsidR="004B6E2B" w:rsidRDefault="004B6E2B" w:rsidP="004B6E2B">
      <w:pPr>
        <w:pStyle w:val="Example"/>
        <w:rPr>
          <w:rStyle w:val="None"/>
          <w:i/>
          <w:iCs/>
        </w:rPr>
      </w:pPr>
    </w:p>
    <w:p w14:paraId="73951B4C" w14:textId="0F0948C4" w:rsidR="00F5734E" w:rsidRPr="00185FD3" w:rsidRDefault="000E140E" w:rsidP="00616CD0">
      <w:pPr>
        <w:pStyle w:val="Heading4"/>
        <w:rPr>
          <w:rStyle w:val="None"/>
        </w:rPr>
      </w:pPr>
      <w:bookmarkStart w:id="8" w:name="_Toc78928032"/>
      <w:r w:rsidRPr="00185FD3">
        <w:rPr>
          <w:rStyle w:val="None"/>
        </w:rPr>
        <w:t>R</w:t>
      </w:r>
      <w:r w:rsidR="00F5734E" w:rsidRPr="00185FD3">
        <w:rPr>
          <w:rStyle w:val="None"/>
        </w:rPr>
        <w:t>11.4</w:t>
      </w:r>
      <w:r w:rsidR="00F5734E" w:rsidRPr="00185FD3">
        <w:rPr>
          <w:rStyle w:val="None"/>
        </w:rPr>
        <w:tab/>
        <w:t>Limited Case-Name Abbreviations in Textual Sentences</w:t>
      </w:r>
      <w:bookmarkEnd w:id="8"/>
    </w:p>
    <w:p w14:paraId="25A21311" w14:textId="18240709" w:rsidR="00050D8E" w:rsidRDefault="00FD51BA" w:rsidP="00083161">
      <w:pPr>
        <w:pStyle w:val="Rule"/>
        <w:ind w:left="0"/>
        <w:rPr>
          <w:rStyle w:val="None"/>
        </w:rPr>
      </w:pPr>
      <w:r>
        <w:rPr>
          <w:rStyle w:val="None"/>
        </w:rPr>
        <w:t>Textual sentences</w:t>
      </w:r>
      <w:r w:rsidR="00A81540">
        <w:rPr>
          <w:rStyle w:val="None"/>
        </w:rPr>
        <w:t>—</w:t>
      </w:r>
      <w:proofErr w:type="gramStart"/>
      <w:r w:rsidR="00A81540">
        <w:rPr>
          <w:rStyle w:val="None"/>
        </w:rPr>
        <w:t>i.e.</w:t>
      </w:r>
      <w:proofErr w:type="gramEnd"/>
      <w:r w:rsidR="00A81540">
        <w:rPr>
          <w:rStyle w:val="None"/>
        </w:rPr>
        <w:t xml:space="preserve"> grammatical prose for the reader, as opposed to citation “sentences” and clauses interspersed between textual sentences—</w:t>
      </w:r>
      <w:r w:rsidR="00A23223">
        <w:rPr>
          <w:rStyle w:val="None"/>
        </w:rPr>
        <w:t xml:space="preserve">may include case names and full or short case citations. </w:t>
      </w:r>
      <w:r w:rsidR="00765EEA">
        <w:rPr>
          <w:rStyle w:val="None"/>
        </w:rPr>
        <w:t xml:space="preserve">When including </w:t>
      </w:r>
      <w:r w:rsidR="00A23223">
        <w:rPr>
          <w:rStyle w:val="None"/>
        </w:rPr>
        <w:t xml:space="preserve">a case name </w:t>
      </w:r>
      <w:r w:rsidR="00765EEA">
        <w:rPr>
          <w:rStyle w:val="None"/>
        </w:rPr>
        <w:t>within a textual sentence</w:t>
      </w:r>
      <w:r w:rsidR="00A23223">
        <w:rPr>
          <w:rStyle w:val="None"/>
        </w:rPr>
        <w:t xml:space="preserve">, </w:t>
      </w:r>
      <w:r w:rsidR="00F5734E">
        <w:rPr>
          <w:rStyle w:val="None"/>
        </w:rPr>
        <w:t>case-name abbreviations</w:t>
      </w:r>
      <w:r w:rsidR="00007F30">
        <w:rPr>
          <w:rStyle w:val="None"/>
        </w:rPr>
        <w:t xml:space="preserve"> are sharply limited. </w:t>
      </w:r>
      <w:r w:rsidR="00F5734E">
        <w:rPr>
          <w:rStyle w:val="None"/>
        </w:rPr>
        <w:t xml:space="preserve">The purpose is to prioritize sentence readability over citation efficiency. </w:t>
      </w:r>
      <w:r w:rsidR="00007F30">
        <w:rPr>
          <w:rStyle w:val="None"/>
        </w:rPr>
        <w:t>Case names within textual sentences should abbreviate well-known acronyms</w:t>
      </w:r>
      <w:r w:rsidR="00F5734E">
        <w:rPr>
          <w:rStyle w:val="None"/>
        </w:rPr>
        <w:t xml:space="preserve"> and</w:t>
      </w:r>
      <w:r w:rsidR="00A23223">
        <w:rPr>
          <w:rStyle w:val="None"/>
        </w:rPr>
        <w:t xml:space="preserve"> the</w:t>
      </w:r>
      <w:r w:rsidR="00F5734E">
        <w:rPr>
          <w:rStyle w:val="None"/>
        </w:rPr>
        <w:t xml:space="preserve"> </w:t>
      </w:r>
      <w:r w:rsidR="00333A33">
        <w:rPr>
          <w:rStyle w:val="None"/>
        </w:rPr>
        <w:t>eight words listed in the table below.</w:t>
      </w:r>
    </w:p>
    <w:p w14:paraId="2154BB05" w14:textId="2691C431" w:rsidR="00333A33" w:rsidRPr="00333A33" w:rsidRDefault="00333A33" w:rsidP="00083161">
      <w:pPr>
        <w:pStyle w:val="Rule"/>
        <w:ind w:left="0"/>
        <w:rPr>
          <w:rStyle w:val="TableDesignation"/>
        </w:rPr>
      </w:pPr>
    </w:p>
    <w:tbl>
      <w:tblPr>
        <w:tblStyle w:val="TableGrid"/>
        <w:tblW w:w="0" w:type="auto"/>
        <w:tblLook w:val="04A0" w:firstRow="1" w:lastRow="0" w:firstColumn="1" w:lastColumn="0" w:noHBand="0" w:noVBand="1"/>
      </w:tblPr>
      <w:tblGrid>
        <w:gridCol w:w="5082"/>
        <w:gridCol w:w="4494"/>
      </w:tblGrid>
      <w:tr w:rsidR="004447BA" w:rsidRPr="001965A7" w14:paraId="44CA283D" w14:textId="5DFCAA88" w:rsidTr="00CB7C7E">
        <w:tc>
          <w:tcPr>
            <w:tcW w:w="11696" w:type="dxa"/>
            <w:gridSpan w:val="2"/>
          </w:tcPr>
          <w:p w14:paraId="41271EBD" w14:textId="620F62B4" w:rsidR="004447BA" w:rsidRPr="001965A7" w:rsidRDefault="003144AA" w:rsidP="007C16A9">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Pr>
                <w:rStyle w:val="None"/>
                <w:b/>
                <w:bCs/>
              </w:rPr>
              <w:t>Abbreviations of</w:t>
            </w:r>
            <w:r w:rsidR="004447BA" w:rsidRPr="001965A7">
              <w:rPr>
                <w:rStyle w:val="None"/>
                <w:b/>
                <w:bCs/>
              </w:rPr>
              <w:t xml:space="preserve"> Case Names </w:t>
            </w:r>
            <w:r>
              <w:rPr>
                <w:rStyle w:val="None"/>
                <w:b/>
                <w:bCs/>
              </w:rPr>
              <w:t>Within</w:t>
            </w:r>
            <w:r w:rsidR="004447BA" w:rsidRPr="001965A7">
              <w:rPr>
                <w:rStyle w:val="None"/>
                <w:b/>
                <w:bCs/>
              </w:rPr>
              <w:t xml:space="preserve"> Textual Sentence</w:t>
            </w:r>
            <w:r>
              <w:rPr>
                <w:rStyle w:val="None"/>
                <w:b/>
                <w:bCs/>
              </w:rPr>
              <w:t>s</w:t>
            </w:r>
          </w:p>
        </w:tc>
      </w:tr>
      <w:tr w:rsidR="00D21A70" w14:paraId="683E3E75" w14:textId="77777777" w:rsidTr="004447BA">
        <w:tc>
          <w:tcPr>
            <w:tcW w:w="6206" w:type="dxa"/>
          </w:tcPr>
          <w:p w14:paraId="26988A4C" w14:textId="2040F6A7" w:rsidR="00D21A70" w:rsidRPr="00D21A70" w:rsidRDefault="00D21A70"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Abbreviation</w:t>
            </w:r>
          </w:p>
        </w:tc>
        <w:tc>
          <w:tcPr>
            <w:tcW w:w="5490" w:type="dxa"/>
          </w:tcPr>
          <w:p w14:paraId="44FE3B85" w14:textId="034A6B5C" w:rsidR="00D21A70" w:rsidRPr="00D21A70" w:rsidRDefault="007C16A9"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b/>
                <w:bCs/>
              </w:rPr>
            </w:pPr>
            <w:r>
              <w:rPr>
                <w:rStyle w:val="None"/>
                <w:b/>
                <w:bCs/>
              </w:rPr>
              <w:t>Word</w:t>
            </w:r>
          </w:p>
        </w:tc>
      </w:tr>
      <w:tr w:rsidR="001965A7" w14:paraId="50B1B7A7" w14:textId="7D37637C" w:rsidTr="004447BA">
        <w:tc>
          <w:tcPr>
            <w:tcW w:w="6206" w:type="dxa"/>
          </w:tcPr>
          <w:p w14:paraId="1A768AA6" w14:textId="06E4490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&amp;</w:t>
            </w:r>
          </w:p>
        </w:tc>
        <w:tc>
          <w:tcPr>
            <w:tcW w:w="5490" w:type="dxa"/>
          </w:tcPr>
          <w:p w14:paraId="50F09683" w14:textId="7C23A9D7"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and</w:t>
            </w:r>
          </w:p>
        </w:tc>
      </w:tr>
      <w:tr w:rsidR="001965A7" w14:paraId="31A9462C" w14:textId="3508E4A1" w:rsidTr="004447BA">
        <w:tc>
          <w:tcPr>
            <w:tcW w:w="6206" w:type="dxa"/>
          </w:tcPr>
          <w:p w14:paraId="4CDF6818" w14:textId="14C9638B"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proofErr w:type="spellStart"/>
            <w:r>
              <w:rPr>
                <w:rStyle w:val="None"/>
              </w:rPr>
              <w:t>Ass’n</w:t>
            </w:r>
            <w:proofErr w:type="spellEnd"/>
          </w:p>
        </w:tc>
        <w:tc>
          <w:tcPr>
            <w:tcW w:w="5490" w:type="dxa"/>
          </w:tcPr>
          <w:p w14:paraId="3137D080" w14:textId="6CFAEA26"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Association</w:t>
            </w:r>
          </w:p>
        </w:tc>
      </w:tr>
      <w:tr w:rsidR="001965A7" w14:paraId="04423735" w14:textId="4456F91F" w:rsidTr="004447BA">
        <w:tc>
          <w:tcPr>
            <w:tcW w:w="6206" w:type="dxa"/>
          </w:tcPr>
          <w:p w14:paraId="45F5DD93" w14:textId="03E4A39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Bros.</w:t>
            </w:r>
          </w:p>
        </w:tc>
        <w:tc>
          <w:tcPr>
            <w:tcW w:w="5490" w:type="dxa"/>
          </w:tcPr>
          <w:p w14:paraId="579FF2FA" w14:textId="6092B58D"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Brothers</w:t>
            </w:r>
          </w:p>
        </w:tc>
      </w:tr>
      <w:tr w:rsidR="001965A7" w14:paraId="46CF0CA3" w14:textId="3AF69D11" w:rsidTr="004447BA">
        <w:tc>
          <w:tcPr>
            <w:tcW w:w="6206" w:type="dxa"/>
          </w:tcPr>
          <w:p w14:paraId="7B4CA7D2" w14:textId="4D3C9780"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w:t>
            </w:r>
          </w:p>
        </w:tc>
        <w:tc>
          <w:tcPr>
            <w:tcW w:w="5490" w:type="dxa"/>
          </w:tcPr>
          <w:p w14:paraId="21F46F64" w14:textId="71FC542E"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Company</w:t>
            </w:r>
          </w:p>
        </w:tc>
      </w:tr>
      <w:tr w:rsidR="001965A7" w14:paraId="6ACF07E4" w14:textId="377817B1" w:rsidTr="004447BA">
        <w:tc>
          <w:tcPr>
            <w:tcW w:w="6206" w:type="dxa"/>
          </w:tcPr>
          <w:p w14:paraId="1024B20B" w14:textId="080DB4E2"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w:t>
            </w:r>
          </w:p>
        </w:tc>
        <w:tc>
          <w:tcPr>
            <w:tcW w:w="5490" w:type="dxa"/>
          </w:tcPr>
          <w:p w14:paraId="1531C1D0" w14:textId="7E9E1328"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Corporation</w:t>
            </w:r>
          </w:p>
        </w:tc>
      </w:tr>
      <w:tr w:rsidR="001965A7" w14:paraId="66700380" w14:textId="2E8DE55A" w:rsidTr="004447BA">
        <w:tc>
          <w:tcPr>
            <w:tcW w:w="6206" w:type="dxa"/>
          </w:tcPr>
          <w:p w14:paraId="236EA300" w14:textId="66E5A926"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w:t>
            </w:r>
          </w:p>
        </w:tc>
        <w:tc>
          <w:tcPr>
            <w:tcW w:w="5490" w:type="dxa"/>
          </w:tcPr>
          <w:p w14:paraId="14A472EF" w14:textId="164A1694"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Incorporated</w:t>
            </w:r>
          </w:p>
        </w:tc>
      </w:tr>
      <w:tr w:rsidR="004447BA" w14:paraId="736B1917" w14:textId="77777777" w:rsidTr="004447BA">
        <w:tc>
          <w:tcPr>
            <w:tcW w:w="6206" w:type="dxa"/>
          </w:tcPr>
          <w:p w14:paraId="6EABDD56" w14:textId="627F09BE"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Ltd.</w:t>
            </w:r>
          </w:p>
        </w:tc>
        <w:tc>
          <w:tcPr>
            <w:tcW w:w="5490" w:type="dxa"/>
          </w:tcPr>
          <w:p w14:paraId="52571FC8" w14:textId="160532FB"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Limited</w:t>
            </w:r>
          </w:p>
        </w:tc>
      </w:tr>
      <w:tr w:rsidR="004447BA" w14:paraId="3B4D8C61" w14:textId="77777777" w:rsidTr="004447BA">
        <w:tc>
          <w:tcPr>
            <w:tcW w:w="6206" w:type="dxa"/>
          </w:tcPr>
          <w:p w14:paraId="1E38EB51" w14:textId="77A3D09A" w:rsidR="004447BA" w:rsidRDefault="004447BA"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No.</w:t>
            </w:r>
          </w:p>
        </w:tc>
        <w:tc>
          <w:tcPr>
            <w:tcW w:w="5490" w:type="dxa"/>
          </w:tcPr>
          <w:p w14:paraId="08A84AE3" w14:textId="5F6AAD3C" w:rsidR="004447BA" w:rsidRDefault="001965A7" w:rsidP="00083161">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Number</w:t>
            </w:r>
          </w:p>
        </w:tc>
      </w:tr>
    </w:tbl>
    <w:p w14:paraId="074BBA52" w14:textId="77777777" w:rsidR="00F5734E" w:rsidRDefault="00F5734E" w:rsidP="000F0FD4">
      <w:pPr>
        <w:pStyle w:val="Example"/>
        <w:rPr>
          <w:rStyle w:val="None"/>
        </w:rPr>
      </w:pPr>
    </w:p>
    <w:p w14:paraId="7F379F5F" w14:textId="1B1DBF57" w:rsidR="00F5734E" w:rsidRDefault="00F5734E" w:rsidP="00BA4743">
      <w:pPr>
        <w:pStyle w:val="Example"/>
        <w:ind w:left="720"/>
        <w:rPr>
          <w:rStyle w:val="None"/>
        </w:rPr>
      </w:pPr>
      <w:r>
        <w:rPr>
          <w:rStyle w:val="None"/>
          <w:b/>
          <w:bCs w:val="0"/>
        </w:rPr>
        <w:t>Example:</w:t>
      </w:r>
    </w:p>
    <w:p w14:paraId="44566365" w14:textId="07FD31B3" w:rsidR="00F5734E" w:rsidRDefault="00F5734E" w:rsidP="004447BA">
      <w:pPr>
        <w:pStyle w:val="Example"/>
        <w:ind w:left="720"/>
        <w:rPr>
          <w:rStyle w:val="None"/>
        </w:rPr>
      </w:pPr>
      <w:r>
        <w:rPr>
          <w:rStyle w:val="None"/>
        </w:rPr>
        <w:t>In </w:t>
      </w:r>
      <w:r>
        <w:rPr>
          <w:rStyle w:val="None"/>
          <w:i/>
          <w:iCs/>
        </w:rPr>
        <w:t>McDonnell Douglas Corp. v. Green</w:t>
      </w:r>
      <w:r>
        <w:rPr>
          <w:rStyle w:val="None"/>
        </w:rPr>
        <w:t>, the Supreme Court held that in a disparate treatment case, the plaintiff bears the initial burden of establishing a </w:t>
      </w:r>
      <w:r>
        <w:rPr>
          <w:rStyle w:val="None"/>
          <w:i/>
          <w:iCs/>
        </w:rPr>
        <w:t>prima facie</w:t>
      </w:r>
      <w:r>
        <w:rPr>
          <w:rStyle w:val="None"/>
        </w:rPr>
        <w:t> case of employment discrimination. 411 U.S. 792 (1973).</w:t>
      </w:r>
    </w:p>
    <w:p w14:paraId="0F2B8F32" w14:textId="77777777" w:rsidR="003C088A" w:rsidRDefault="003C088A" w:rsidP="00BA4743">
      <w:pPr>
        <w:pStyle w:val="Example"/>
        <w:ind w:left="720"/>
        <w:rPr>
          <w:rStyle w:val="None"/>
          <w:b/>
          <w:bCs w:val="0"/>
        </w:rPr>
      </w:pPr>
    </w:p>
    <w:p w14:paraId="6668080B" w14:textId="0B77D4CE" w:rsidR="00F5734E" w:rsidRDefault="003C088A" w:rsidP="00BA4743">
      <w:pPr>
        <w:pStyle w:val="Example"/>
        <w:ind w:left="720"/>
        <w:rPr>
          <w:rStyle w:val="None"/>
        </w:rPr>
      </w:pPr>
      <w:r>
        <w:rPr>
          <w:rStyle w:val="None"/>
          <w:b/>
          <w:bCs w:val="0"/>
        </w:rPr>
        <w:t>Example</w:t>
      </w:r>
      <w:r w:rsidR="00F5734E">
        <w:rPr>
          <w:rStyle w:val="None"/>
          <w:b/>
          <w:bCs w:val="0"/>
        </w:rPr>
        <w:t>:</w:t>
      </w:r>
      <w:r w:rsidR="00F5734E">
        <w:rPr>
          <w:rStyle w:val="None"/>
        </w:rPr>
        <w:t> </w:t>
      </w:r>
    </w:p>
    <w:p w14:paraId="70E41003" w14:textId="58D8CD5F" w:rsidR="00F5734E" w:rsidRPr="004447BA" w:rsidRDefault="00F5734E" w:rsidP="004447BA">
      <w:pPr>
        <w:pStyle w:val="Example"/>
        <w:ind w:left="720"/>
        <w:rPr>
          <w:rStyle w:val="None"/>
          <w:b/>
          <w:bCs w:val="0"/>
        </w:rPr>
      </w:pPr>
      <w:r>
        <w:rPr>
          <w:rStyle w:val="None"/>
        </w:rPr>
        <w:t>According to </w:t>
      </w:r>
      <w:r>
        <w:rPr>
          <w:rStyle w:val="None"/>
          <w:i/>
          <w:iCs/>
        </w:rPr>
        <w:t>Texas Department of Community Affairs v. Burdine</w:t>
      </w:r>
      <w:r>
        <w:rPr>
          <w:rStyle w:val="None"/>
        </w:rPr>
        <w:t>, once the plaintiff has established a </w:t>
      </w:r>
      <w:r>
        <w:rPr>
          <w:rStyle w:val="None"/>
          <w:i/>
          <w:iCs/>
        </w:rPr>
        <w:t>prima facie</w:t>
      </w:r>
      <w:r>
        <w:rPr>
          <w:rStyle w:val="None"/>
        </w:rPr>
        <w:t> case, there is a rebuttable presumption of unlawful discrimination. 450 U.S. 248, 254 (1981).</w:t>
      </w:r>
    </w:p>
    <w:p w14:paraId="78473FD8" w14:textId="77777777" w:rsidR="00F5734E" w:rsidRDefault="00F5734E" w:rsidP="00F5734E">
      <w:pPr>
        <w:pStyle w:val="Body"/>
        <w:spacing w:line="360" w:lineRule="atLeast"/>
        <w:rPr>
          <w:rStyle w:val="None"/>
          <w:lang w:val="en-US"/>
        </w:rPr>
      </w:pPr>
    </w:p>
    <w:p w14:paraId="60692BF1" w14:textId="77777777" w:rsidR="00F5734E" w:rsidRDefault="00F5734E" w:rsidP="00F5734E">
      <w:pPr>
        <w:pStyle w:val="Body"/>
        <w:spacing w:line="360" w:lineRule="atLeast"/>
        <w:rPr>
          <w:rStyle w:val="None"/>
          <w:lang w:val="en-US"/>
        </w:rPr>
      </w:pPr>
    </w:p>
    <w:p w14:paraId="3DC79ABC" w14:textId="77777777" w:rsidR="00F5734E" w:rsidRDefault="00F5734E" w:rsidP="00616CD0">
      <w:pPr>
        <w:pStyle w:val="Heading4"/>
        <w:rPr>
          <w:rStyle w:val="None"/>
        </w:rPr>
      </w:pPr>
      <w:bookmarkStart w:id="9" w:name="_Toc78928033"/>
      <w:r>
        <w:rPr>
          <w:rStyle w:val="None"/>
        </w:rPr>
        <w:t>R11.5</w:t>
      </w:r>
      <w:r>
        <w:rPr>
          <w:rStyle w:val="None"/>
        </w:rPr>
        <w:tab/>
      </w:r>
      <w:r>
        <w:rPr>
          <w:rStyle w:val="None"/>
        </w:rPr>
        <w:tab/>
        <w:t>General Case Name Truncation for All Contexts</w:t>
      </w:r>
      <w:bookmarkEnd w:id="9"/>
    </w:p>
    <w:p w14:paraId="179BC3B0" w14:textId="2249B78B" w:rsidR="009F27B4" w:rsidRDefault="0041179D" w:rsidP="003D1967">
      <w:pPr>
        <w:pStyle w:val="Rule"/>
        <w:ind w:left="0"/>
        <w:rPr>
          <w:rStyle w:val="None"/>
        </w:rPr>
      </w:pPr>
      <w:r>
        <w:rPr>
          <w:rStyle w:val="None"/>
        </w:rPr>
        <w:t xml:space="preserve">The rules and examples below are given </w:t>
      </w:r>
      <w:r w:rsidR="00446B5A" w:rsidRPr="00CF6869">
        <w:rPr>
          <w:rStyle w:val="None"/>
          <w:i/>
          <w:iCs/>
          <w:u w:val="single"/>
        </w:rPr>
        <w:t>without</w:t>
      </w:r>
      <w:r w:rsidR="003F7CE5">
        <w:rPr>
          <w:rStyle w:val="None"/>
        </w:rPr>
        <w:t xml:space="preserve"> the</w:t>
      </w:r>
      <w:r>
        <w:rPr>
          <w:rStyle w:val="None"/>
        </w:rPr>
        <w:t xml:space="preserve"> comprehensive abbreviations required by </w:t>
      </w:r>
      <w:r w:rsidRPr="002E551D">
        <w:rPr>
          <w:rStyle w:val="Rulereferencecharacterstyle"/>
        </w:rPr>
        <w:t>Rule R11.3</w:t>
      </w:r>
      <w:r>
        <w:rPr>
          <w:rStyle w:val="None"/>
        </w:rPr>
        <w:t xml:space="preserve"> for case names in citation sentences and clauses</w:t>
      </w:r>
      <w:r w:rsidR="00446B5A">
        <w:rPr>
          <w:rStyle w:val="None"/>
        </w:rPr>
        <w:t>, to clarify that these truncations are used in all contexts</w:t>
      </w:r>
      <w:r w:rsidR="00CF6869">
        <w:rPr>
          <w:rStyle w:val="None"/>
        </w:rPr>
        <w:t xml:space="preserve"> including textual sentences</w:t>
      </w:r>
      <w:r w:rsidR="00446B5A">
        <w:rPr>
          <w:rStyle w:val="None"/>
        </w:rPr>
        <w:t xml:space="preserve">. </w:t>
      </w:r>
      <w:r w:rsidR="00CF6869">
        <w:rPr>
          <w:rStyle w:val="None"/>
        </w:rPr>
        <w:t>In citation sentences and clauses, the</w:t>
      </w:r>
      <w:r w:rsidR="000D0B7B">
        <w:rPr>
          <w:rStyle w:val="None"/>
        </w:rPr>
        <w:t xml:space="preserve"> examples below would incorporate extensive word </w:t>
      </w:r>
      <w:r w:rsidR="003D1967">
        <w:rPr>
          <w:rStyle w:val="None"/>
        </w:rPr>
        <w:t xml:space="preserve">and geographical </w:t>
      </w:r>
      <w:r w:rsidR="000D0B7B">
        <w:rPr>
          <w:rStyle w:val="None"/>
        </w:rPr>
        <w:t xml:space="preserve">abbreviations following </w:t>
      </w:r>
      <w:r w:rsidR="000D0B7B" w:rsidRPr="00CF6869">
        <w:rPr>
          <w:rStyle w:val="Rulereferencecharacterstyle"/>
        </w:rPr>
        <w:t>Table T1</w:t>
      </w:r>
      <w:r w:rsidR="003D1967">
        <w:rPr>
          <w:rStyle w:val="Rulereferencecharacterstyle"/>
        </w:rPr>
        <w:t>1</w:t>
      </w:r>
      <w:r w:rsidR="003D1967" w:rsidRPr="003D1967">
        <w:rPr>
          <w:rStyle w:val="Rulereferencecharacterstyle"/>
        </w:rPr>
        <w:t xml:space="preserve"> </w:t>
      </w:r>
      <w:r w:rsidR="003D1967">
        <w:rPr>
          <w:rStyle w:val="Rulereferencecharacterstyle"/>
        </w:rPr>
        <w:t>a</w:t>
      </w:r>
      <w:r w:rsidR="003D1967">
        <w:rPr>
          <w:rStyle w:val="None"/>
        </w:rPr>
        <w:t xml:space="preserve">nd </w:t>
      </w:r>
      <w:r w:rsidR="003D1967" w:rsidRPr="002C6E0C">
        <w:rPr>
          <w:rStyle w:val="Rulereferencecharacterstyle"/>
        </w:rPr>
        <w:t>Table T12</w:t>
      </w:r>
      <w:r w:rsidR="003D1967">
        <w:rPr>
          <w:rStyle w:val="None"/>
        </w:rPr>
        <w:t>.</w:t>
      </w:r>
    </w:p>
    <w:p w14:paraId="5621730C" w14:textId="77777777" w:rsidR="00F5734E" w:rsidRDefault="00F5734E" w:rsidP="00616CD0">
      <w:pPr>
        <w:pStyle w:val="Heading5"/>
        <w:rPr>
          <w:rStyle w:val="None"/>
        </w:rPr>
      </w:pPr>
      <w:bookmarkStart w:id="10" w:name="_Toc78928034"/>
      <w:r>
        <w:rPr>
          <w:rStyle w:val="None"/>
        </w:rPr>
        <w:t>R11.5.1</w:t>
      </w:r>
      <w:r>
        <w:rPr>
          <w:rStyle w:val="None"/>
        </w:rPr>
        <w:tab/>
        <w:t>Surname</w:t>
      </w:r>
      <w:bookmarkEnd w:id="10"/>
    </w:p>
    <w:p w14:paraId="5C477750" w14:textId="77777777" w:rsidR="00F5734E" w:rsidRDefault="00F5734E" w:rsidP="00083161">
      <w:pPr>
        <w:pStyle w:val="Rule"/>
        <w:ind w:left="0"/>
        <w:rPr>
          <w:rStyle w:val="None"/>
        </w:rPr>
      </w:pPr>
      <w:r>
        <w:rPr>
          <w:rStyle w:val="None"/>
        </w:rPr>
        <w:t>When referring to a case with an individual’s name in the case name, use the person’s full family name (i.e., their surname). Delete first name and initials, except when the full name of the person is in a language that lists the surname first, or when referring to the name of a business or where the court has abbreviated the party’s surname (as is common in cases involving minor children as parties).</w:t>
      </w:r>
    </w:p>
    <w:p w14:paraId="3CB91DBE" w14:textId="77777777" w:rsidR="00F5734E" w:rsidRDefault="00F5734E" w:rsidP="00F5734E">
      <w:pPr>
        <w:pStyle w:val="Body"/>
        <w:spacing w:line="360" w:lineRule="atLeast"/>
        <w:rPr>
          <w:rStyle w:val="None"/>
          <w:lang w:val="en-US"/>
        </w:rPr>
      </w:pPr>
    </w:p>
    <w:p w14:paraId="24B6C829" w14:textId="77777777" w:rsidR="00F5734E" w:rsidRDefault="00F5734E" w:rsidP="001308B4">
      <w:pPr>
        <w:pStyle w:val="Example"/>
        <w:ind w:left="720"/>
        <w:rPr>
          <w:rStyle w:val="None"/>
        </w:rPr>
      </w:pPr>
      <w:r>
        <w:rPr>
          <w:rStyle w:val="None"/>
          <w:b/>
          <w:bCs w:val="0"/>
        </w:rPr>
        <w:t>Examples:</w:t>
      </w:r>
      <w:r>
        <w:rPr>
          <w:rStyle w:val="None"/>
        </w:rPr>
        <w:t> </w:t>
      </w:r>
    </w:p>
    <w:p w14:paraId="132980F9" w14:textId="77777777" w:rsidR="00F5734E" w:rsidRDefault="00F5734E" w:rsidP="001308B4">
      <w:pPr>
        <w:pStyle w:val="Example"/>
        <w:ind w:left="720"/>
        <w:rPr>
          <w:rStyle w:val="None"/>
        </w:rPr>
      </w:pPr>
      <w:r>
        <w:rPr>
          <w:rStyle w:val="None"/>
          <w:i/>
          <w:iCs/>
        </w:rPr>
        <w:t xml:space="preserve">Van Leeuwen v. </w:t>
      </w:r>
      <w:proofErr w:type="spellStart"/>
      <w:r>
        <w:rPr>
          <w:rStyle w:val="None"/>
          <w:i/>
          <w:iCs/>
        </w:rPr>
        <w:t>Souto</w:t>
      </w:r>
      <w:proofErr w:type="spellEnd"/>
      <w:r>
        <w:rPr>
          <w:rStyle w:val="None"/>
          <w:i/>
          <w:iCs/>
        </w:rPr>
        <w:t xml:space="preserve"> de Moura</w:t>
      </w:r>
    </w:p>
    <w:p w14:paraId="3A458D26" w14:textId="77777777" w:rsidR="00F5734E" w:rsidRDefault="00F5734E" w:rsidP="001308B4">
      <w:pPr>
        <w:pStyle w:val="Example"/>
        <w:ind w:left="720"/>
        <w:rPr>
          <w:rStyle w:val="None"/>
        </w:rPr>
      </w:pPr>
      <w:r>
        <w:rPr>
          <w:rStyle w:val="None"/>
          <w:i/>
          <w:iCs/>
        </w:rPr>
        <w:t>James T. Kirk &amp; Assocs. v. Luke S.</w:t>
      </w:r>
    </w:p>
    <w:p w14:paraId="1944C997" w14:textId="77777777" w:rsidR="00F5734E" w:rsidRDefault="00F5734E" w:rsidP="001308B4">
      <w:pPr>
        <w:pStyle w:val="Example"/>
        <w:ind w:left="720"/>
        <w:rPr>
          <w:rStyle w:val="None"/>
        </w:rPr>
      </w:pPr>
      <w:r>
        <w:rPr>
          <w:rStyle w:val="None"/>
          <w:i/>
          <w:iCs/>
        </w:rPr>
        <w:t>Smith v. Jones</w:t>
      </w:r>
    </w:p>
    <w:p w14:paraId="7EF67713" w14:textId="77777777" w:rsidR="00F5734E" w:rsidRDefault="00F5734E" w:rsidP="001308B4">
      <w:pPr>
        <w:pStyle w:val="Example"/>
        <w:ind w:left="720"/>
        <w:rPr>
          <w:rStyle w:val="None"/>
          <w:i/>
          <w:iCs/>
        </w:rPr>
      </w:pPr>
      <w:r>
        <w:rPr>
          <w:rStyle w:val="None"/>
          <w:i/>
          <w:iCs/>
        </w:rPr>
        <w:t xml:space="preserve">Xu </w:t>
      </w:r>
      <w:proofErr w:type="spellStart"/>
      <w:r>
        <w:rPr>
          <w:rStyle w:val="None"/>
          <w:i/>
          <w:iCs/>
        </w:rPr>
        <w:t>Lanting</w:t>
      </w:r>
      <w:proofErr w:type="spellEnd"/>
      <w:r>
        <w:rPr>
          <w:rStyle w:val="None"/>
          <w:i/>
          <w:iCs/>
        </w:rPr>
        <w:t xml:space="preserve"> v. Wong</w:t>
      </w:r>
    </w:p>
    <w:p w14:paraId="50431035" w14:textId="77777777" w:rsidR="00F5734E" w:rsidRDefault="00F5734E" w:rsidP="001308B4">
      <w:pPr>
        <w:pStyle w:val="Example"/>
        <w:ind w:left="720"/>
        <w:rPr>
          <w:rStyle w:val="None"/>
          <w:i/>
          <w:iCs/>
        </w:rPr>
      </w:pPr>
      <w:r>
        <w:rPr>
          <w:rStyle w:val="None"/>
          <w:i/>
          <w:iCs/>
        </w:rPr>
        <w:t>James T. Kirk &amp; Assocs. v. Klingon Corp.</w:t>
      </w:r>
    </w:p>
    <w:p w14:paraId="37D1A848" w14:textId="77777777" w:rsidR="00F5734E" w:rsidRDefault="00F5734E" w:rsidP="001308B4">
      <w:pPr>
        <w:pStyle w:val="Example"/>
        <w:ind w:left="720"/>
        <w:rPr>
          <w:rStyle w:val="None"/>
        </w:rPr>
      </w:pPr>
      <w:r>
        <w:rPr>
          <w:rStyle w:val="None"/>
          <w:i/>
          <w:iCs/>
        </w:rPr>
        <w:t>Luke S. v. Leia S.</w:t>
      </w:r>
      <w:r>
        <w:rPr>
          <w:rStyle w:val="None"/>
          <w:rFonts w:ascii="Arial Unicode MS" w:hAnsi="Arial Unicode MS" w:hint="eastAsia"/>
        </w:rPr>
        <w:br/>
      </w:r>
    </w:p>
    <w:p w14:paraId="0131A2A2" w14:textId="77777777" w:rsidR="00F5734E" w:rsidRDefault="00F5734E" w:rsidP="00616CD0">
      <w:pPr>
        <w:pStyle w:val="Heading5"/>
        <w:rPr>
          <w:rStyle w:val="None"/>
        </w:rPr>
      </w:pPr>
      <w:bookmarkStart w:id="11" w:name="_Toc78928035"/>
      <w:r>
        <w:rPr>
          <w:rStyle w:val="None"/>
        </w:rPr>
        <w:t>R11.5.2</w:t>
      </w:r>
      <w:r>
        <w:rPr>
          <w:rStyle w:val="None"/>
        </w:rPr>
        <w:tab/>
        <w:t>First-named party on each side of the “v.”</w:t>
      </w:r>
      <w:bookmarkEnd w:id="11"/>
    </w:p>
    <w:p w14:paraId="6838D779" w14:textId="77777777" w:rsidR="00F5734E" w:rsidRDefault="00F5734E" w:rsidP="001459EF">
      <w:pPr>
        <w:pStyle w:val="Rule"/>
        <w:ind w:left="0"/>
        <w:rPr>
          <w:rStyle w:val="None"/>
        </w:rPr>
      </w:pPr>
      <w:r>
        <w:rPr>
          <w:rStyle w:val="None"/>
        </w:rPr>
        <w:t>Only include the surname of the first-listed party of the plaintiffs and the surname of the first-listed party of the defendants. Do not use “et al.” to indicate omitted additional parties.</w:t>
      </w:r>
    </w:p>
    <w:p w14:paraId="67AF26C1" w14:textId="77777777" w:rsidR="00F5734E" w:rsidRDefault="00F5734E" w:rsidP="00F5734E">
      <w:pPr>
        <w:spacing w:before="150" w:after="90"/>
        <w:rPr>
          <w:rStyle w:val="None"/>
          <w:i/>
          <w:iCs/>
        </w:rPr>
      </w:pPr>
    </w:p>
    <w:p w14:paraId="456EB1B3" w14:textId="77777777" w:rsidR="00F5734E" w:rsidRDefault="00F5734E" w:rsidP="00616CD0">
      <w:pPr>
        <w:pStyle w:val="Heading5"/>
        <w:rPr>
          <w:rStyle w:val="None"/>
        </w:rPr>
      </w:pPr>
      <w:bookmarkStart w:id="12" w:name="_Toc78928036"/>
      <w:r>
        <w:rPr>
          <w:rStyle w:val="None"/>
        </w:rPr>
        <w:t>R11.5.3</w:t>
      </w:r>
      <w:r>
        <w:rPr>
          <w:rStyle w:val="None"/>
        </w:rPr>
        <w:tab/>
        <w:t>Commonly recognized abbreviations</w:t>
      </w:r>
      <w:bookmarkEnd w:id="12"/>
    </w:p>
    <w:p w14:paraId="42A3F5F8" w14:textId="77777777" w:rsidR="00F5734E" w:rsidRDefault="00F5734E" w:rsidP="001459EF">
      <w:pPr>
        <w:pStyle w:val="Rule"/>
        <w:ind w:left="0"/>
        <w:rPr>
          <w:rStyle w:val="None"/>
        </w:rPr>
      </w:pPr>
      <w:r>
        <w:rPr>
          <w:rStyle w:val="None"/>
        </w:rPr>
        <w:t>Abbreviate commonly recognized agencies and organizations by their initials, such as the SEC and the ACLU.</w:t>
      </w:r>
    </w:p>
    <w:p w14:paraId="2720120C" w14:textId="16F6177B" w:rsidR="00F5734E" w:rsidRDefault="00F5734E" w:rsidP="00BA4743">
      <w:pPr>
        <w:pStyle w:val="Example"/>
        <w:ind w:left="720"/>
        <w:rPr>
          <w:rStyle w:val="None"/>
        </w:rPr>
      </w:pPr>
      <w:r>
        <w:rPr>
          <w:rStyle w:val="None"/>
          <w:b/>
          <w:bCs w:val="0"/>
        </w:rPr>
        <w:t>Example</w:t>
      </w:r>
      <w:r w:rsidR="00246CA6">
        <w:rPr>
          <w:rStyle w:val="None"/>
          <w:b/>
          <w:bCs w:val="0"/>
        </w:rPr>
        <w:t>s</w:t>
      </w:r>
      <w:r>
        <w:rPr>
          <w:rStyle w:val="None"/>
          <w:b/>
          <w:bCs w:val="0"/>
        </w:rPr>
        <w:t>:</w:t>
      </w:r>
      <w:r>
        <w:rPr>
          <w:rStyle w:val="None"/>
        </w:rPr>
        <w:t> </w:t>
      </w:r>
    </w:p>
    <w:p w14:paraId="754ACC6C" w14:textId="77777777" w:rsidR="00246CA6" w:rsidRDefault="00F5734E" w:rsidP="00246CA6">
      <w:pPr>
        <w:pStyle w:val="Example"/>
        <w:ind w:left="720"/>
        <w:rPr>
          <w:rStyle w:val="None"/>
        </w:rPr>
      </w:pPr>
      <w:r>
        <w:rPr>
          <w:rStyle w:val="None"/>
          <w:i/>
          <w:iCs/>
        </w:rPr>
        <w:t>Red Lion Broad. Co. v. FCC</w:t>
      </w:r>
      <w:r>
        <w:rPr>
          <w:rStyle w:val="None"/>
        </w:rPr>
        <w:t>, 395 U.S. 367 (1969).</w:t>
      </w:r>
    </w:p>
    <w:p w14:paraId="78C7B877" w14:textId="537DC6D8" w:rsidR="00F5734E" w:rsidRPr="00C67B26" w:rsidRDefault="00606AD7" w:rsidP="00C67B26">
      <w:pPr>
        <w:pStyle w:val="Example"/>
        <w:ind w:left="720"/>
        <w:rPr>
          <w:rStyle w:val="None"/>
          <w:i/>
          <w:iCs/>
        </w:rPr>
      </w:pPr>
      <w:r>
        <w:rPr>
          <w:rStyle w:val="None"/>
          <w:i/>
          <w:iCs/>
        </w:rPr>
        <w:t>FBI v. Abramson</w:t>
      </w:r>
      <w:r>
        <w:rPr>
          <w:rStyle w:val="None"/>
        </w:rPr>
        <w:t xml:space="preserve">, </w:t>
      </w:r>
      <w:r w:rsidR="007F1C88">
        <w:rPr>
          <w:rStyle w:val="None"/>
        </w:rPr>
        <w:t>456 U.S. 615 (1982).</w:t>
      </w:r>
      <w:r w:rsidR="00F5734E">
        <w:rPr>
          <w:rStyle w:val="None"/>
          <w:rFonts w:ascii="Arial Unicode MS" w:hAnsi="Arial Unicode MS" w:hint="eastAsia"/>
        </w:rPr>
        <w:br/>
      </w:r>
    </w:p>
    <w:p w14:paraId="20FCA6C4" w14:textId="77777777" w:rsidR="00F5734E" w:rsidRPr="00EC581B" w:rsidRDefault="00F5734E" w:rsidP="00401430">
      <w:pPr>
        <w:pStyle w:val="InklingTitle"/>
        <w:rPr>
          <w:rStyle w:val="None"/>
          <w:b w:val="0"/>
          <w:bCs w:val="0"/>
          <w:color w:val="auto"/>
          <w:lang w:val="en-US"/>
        </w:rPr>
      </w:pPr>
      <w:r w:rsidRPr="00EC581B">
        <w:rPr>
          <w:rStyle w:val="None"/>
          <w:b w:val="0"/>
          <w:bCs w:val="0"/>
          <w:color w:val="auto"/>
          <w:lang w:val="en-US"/>
        </w:rPr>
        <w:t>Indigo Inkling</w:t>
      </w:r>
    </w:p>
    <w:p w14:paraId="518B29F0" w14:textId="383B0DED" w:rsidR="003F1043" w:rsidRDefault="00F5734E" w:rsidP="00401430">
      <w:pPr>
        <w:pStyle w:val="Inkling"/>
        <w:rPr>
          <w:rStyle w:val="None"/>
          <w:color w:val="auto"/>
          <w:lang w:val="en-US"/>
        </w:rPr>
      </w:pPr>
      <w:r w:rsidRPr="00EC581B">
        <w:rPr>
          <w:rStyle w:val="None"/>
          <w:color w:val="auto"/>
          <w:lang w:val="en-US"/>
        </w:rPr>
        <w:t>Legal citation allows—and indeed requires—abbreviation of commonly recognized organizations, such as NASA for the National Aeronautical and Space Administration</w:t>
      </w:r>
      <w:r w:rsidR="00463341">
        <w:rPr>
          <w:rStyle w:val="None"/>
          <w:color w:val="auto"/>
          <w:lang w:val="en-US"/>
        </w:rPr>
        <w:t xml:space="preserve"> and FBI for Federal Bureau of Investigation</w:t>
      </w:r>
      <w:r w:rsidRPr="00EC581B">
        <w:rPr>
          <w:rStyle w:val="None"/>
          <w:color w:val="auto"/>
          <w:lang w:val="en-US"/>
        </w:rPr>
        <w:t xml:space="preserve">. </w:t>
      </w:r>
      <w:r w:rsidR="00970267">
        <w:rPr>
          <w:rStyle w:val="None"/>
          <w:color w:val="auto"/>
          <w:lang w:val="en-US"/>
        </w:rPr>
        <w:t>(</w:t>
      </w:r>
      <w:r w:rsidR="006B05D1">
        <w:rPr>
          <w:rStyle w:val="None"/>
          <w:color w:val="auto"/>
          <w:lang w:val="en-US"/>
        </w:rPr>
        <w:t xml:space="preserve">Obscure factoid: NASA is an abbreviation because it is drawn from the first letter of each word but pronounced as a word, whereas FBI is a sub-type of abbreviation called an initialism because it is </w:t>
      </w:r>
      <w:r w:rsidR="00970267">
        <w:rPr>
          <w:rStyle w:val="None"/>
          <w:color w:val="auto"/>
          <w:lang w:val="en-US"/>
        </w:rPr>
        <w:t xml:space="preserve">drawn from the first letter of each word with each letter articulated separately in the spoken abbreviation.) </w:t>
      </w:r>
      <w:r w:rsidRPr="00EC581B">
        <w:rPr>
          <w:rStyle w:val="None"/>
          <w:color w:val="auto"/>
          <w:lang w:val="en-US"/>
        </w:rPr>
        <w:t xml:space="preserve">But what, exactly, meets the standard for being commonly recognized? One useful test is to look at recent, credible journalism as a gauge of what is commonly known. For example, the New York Times abbreviates Environmental Protection Agency as EPA but does not abbreviate Fish and Wildlife Services as FWS. Another </w:t>
      </w:r>
      <w:r w:rsidR="002740CD">
        <w:rPr>
          <w:rStyle w:val="None"/>
          <w:color w:val="auto"/>
          <w:lang w:val="en-US"/>
        </w:rPr>
        <w:t xml:space="preserve">test is to </w:t>
      </w:r>
      <w:r w:rsidR="003F1043">
        <w:rPr>
          <w:rStyle w:val="None"/>
          <w:color w:val="auto"/>
          <w:lang w:val="en-US"/>
        </w:rPr>
        <w:t>informally survey</w:t>
      </w:r>
      <w:r w:rsidR="002740CD">
        <w:rPr>
          <w:rStyle w:val="None"/>
          <w:color w:val="auto"/>
          <w:lang w:val="en-US"/>
        </w:rPr>
        <w:t xml:space="preserve"> at a handful of recent cases</w:t>
      </w:r>
      <w:r w:rsidRPr="00EC581B">
        <w:rPr>
          <w:rStyle w:val="None"/>
          <w:color w:val="auto"/>
          <w:lang w:val="en-US"/>
        </w:rPr>
        <w:t xml:space="preserve">. For example, PETA and the USDA are used in case names, suggesting that they </w:t>
      </w:r>
      <w:r w:rsidRPr="00EC581B">
        <w:rPr>
          <w:rStyle w:val="None"/>
          <w:i/>
          <w:iCs/>
          <w:color w:val="auto"/>
          <w:lang w:val="en-US"/>
        </w:rPr>
        <w:t>are</w:t>
      </w:r>
      <w:r w:rsidRPr="00EC581B">
        <w:rPr>
          <w:rStyle w:val="None"/>
          <w:color w:val="auto"/>
          <w:lang w:val="en-US"/>
        </w:rPr>
        <w:t xml:space="preserve"> commonly recognized, at least for legal-citation purposes. </w:t>
      </w:r>
    </w:p>
    <w:p w14:paraId="18A51632" w14:textId="77777777" w:rsidR="003F1043" w:rsidRDefault="003F1043" w:rsidP="00401430">
      <w:pPr>
        <w:pStyle w:val="Inkling"/>
        <w:rPr>
          <w:rStyle w:val="None"/>
          <w:color w:val="auto"/>
          <w:lang w:val="en-US"/>
        </w:rPr>
      </w:pPr>
    </w:p>
    <w:p w14:paraId="0A1D5874" w14:textId="1586B9FB" w:rsidR="00F5734E" w:rsidRPr="007A5B84" w:rsidRDefault="00F5734E" w:rsidP="007A5B84">
      <w:pPr>
        <w:pStyle w:val="Inkling"/>
        <w:rPr>
          <w:rStyle w:val="None"/>
          <w:color w:val="auto"/>
          <w:lang w:val="en-US"/>
        </w:rPr>
      </w:pPr>
      <w:r w:rsidRPr="00EC581B">
        <w:rPr>
          <w:rStyle w:val="None"/>
          <w:color w:val="auto"/>
          <w:lang w:val="en-US"/>
        </w:rPr>
        <w:t>But</w:t>
      </w:r>
      <w:r w:rsidR="003F1043">
        <w:rPr>
          <w:rStyle w:val="None"/>
          <w:color w:val="auto"/>
          <w:lang w:val="en-US"/>
        </w:rPr>
        <w:t xml:space="preserve"> don’t overdo it with the acronyms;</w:t>
      </w:r>
      <w:r w:rsidRPr="00EC581B">
        <w:rPr>
          <w:rStyle w:val="None"/>
          <w:color w:val="auto"/>
          <w:lang w:val="en-US"/>
        </w:rPr>
        <w:t xml:space="preserve"> keep in mind the scolding Judge Silberman issued in a case before the United States Court of Appeals for the District of Columbia Circuit: “The use of obscure acronyms, sometimes those made up for a particular case, is an aggravating development of the last twenty years.” </w:t>
      </w:r>
      <w:r w:rsidRPr="00EC581B">
        <w:rPr>
          <w:rStyle w:val="None"/>
          <w:i/>
          <w:iCs/>
          <w:color w:val="auto"/>
          <w:lang w:val="en-US"/>
        </w:rPr>
        <w:t>Delaware Riverkeeper Network v. FERC</w:t>
      </w:r>
      <w:r w:rsidRPr="00EC581B">
        <w:rPr>
          <w:rStyle w:val="None"/>
          <w:color w:val="auto"/>
          <w:lang w:val="en-US"/>
        </w:rPr>
        <w:t xml:space="preserve">, 753 F.3d 1304, 1321 (D.C. Cir. 2014) (Silberman, J., concurring). With this judge’s aggravation in mind, use only those abbreviations and acronyms that are easy to understand and make the reader’s work easier.  </w:t>
      </w:r>
    </w:p>
    <w:p w14:paraId="74EC6F3C" w14:textId="77777777" w:rsidR="00F5734E" w:rsidRDefault="00F5734E" w:rsidP="00F5734E">
      <w:pPr>
        <w:pStyle w:val="Body"/>
        <w:spacing w:before="150" w:after="90"/>
        <w:rPr>
          <w:rStyle w:val="None"/>
          <w:lang w:val="en-US"/>
        </w:rPr>
      </w:pPr>
    </w:p>
    <w:p w14:paraId="2D74490F" w14:textId="5B1EF9BE" w:rsidR="00F5734E" w:rsidRDefault="00F5734E" w:rsidP="00616CD0">
      <w:pPr>
        <w:pStyle w:val="Heading5"/>
        <w:rPr>
          <w:rStyle w:val="None"/>
        </w:rPr>
      </w:pPr>
      <w:bookmarkStart w:id="13" w:name="_Toc78928038"/>
      <w:r>
        <w:rPr>
          <w:rStyle w:val="None"/>
        </w:rPr>
        <w:t>R11.5.</w:t>
      </w:r>
      <w:r w:rsidR="007A5B84">
        <w:rPr>
          <w:rStyle w:val="None"/>
        </w:rPr>
        <w:t>4</w:t>
      </w:r>
      <w:r>
        <w:rPr>
          <w:rStyle w:val="None"/>
        </w:rPr>
        <w:tab/>
        <w:t>Nicknames</w:t>
      </w:r>
      <w:bookmarkEnd w:id="13"/>
      <w:r>
        <w:rPr>
          <w:rStyle w:val="None"/>
        </w:rPr>
        <w:t xml:space="preserve"> </w:t>
      </w:r>
      <w:r>
        <w:rPr>
          <w:rStyle w:val="None"/>
        </w:rPr>
        <w:tab/>
      </w:r>
    </w:p>
    <w:p w14:paraId="61238C74" w14:textId="77777777" w:rsidR="00F5734E" w:rsidRDefault="00F5734E" w:rsidP="00122483">
      <w:pPr>
        <w:pStyle w:val="Rule"/>
        <w:rPr>
          <w:rStyle w:val="None"/>
        </w:rPr>
      </w:pPr>
      <w:r>
        <w:rPr>
          <w:rStyle w:val="None"/>
        </w:rPr>
        <w:t>Delete nicknames and aliases listed after a party name.</w:t>
      </w:r>
    </w:p>
    <w:p w14:paraId="2BD02D56" w14:textId="1E039B62" w:rsidR="00F5734E" w:rsidRDefault="00EE25E8" w:rsidP="001308B4">
      <w:pPr>
        <w:pStyle w:val="Example"/>
        <w:ind w:left="720"/>
        <w:rPr>
          <w:rStyle w:val="None"/>
          <w:i/>
          <w:iCs/>
        </w:rPr>
      </w:pPr>
      <w:r>
        <w:rPr>
          <w:rStyle w:val="None"/>
          <w:b/>
          <w:bCs w:val="0"/>
        </w:rPr>
        <w:t>Correct</w:t>
      </w:r>
      <w:r w:rsidR="00F5734E">
        <w:rPr>
          <w:rStyle w:val="None"/>
          <w:b/>
          <w:bCs w:val="0"/>
        </w:rPr>
        <w:t>:</w:t>
      </w:r>
      <w:r w:rsidR="00F5734E">
        <w:rPr>
          <w:rStyle w:val="None"/>
        </w:rPr>
        <w:t> </w:t>
      </w:r>
      <w:r w:rsidR="001308B4">
        <w:rPr>
          <w:rStyle w:val="None"/>
        </w:rPr>
        <w:tab/>
      </w:r>
      <w:r w:rsidR="00F5734E">
        <w:rPr>
          <w:rStyle w:val="None"/>
          <w:i/>
          <w:iCs/>
        </w:rPr>
        <w:t xml:space="preserve">Jackson v. </w:t>
      </w:r>
      <w:proofErr w:type="spellStart"/>
      <w:r w:rsidR="00F5734E">
        <w:rPr>
          <w:rStyle w:val="None"/>
          <w:i/>
          <w:iCs/>
        </w:rPr>
        <w:t>Leviston</w:t>
      </w:r>
      <w:proofErr w:type="spellEnd"/>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1308B4">
        <w:rPr>
          <w:rStyle w:val="None"/>
        </w:rPr>
        <w:tab/>
      </w:r>
      <w:r w:rsidR="00F5734E">
        <w:rPr>
          <w:rStyle w:val="None"/>
          <w:i/>
          <w:iCs/>
        </w:rPr>
        <w:t xml:space="preserve">Curtis James Jackson III, p/k/a 50 Cent v. </w:t>
      </w:r>
      <w:proofErr w:type="spellStart"/>
      <w:r w:rsidR="00F5734E">
        <w:rPr>
          <w:rStyle w:val="None"/>
          <w:i/>
          <w:iCs/>
        </w:rPr>
        <w:t>Lastonia</w:t>
      </w:r>
      <w:proofErr w:type="spellEnd"/>
      <w:r w:rsidR="00F5734E">
        <w:rPr>
          <w:rStyle w:val="None"/>
          <w:i/>
          <w:iCs/>
        </w:rPr>
        <w:t xml:space="preserve"> </w:t>
      </w:r>
      <w:proofErr w:type="spellStart"/>
      <w:r w:rsidR="00F5734E">
        <w:rPr>
          <w:rStyle w:val="None"/>
          <w:i/>
          <w:iCs/>
        </w:rPr>
        <w:t>Leviston</w:t>
      </w:r>
      <w:proofErr w:type="spellEnd"/>
    </w:p>
    <w:p w14:paraId="0B6CB47B" w14:textId="77777777" w:rsidR="00E80C7A" w:rsidRDefault="00E80C7A" w:rsidP="001308B4">
      <w:pPr>
        <w:pStyle w:val="Example"/>
        <w:ind w:left="720"/>
        <w:rPr>
          <w:rStyle w:val="None"/>
        </w:rPr>
      </w:pPr>
    </w:p>
    <w:p w14:paraId="6C6804FF" w14:textId="5A4A5B2C" w:rsidR="00F5734E" w:rsidRDefault="00F5734E" w:rsidP="00616CD0">
      <w:pPr>
        <w:pStyle w:val="Heading5"/>
        <w:rPr>
          <w:rStyle w:val="None"/>
        </w:rPr>
      </w:pPr>
      <w:bookmarkStart w:id="14" w:name="_Toc78928039"/>
      <w:r>
        <w:rPr>
          <w:rStyle w:val="None"/>
        </w:rPr>
        <w:t>R11.5.</w:t>
      </w:r>
      <w:r w:rsidR="007A5B84">
        <w:rPr>
          <w:rStyle w:val="None"/>
        </w:rPr>
        <w:t>5</w:t>
      </w:r>
      <w:r>
        <w:rPr>
          <w:rStyle w:val="None"/>
        </w:rPr>
        <w:tab/>
        <w:t>Et al.</w:t>
      </w:r>
      <w:bookmarkEnd w:id="14"/>
    </w:p>
    <w:p w14:paraId="6D9492C9" w14:textId="45C43EA9" w:rsidR="00F5734E" w:rsidRDefault="00F5734E" w:rsidP="00F5217B">
      <w:pPr>
        <w:pStyle w:val="Rule"/>
        <w:ind w:left="0"/>
        <w:rPr>
          <w:rStyle w:val="None"/>
        </w:rPr>
      </w:pPr>
      <w:r>
        <w:rPr>
          <w:rStyle w:val="None"/>
        </w:rPr>
        <w:t>Do not add “et al.” to indicate the omission of other parties not listed.</w:t>
      </w:r>
      <w:r w:rsidR="00122483">
        <w:rPr>
          <w:rStyle w:val="None"/>
        </w:rPr>
        <w:t xml:space="preserve"> Delete “et al.” even if used in a case caption indicating multiple parties.</w:t>
      </w:r>
    </w:p>
    <w:p w14:paraId="77D01570" w14:textId="4D77B2E7" w:rsidR="00F5734E" w:rsidRDefault="00EE25E8" w:rsidP="00F5217B">
      <w:pPr>
        <w:pStyle w:val="Example"/>
        <w:ind w:left="840"/>
        <w:rPr>
          <w:rStyle w:val="None"/>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w:t>
      </w:r>
      <w:r w:rsidR="00383A01">
        <w:rPr>
          <w:rStyle w:val="None"/>
          <w:i/>
          <w:iCs/>
        </w:rPr>
        <w:t>surance</w:t>
      </w:r>
      <w:r w:rsidR="00F5734E">
        <w:rPr>
          <w:rStyle w:val="None"/>
          <w:i/>
          <w:iCs/>
        </w:rPr>
        <w:t xml:space="preserve"> Co. v. Nokia, Inc.</w:t>
      </w:r>
    </w:p>
    <w:p w14:paraId="04D3639A" w14:textId="1E7B33E6" w:rsidR="00F5734E" w:rsidRDefault="00EE25E8" w:rsidP="00F5217B">
      <w:pPr>
        <w:pStyle w:val="Example"/>
        <w:ind w:left="840"/>
        <w:rPr>
          <w:rStyle w:val="None"/>
          <w:i/>
          <w:iCs/>
        </w:rPr>
      </w:pPr>
      <w:r>
        <w:rPr>
          <w:rStyle w:val="None"/>
          <w:b/>
          <w:bCs w:val="0"/>
        </w:rPr>
        <w:t>Incorrect</w:t>
      </w:r>
      <w:r w:rsidR="00F5734E">
        <w:rPr>
          <w:rStyle w:val="None"/>
          <w:b/>
          <w:bCs w:val="0"/>
        </w:rPr>
        <w:t xml:space="preserve">: </w:t>
      </w:r>
      <w:r w:rsidR="001308B4">
        <w:rPr>
          <w:rStyle w:val="None"/>
          <w:b/>
          <w:bCs w:val="0"/>
        </w:rPr>
        <w:tab/>
      </w:r>
      <w:r w:rsidR="00F5734E">
        <w:rPr>
          <w:rStyle w:val="None"/>
          <w:i/>
          <w:iCs/>
        </w:rPr>
        <w:t>Zurich Am</w:t>
      </w:r>
      <w:r w:rsidR="00383A01">
        <w:rPr>
          <w:rStyle w:val="None"/>
          <w:i/>
          <w:iCs/>
        </w:rPr>
        <w:t>erican</w:t>
      </w:r>
      <w:r w:rsidR="00F5734E">
        <w:rPr>
          <w:rStyle w:val="None"/>
          <w:i/>
          <w:iCs/>
        </w:rPr>
        <w:t xml:space="preserve"> Ins</w:t>
      </w:r>
      <w:r w:rsidR="00383A01">
        <w:rPr>
          <w:rStyle w:val="None"/>
          <w:i/>
          <w:iCs/>
        </w:rPr>
        <w:t>urance</w:t>
      </w:r>
      <w:r w:rsidR="00F5734E">
        <w:rPr>
          <w:rStyle w:val="None"/>
          <w:i/>
          <w:iCs/>
        </w:rPr>
        <w:t xml:space="preserve"> Co. et al. v. Nokia, Inc.</w:t>
      </w:r>
    </w:p>
    <w:p w14:paraId="3CA0AC70" w14:textId="77777777" w:rsidR="00F5734E" w:rsidRDefault="00F5734E" w:rsidP="00F5734E">
      <w:pPr>
        <w:pStyle w:val="Body"/>
        <w:spacing w:before="150" w:after="90"/>
        <w:ind w:left="1440"/>
        <w:rPr>
          <w:rStyle w:val="None"/>
          <w:b/>
          <w:bCs/>
          <w:lang w:val="en-US"/>
        </w:rPr>
      </w:pPr>
    </w:p>
    <w:p w14:paraId="7B0425F1" w14:textId="07167C57" w:rsidR="00F5734E" w:rsidRDefault="00F5734E" w:rsidP="00616CD0">
      <w:pPr>
        <w:pStyle w:val="Heading5"/>
        <w:rPr>
          <w:rStyle w:val="None"/>
        </w:rPr>
      </w:pPr>
      <w:bookmarkStart w:id="15" w:name="_Toc78928040"/>
      <w:r>
        <w:rPr>
          <w:rStyle w:val="None"/>
        </w:rPr>
        <w:t>R11.5.</w:t>
      </w:r>
      <w:r w:rsidR="007A5B84">
        <w:rPr>
          <w:rStyle w:val="None"/>
        </w:rPr>
        <w:t>6</w:t>
      </w:r>
      <w:r>
        <w:rPr>
          <w:rStyle w:val="None"/>
        </w:rPr>
        <w:tab/>
        <w:t>Multiple business designations</w:t>
      </w:r>
      <w:bookmarkEnd w:id="15"/>
    </w:p>
    <w:p w14:paraId="693085E9" w14:textId="5A9DD735" w:rsidR="00F5734E" w:rsidRDefault="00F5734E" w:rsidP="00F5217B">
      <w:pPr>
        <w:pStyle w:val="Rule"/>
        <w:ind w:left="0"/>
        <w:rPr>
          <w:rStyle w:val="None"/>
        </w:rPr>
      </w:pPr>
      <w:r>
        <w:rPr>
          <w:rStyle w:val="None"/>
        </w:rPr>
        <w:t xml:space="preserve">Omit terms such as “L.L.C.” and “Inc.” that indicate the party is a business when that fact is made clear because the </w:t>
      </w:r>
      <w:proofErr w:type="gramStart"/>
      <w:r>
        <w:rPr>
          <w:rStyle w:val="None"/>
        </w:rPr>
        <w:t>party</w:t>
      </w:r>
      <w:proofErr w:type="gramEnd"/>
      <w:r>
        <w:rPr>
          <w:rStyle w:val="None"/>
        </w:rPr>
        <w:t xml:space="preserve"> name includes a word such as “Co.” or “In</w:t>
      </w:r>
      <w:r w:rsidR="00E62767">
        <w:rPr>
          <w:rStyle w:val="None"/>
        </w:rPr>
        <w:t>c</w:t>
      </w:r>
      <w:r>
        <w:rPr>
          <w:rStyle w:val="None"/>
        </w:rPr>
        <w:t>.”</w:t>
      </w:r>
    </w:p>
    <w:p w14:paraId="058E2320" w14:textId="77777777" w:rsidR="00F5734E" w:rsidRDefault="00F5734E" w:rsidP="00F5734E">
      <w:pPr>
        <w:pStyle w:val="Body"/>
        <w:spacing w:line="360" w:lineRule="atLeast"/>
        <w:ind w:left="720" w:firstLine="720"/>
        <w:rPr>
          <w:rStyle w:val="None"/>
          <w:lang w:val="en-US"/>
        </w:rPr>
      </w:pPr>
    </w:p>
    <w:p w14:paraId="38E6302F" w14:textId="5B2A7382" w:rsidR="00F5734E" w:rsidRDefault="00EE25E8" w:rsidP="00F5217B">
      <w:pPr>
        <w:pStyle w:val="Example"/>
        <w:ind w:left="840"/>
        <w:rPr>
          <w:rStyle w:val="None"/>
          <w:b/>
          <w:bCs w:val="0"/>
          <w:i/>
          <w:iCs/>
        </w:rPr>
      </w:pPr>
      <w:r>
        <w:rPr>
          <w:rStyle w:val="None"/>
          <w:b/>
          <w:bCs w:val="0"/>
        </w:rPr>
        <w:t>Correct</w:t>
      </w:r>
      <w:r w:rsidR="00F5734E">
        <w:rPr>
          <w:rStyle w:val="None"/>
          <w:b/>
          <w:bCs w:val="0"/>
        </w:rPr>
        <w:t xml:space="preserve">: </w:t>
      </w:r>
      <w:r w:rsidR="001308B4">
        <w:rPr>
          <w:rStyle w:val="None"/>
          <w:b/>
          <w:bCs w:val="0"/>
        </w:rPr>
        <w:tab/>
      </w:r>
      <w:r w:rsidR="00F5734E">
        <w:rPr>
          <w:rStyle w:val="None"/>
          <w:i/>
          <w:iCs/>
        </w:rPr>
        <w:t xml:space="preserve">A.H. Robins Co. v. </w:t>
      </w:r>
      <w:proofErr w:type="spellStart"/>
      <w:r w:rsidR="00F5734E">
        <w:rPr>
          <w:rStyle w:val="None"/>
          <w:i/>
          <w:iCs/>
        </w:rPr>
        <w:t>Piccinin</w:t>
      </w:r>
      <w:proofErr w:type="spellEnd"/>
    </w:p>
    <w:p w14:paraId="71D33F55" w14:textId="544B91EE" w:rsidR="00F5734E" w:rsidRDefault="00EE25E8" w:rsidP="00F5217B">
      <w:pPr>
        <w:pStyle w:val="Example"/>
        <w:ind w:left="840"/>
        <w:rPr>
          <w:rStyle w:val="None"/>
        </w:rPr>
      </w:pPr>
      <w:r>
        <w:rPr>
          <w:rStyle w:val="None"/>
          <w:b/>
          <w:bCs w:val="0"/>
        </w:rPr>
        <w:t>Incorrect</w:t>
      </w:r>
      <w:r w:rsidR="00F5734E">
        <w:rPr>
          <w:rStyle w:val="None"/>
          <w:b/>
          <w:bCs w:val="0"/>
        </w:rPr>
        <w:t xml:space="preserve">: </w:t>
      </w:r>
      <w:r w:rsidR="001308B4">
        <w:rPr>
          <w:rStyle w:val="None"/>
          <w:b/>
          <w:bCs w:val="0"/>
        </w:rPr>
        <w:tab/>
      </w:r>
      <w:r w:rsidR="00F5734E">
        <w:rPr>
          <w:rStyle w:val="None"/>
          <w:i/>
          <w:iCs/>
        </w:rPr>
        <w:t xml:space="preserve">A.H. Robins Co., Inc. v. </w:t>
      </w:r>
      <w:proofErr w:type="spellStart"/>
      <w:r w:rsidR="00F5734E">
        <w:rPr>
          <w:rStyle w:val="None"/>
          <w:i/>
          <w:iCs/>
        </w:rPr>
        <w:t>Piccinin</w:t>
      </w:r>
      <w:proofErr w:type="spellEnd"/>
    </w:p>
    <w:p w14:paraId="50318BED" w14:textId="77777777" w:rsidR="00F5734E" w:rsidRDefault="00F5734E" w:rsidP="00F5734E">
      <w:pPr>
        <w:pStyle w:val="Body"/>
        <w:spacing w:before="150" w:after="90"/>
        <w:rPr>
          <w:rStyle w:val="None"/>
          <w:lang w:val="en-US"/>
        </w:rPr>
      </w:pPr>
    </w:p>
    <w:p w14:paraId="17D1DA3E" w14:textId="728B893B" w:rsidR="00F5734E" w:rsidRPr="00BD5B2C" w:rsidRDefault="00F5734E" w:rsidP="00616CD0">
      <w:pPr>
        <w:pStyle w:val="Heading5"/>
        <w:rPr>
          <w:rStyle w:val="Emphasis"/>
          <w:i w:val="0"/>
          <w:iCs w:val="0"/>
        </w:rPr>
      </w:pPr>
      <w:bookmarkStart w:id="16" w:name="_Toc78928041"/>
      <w:r w:rsidRPr="00BD5B2C">
        <w:rPr>
          <w:rStyle w:val="Emphasis"/>
          <w:i w:val="0"/>
          <w:iCs w:val="0"/>
        </w:rPr>
        <w:t>R11.5.</w:t>
      </w:r>
      <w:r w:rsidR="007A5B84">
        <w:rPr>
          <w:rStyle w:val="Emphasis"/>
          <w:i w:val="0"/>
          <w:iCs w:val="0"/>
        </w:rPr>
        <w:t>7</w:t>
      </w:r>
      <w:r w:rsidRPr="00BD5B2C">
        <w:rPr>
          <w:rStyle w:val="Emphasis"/>
          <w:i w:val="0"/>
          <w:iCs w:val="0"/>
        </w:rPr>
        <w:tab/>
        <w:t>Procedural phrases</w:t>
      </w:r>
      <w:bookmarkEnd w:id="16"/>
    </w:p>
    <w:p w14:paraId="68AE3983" w14:textId="77777777" w:rsidR="00F5734E" w:rsidRDefault="00F5734E" w:rsidP="004F56D8">
      <w:pPr>
        <w:pStyle w:val="Rule"/>
        <w:ind w:left="0"/>
      </w:pPr>
      <w:r>
        <w:rPr>
          <w:rStyle w:val="None"/>
        </w:rPr>
        <w:t>When you see “on the relation of,” “on behalf of,” and similar expressions, replace with “</w:t>
      </w:r>
      <w:r>
        <w:rPr>
          <w:rStyle w:val="None"/>
          <w:i/>
          <w:iCs/>
        </w:rPr>
        <w:t>ex rel.</w:t>
      </w:r>
      <w:r>
        <w:rPr>
          <w:rStyle w:val="None"/>
        </w:rPr>
        <w:t>”</w:t>
      </w:r>
    </w:p>
    <w:p w14:paraId="3A4E3993" w14:textId="7F1DE589" w:rsidR="00B0105D" w:rsidRPr="004F56D8" w:rsidRDefault="00EE25E8" w:rsidP="004F56D8">
      <w:pPr>
        <w:pStyle w:val="Example"/>
        <w:ind w:left="720"/>
        <w:rPr>
          <w:rStyle w:val="None"/>
          <w:b/>
          <w:bCs w:val="0"/>
        </w:rPr>
      </w:pPr>
      <w:r>
        <w:rPr>
          <w:rStyle w:val="None"/>
          <w:b/>
          <w:bCs w:val="0"/>
        </w:rPr>
        <w:t>Correct</w:t>
      </w:r>
      <w:r w:rsidR="00B0105D">
        <w:rPr>
          <w:rStyle w:val="None"/>
          <w:b/>
          <w:bCs w:val="0"/>
        </w:rPr>
        <w:t>:</w:t>
      </w:r>
      <w:r w:rsidR="004F56D8">
        <w:rPr>
          <w:rStyle w:val="None"/>
          <w:b/>
          <w:bCs w:val="0"/>
        </w:rPr>
        <w:tab/>
      </w:r>
      <w:r w:rsidR="001273B1">
        <w:rPr>
          <w:rStyle w:val="None"/>
          <w:i/>
          <w:iCs/>
        </w:rPr>
        <w:t>State ex rel. Plain Dealer</w:t>
      </w:r>
      <w:r w:rsidR="00AE4590">
        <w:rPr>
          <w:rStyle w:val="None"/>
          <w:i/>
          <w:iCs/>
        </w:rPr>
        <w:t xml:space="preserve"> v. Ohio Dep</w:t>
      </w:r>
      <w:r w:rsidR="00383A01">
        <w:rPr>
          <w:rStyle w:val="None"/>
          <w:i/>
          <w:iCs/>
        </w:rPr>
        <w:t>artment</w:t>
      </w:r>
      <w:r w:rsidR="00AE4590">
        <w:rPr>
          <w:rStyle w:val="None"/>
          <w:i/>
          <w:iCs/>
        </w:rPr>
        <w:t xml:space="preserve"> of Ins</w:t>
      </w:r>
      <w:r w:rsidR="00383A01">
        <w:rPr>
          <w:rStyle w:val="None"/>
          <w:i/>
          <w:iCs/>
        </w:rPr>
        <w:t>urance</w:t>
      </w:r>
    </w:p>
    <w:p w14:paraId="75A4568F" w14:textId="0F1330B2" w:rsidR="00F5734E" w:rsidRPr="004F56D8" w:rsidRDefault="00EE25E8" w:rsidP="004F56D8">
      <w:pPr>
        <w:pStyle w:val="Example"/>
        <w:ind w:left="720"/>
        <w:rPr>
          <w:rStyle w:val="None"/>
          <w:b/>
          <w:bCs w:val="0"/>
        </w:rPr>
      </w:pPr>
      <w:r>
        <w:rPr>
          <w:rStyle w:val="None"/>
          <w:b/>
          <w:bCs w:val="0"/>
        </w:rPr>
        <w:t>Incorrect</w:t>
      </w:r>
      <w:r w:rsidR="00B0105D">
        <w:rPr>
          <w:rStyle w:val="None"/>
          <w:b/>
          <w:bCs w:val="0"/>
        </w:rPr>
        <w:t>:</w:t>
      </w:r>
      <w:r w:rsidR="004F56D8">
        <w:rPr>
          <w:rStyle w:val="None"/>
          <w:b/>
          <w:bCs w:val="0"/>
        </w:rPr>
        <w:tab/>
      </w:r>
      <w:r w:rsidR="00AE4590">
        <w:rPr>
          <w:rStyle w:val="None"/>
          <w:i/>
          <w:iCs/>
        </w:rPr>
        <w:t>State o</w:t>
      </w:r>
      <w:r w:rsidR="006F2AA8">
        <w:rPr>
          <w:rStyle w:val="None"/>
          <w:i/>
          <w:iCs/>
        </w:rPr>
        <w:t>n behalf of Plain Dealer</w:t>
      </w:r>
      <w:r w:rsidR="00B55AF5">
        <w:rPr>
          <w:rStyle w:val="None"/>
          <w:i/>
          <w:iCs/>
        </w:rPr>
        <w:t xml:space="preserve"> v. Ohio Dep</w:t>
      </w:r>
      <w:r w:rsidR="00383A01">
        <w:rPr>
          <w:rStyle w:val="None"/>
          <w:i/>
          <w:iCs/>
        </w:rPr>
        <w:t xml:space="preserve">artment </w:t>
      </w:r>
      <w:r w:rsidR="00B55AF5">
        <w:rPr>
          <w:rStyle w:val="None"/>
          <w:i/>
          <w:iCs/>
        </w:rPr>
        <w:t>of Ins</w:t>
      </w:r>
      <w:r w:rsidR="00383A01">
        <w:rPr>
          <w:rStyle w:val="None"/>
          <w:i/>
          <w:iCs/>
        </w:rPr>
        <w:t>urance</w:t>
      </w:r>
    </w:p>
    <w:p w14:paraId="3C999620" w14:textId="77777777" w:rsidR="00F5734E" w:rsidRDefault="00F5734E" w:rsidP="004F56D8">
      <w:pPr>
        <w:pStyle w:val="Rule"/>
        <w:ind w:left="0"/>
      </w:pPr>
      <w:r>
        <w:rPr>
          <w:rStyle w:val="None"/>
        </w:rPr>
        <w:t>When you see “in the matter of,” “petition of,” and similar expressions, replace with “</w:t>
      </w:r>
      <w:r>
        <w:rPr>
          <w:rStyle w:val="None"/>
          <w:i/>
          <w:iCs/>
        </w:rPr>
        <w:t>In re</w:t>
      </w:r>
      <w:r>
        <w:rPr>
          <w:rStyle w:val="None"/>
        </w:rPr>
        <w:t>.”</w:t>
      </w:r>
    </w:p>
    <w:p w14:paraId="6B210BEF" w14:textId="0D155E78" w:rsidR="00F5734E" w:rsidRDefault="00EE25E8" w:rsidP="004F56D8">
      <w:pPr>
        <w:pStyle w:val="Example"/>
        <w:ind w:left="720"/>
        <w:rPr>
          <w:rStyle w:val="None"/>
        </w:rPr>
      </w:pPr>
      <w:r>
        <w:rPr>
          <w:rStyle w:val="None"/>
          <w:b/>
          <w:bCs w:val="0"/>
        </w:rPr>
        <w:t>Correct</w:t>
      </w:r>
      <w:r w:rsidR="00F5734E">
        <w:rPr>
          <w:rStyle w:val="None"/>
          <w:b/>
          <w:bCs w:val="0"/>
        </w:rPr>
        <w:t>:</w:t>
      </w:r>
      <w:r w:rsidR="00F5734E">
        <w:rPr>
          <w:rStyle w:val="None"/>
        </w:rPr>
        <w:t> </w:t>
      </w:r>
      <w:r w:rsidR="004F56D8">
        <w:rPr>
          <w:rStyle w:val="None"/>
        </w:rPr>
        <w:tab/>
      </w:r>
      <w:r w:rsidR="00F5734E">
        <w:rPr>
          <w:rStyle w:val="None"/>
          <w:i/>
          <w:iCs/>
        </w:rPr>
        <w:t>In re Nat</w:t>
      </w:r>
      <w:r w:rsidR="0044390A">
        <w:rPr>
          <w:rStyle w:val="None"/>
          <w:i/>
          <w:iCs/>
        </w:rPr>
        <w:t>ional</w:t>
      </w:r>
      <w:r w:rsidR="00F5734E">
        <w:rPr>
          <w:rStyle w:val="None"/>
          <w:i/>
          <w:iCs/>
        </w:rPr>
        <w:t xml:space="preserve"> Football League Players’ Concussion Inj</w:t>
      </w:r>
      <w:r w:rsidR="0044390A">
        <w:rPr>
          <w:rStyle w:val="None"/>
          <w:i/>
          <w:iCs/>
        </w:rPr>
        <w:t>ury</w:t>
      </w:r>
      <w:r w:rsidR="00F5734E">
        <w:rPr>
          <w:rStyle w:val="None"/>
          <w:i/>
          <w:iCs/>
        </w:rPr>
        <w:t xml:space="preserve"> Litig</w:t>
      </w:r>
      <w:r w:rsidR="0044390A">
        <w:rPr>
          <w:rStyle w:val="None"/>
          <w:i/>
          <w:iCs/>
        </w:rPr>
        <w:t>ation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4F56D8">
        <w:rPr>
          <w:rStyle w:val="None"/>
        </w:rPr>
        <w:tab/>
      </w:r>
      <w:r w:rsidR="00F5734E">
        <w:rPr>
          <w:rStyle w:val="None"/>
          <w:i/>
          <w:iCs/>
        </w:rPr>
        <w:t>In the Matter of Nat</w:t>
      </w:r>
      <w:r w:rsidR="0044390A">
        <w:rPr>
          <w:rStyle w:val="None"/>
          <w:i/>
          <w:iCs/>
        </w:rPr>
        <w:t>ional</w:t>
      </w:r>
      <w:r w:rsidR="00F5734E">
        <w:rPr>
          <w:rStyle w:val="None"/>
          <w:i/>
          <w:iCs/>
        </w:rPr>
        <w:t xml:space="preserve"> Football League Players’ Concussion In</w:t>
      </w:r>
      <w:r w:rsidR="00383A01">
        <w:rPr>
          <w:rStyle w:val="None"/>
          <w:i/>
          <w:iCs/>
        </w:rPr>
        <w:t>jury Litigation</w:t>
      </w:r>
      <w:r w:rsidR="00F5734E">
        <w:rPr>
          <w:rStyle w:val="None"/>
          <w:i/>
          <w:iCs/>
        </w:rPr>
        <w:t>.</w:t>
      </w:r>
    </w:p>
    <w:p w14:paraId="1CC1D9EF" w14:textId="7F9919A3" w:rsidR="00F5734E" w:rsidRPr="000F6953" w:rsidRDefault="00F5734E" w:rsidP="004F56D8">
      <w:pPr>
        <w:pStyle w:val="Rule"/>
        <w:ind w:left="0"/>
        <w:rPr>
          <w:rStyle w:val="None"/>
        </w:rPr>
      </w:pPr>
      <w:r>
        <w:rPr>
          <w:rStyle w:val="None"/>
        </w:rPr>
        <w:t>Bankruptcy cases sometimes contain multiple case names including both a procedurally based name with “</w:t>
      </w:r>
      <w:r>
        <w:rPr>
          <w:rStyle w:val="None"/>
          <w:i/>
          <w:iCs/>
        </w:rPr>
        <w:t>In re</w:t>
      </w:r>
      <w:r>
        <w:rPr>
          <w:rStyle w:val="None"/>
        </w:rPr>
        <w:t>” and an adversary case name. In such cases, use the adversary case name followed parenthetically in the case name with the procedurally based name:</w:t>
      </w:r>
    </w:p>
    <w:p w14:paraId="19C36FB6" w14:textId="70271F72" w:rsidR="00723897" w:rsidRPr="001308B4" w:rsidRDefault="00F5734E" w:rsidP="001308B4">
      <w:pPr>
        <w:pStyle w:val="Body"/>
        <w:spacing w:line="360" w:lineRule="atLeast"/>
        <w:ind w:firstLine="720"/>
        <w:rPr>
          <w:rStyle w:val="None"/>
          <w:b/>
          <w:bCs/>
          <w:lang w:val="en-US"/>
        </w:rPr>
      </w:pPr>
      <w:r>
        <w:rPr>
          <w:rStyle w:val="None"/>
          <w:b/>
          <w:bCs/>
          <w:lang w:val="en-US"/>
        </w:rPr>
        <w:t>Example:</w:t>
      </w:r>
      <w:r w:rsidR="004F56D8">
        <w:rPr>
          <w:rStyle w:val="None"/>
          <w:b/>
          <w:bCs/>
          <w:lang w:val="en-US"/>
        </w:rPr>
        <w:tab/>
      </w:r>
      <w:proofErr w:type="spellStart"/>
      <w:r>
        <w:rPr>
          <w:rStyle w:val="None"/>
          <w:i/>
          <w:iCs/>
          <w:lang w:val="en-US"/>
        </w:rPr>
        <w:t>Farmers</w:t>
      </w:r>
      <w:proofErr w:type="spellEnd"/>
      <w:r>
        <w:rPr>
          <w:rStyle w:val="None"/>
          <w:i/>
          <w:iCs/>
          <w:lang w:val="en-US"/>
        </w:rPr>
        <w:t xml:space="preserve"> Coop</w:t>
      </w:r>
      <w:r w:rsidR="007A5B84">
        <w:rPr>
          <w:rStyle w:val="None"/>
          <w:i/>
          <w:iCs/>
          <w:lang w:val="en-US"/>
        </w:rPr>
        <w:t>erative</w:t>
      </w:r>
      <w:r>
        <w:rPr>
          <w:rStyle w:val="None"/>
          <w:i/>
          <w:iCs/>
          <w:lang w:val="en-US"/>
        </w:rPr>
        <w:t xml:space="preserve"> Co. v. Ernst &amp; Young, Inc.</w:t>
      </w:r>
      <w:r>
        <w:rPr>
          <w:rStyle w:val="None"/>
          <w:lang w:val="en-US"/>
        </w:rPr>
        <w:t xml:space="preserve"> (</w:t>
      </w:r>
      <w:r>
        <w:rPr>
          <w:rStyle w:val="None"/>
          <w:i/>
          <w:iCs/>
          <w:lang w:val="en-US"/>
        </w:rPr>
        <w:t>In re</w:t>
      </w:r>
      <w:r>
        <w:rPr>
          <w:rStyle w:val="None"/>
          <w:lang w:val="en-US"/>
        </w:rPr>
        <w:t xml:space="preserve"> </w:t>
      </w:r>
      <w:r>
        <w:rPr>
          <w:rStyle w:val="None"/>
          <w:i/>
          <w:iCs/>
          <w:lang w:val="en-US"/>
        </w:rPr>
        <w:t>Big Sky Farms Inc.</w:t>
      </w:r>
      <w:r>
        <w:rPr>
          <w:rStyle w:val="None"/>
          <w:lang w:val="en-US"/>
        </w:rPr>
        <w:t>)</w:t>
      </w:r>
    </w:p>
    <w:p w14:paraId="6228A4A7" w14:textId="4C418750" w:rsidR="00FD2CD2" w:rsidRPr="00FD2CD2" w:rsidRDefault="00FD2CD2" w:rsidP="001308B4">
      <w:pPr>
        <w:pStyle w:val="Rule"/>
        <w:ind w:left="0"/>
        <w:rPr>
          <w:rStyle w:val="None"/>
        </w:rPr>
      </w:pPr>
      <w:r>
        <w:rPr>
          <w:rStyle w:val="None"/>
        </w:rPr>
        <w:t>In non-bankruptcy cases, do not use “</w:t>
      </w:r>
      <w:r>
        <w:rPr>
          <w:rStyle w:val="None"/>
          <w:i/>
          <w:iCs/>
        </w:rPr>
        <w:t>In re</w:t>
      </w:r>
      <w:r>
        <w:rPr>
          <w:rStyle w:val="None"/>
        </w:rPr>
        <w:t xml:space="preserve">” when the case name also contains the name of an adversary; use the </w:t>
      </w:r>
      <w:proofErr w:type="gramStart"/>
      <w:r>
        <w:rPr>
          <w:rStyle w:val="None"/>
        </w:rPr>
        <w:t>adversary</w:t>
      </w:r>
      <w:proofErr w:type="gramEnd"/>
      <w:r>
        <w:rPr>
          <w:rStyle w:val="None"/>
        </w:rPr>
        <w:t xml:space="preserve"> name.</w:t>
      </w:r>
    </w:p>
    <w:p w14:paraId="6E42B805" w14:textId="77777777" w:rsidR="00F5734E" w:rsidRDefault="00F5734E" w:rsidP="00F5734E">
      <w:pPr>
        <w:pStyle w:val="Body"/>
        <w:spacing w:line="360" w:lineRule="atLeast"/>
        <w:rPr>
          <w:rStyle w:val="None"/>
          <w:lang w:val="en-US"/>
        </w:rPr>
      </w:pPr>
    </w:p>
    <w:p w14:paraId="12B60CF2" w14:textId="0C3D3251" w:rsidR="00F5734E" w:rsidRDefault="00F5734E" w:rsidP="00616CD0">
      <w:pPr>
        <w:pStyle w:val="Heading5"/>
        <w:rPr>
          <w:rStyle w:val="None"/>
        </w:rPr>
      </w:pPr>
      <w:bookmarkStart w:id="17" w:name="_Toc78928042"/>
      <w:r>
        <w:rPr>
          <w:rStyle w:val="None"/>
        </w:rPr>
        <w:t>R11.5.</w:t>
      </w:r>
      <w:r w:rsidR="006344AE">
        <w:rPr>
          <w:rStyle w:val="None"/>
        </w:rPr>
        <w:t>8</w:t>
      </w:r>
      <w:r>
        <w:rPr>
          <w:rStyle w:val="None"/>
        </w:rPr>
        <w:tab/>
        <w:t>United States as a party</w:t>
      </w:r>
      <w:bookmarkEnd w:id="17"/>
    </w:p>
    <w:p w14:paraId="6D1B6D63" w14:textId="78E92843" w:rsidR="00F5734E" w:rsidRDefault="00F5734E" w:rsidP="001308B4">
      <w:pPr>
        <w:pStyle w:val="Rule"/>
        <w:rPr>
          <w:rStyle w:val="None"/>
        </w:rPr>
      </w:pPr>
      <w:r>
        <w:rPr>
          <w:rStyle w:val="None"/>
        </w:rPr>
        <w:t>Spell out “United States” when it is a named party.</w:t>
      </w:r>
      <w:r w:rsidR="002A21F9">
        <w:rPr>
          <w:rStyle w:val="None"/>
        </w:rPr>
        <w:t xml:space="preserve"> Omit “of America.” </w:t>
      </w:r>
    </w:p>
    <w:p w14:paraId="50406820" w14:textId="20A84DFF" w:rsidR="00F5734E" w:rsidRDefault="00EE25E8" w:rsidP="001308B4">
      <w:pPr>
        <w:pStyle w:val="Example"/>
        <w:ind w:left="840"/>
        <w:rPr>
          <w:rStyle w:val="None"/>
          <w:i/>
          <w:iCs/>
        </w:rPr>
      </w:pPr>
      <w:r>
        <w:rPr>
          <w:rStyle w:val="None"/>
          <w:b/>
          <w:bCs w:val="0"/>
        </w:rPr>
        <w:t>Correct</w:t>
      </w:r>
      <w:r w:rsidR="00F5734E">
        <w:rPr>
          <w:rStyle w:val="None"/>
          <w:b/>
          <w:bCs w:val="0"/>
        </w:rPr>
        <w:t>:</w:t>
      </w:r>
      <w:r w:rsidR="00F5734E">
        <w:rPr>
          <w:rStyle w:val="None"/>
        </w:rPr>
        <w:t> </w:t>
      </w:r>
      <w:r w:rsidR="001308B4">
        <w:rPr>
          <w:rStyle w:val="None"/>
        </w:rPr>
        <w:tab/>
      </w:r>
      <w:r w:rsidR="00F5734E">
        <w:rPr>
          <w:rStyle w:val="None"/>
          <w:i/>
          <w:iCs/>
        </w:rPr>
        <w:t xml:space="preserve">United States v. </w:t>
      </w:r>
      <w:proofErr w:type="gramStart"/>
      <w:r w:rsidR="00F5734E">
        <w:rPr>
          <w:rStyle w:val="None"/>
          <w:i/>
          <w:iCs/>
        </w:rPr>
        <w:t>Ninety Five</w:t>
      </w:r>
      <w:proofErr w:type="gramEnd"/>
      <w:r w:rsidR="00F5734E">
        <w:rPr>
          <w:rStyle w:val="None"/>
          <w:i/>
          <w:iCs/>
        </w:rPr>
        <w:t xml:space="preserve"> Barrels, More or Less</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sidR="001308B4">
        <w:rPr>
          <w:rStyle w:val="None"/>
        </w:rPr>
        <w:tab/>
      </w:r>
      <w:r w:rsidR="00F5734E">
        <w:rPr>
          <w:rStyle w:val="None"/>
          <w:i/>
          <w:iCs/>
        </w:rPr>
        <w:t>U.S. v. Ninety Five Barrels, More or Less</w:t>
      </w:r>
    </w:p>
    <w:p w14:paraId="14E9E32E" w14:textId="3BE4CEC7" w:rsidR="0027529B" w:rsidRDefault="00061EB7" w:rsidP="00061EB7">
      <w:pPr>
        <w:pStyle w:val="Rule"/>
        <w:rPr>
          <w:rStyle w:val="None"/>
          <w:i/>
          <w:iCs/>
        </w:rPr>
      </w:pPr>
      <w:r>
        <w:rPr>
          <w:rStyle w:val="None"/>
        </w:rPr>
        <w:t>Note that “United States” may be abbreviated as “U.S.” when used as an adjective for an agency, in citation sentences and clauses.</w:t>
      </w:r>
    </w:p>
    <w:p w14:paraId="7F7388B5" w14:textId="77777777" w:rsidR="002A21F9" w:rsidRPr="00681994" w:rsidRDefault="002A21F9" w:rsidP="00681994">
      <w:pPr>
        <w:pStyle w:val="Example"/>
        <w:ind w:left="840"/>
        <w:rPr>
          <w:rStyle w:val="None"/>
          <w:i/>
          <w:iCs/>
        </w:rPr>
      </w:pPr>
    </w:p>
    <w:p w14:paraId="5C663C69" w14:textId="725F63FD" w:rsidR="00F5734E" w:rsidRDefault="00F5734E" w:rsidP="00616CD0">
      <w:pPr>
        <w:pStyle w:val="Heading5"/>
        <w:rPr>
          <w:rStyle w:val="None"/>
        </w:rPr>
      </w:pPr>
      <w:bookmarkStart w:id="18" w:name="_Toc78928044"/>
      <w:r>
        <w:rPr>
          <w:rStyle w:val="None"/>
        </w:rPr>
        <w:t>R11.5.</w:t>
      </w:r>
      <w:r w:rsidR="00061EB7">
        <w:rPr>
          <w:rStyle w:val="None"/>
        </w:rPr>
        <w:t>9</w:t>
      </w:r>
      <w:r>
        <w:rPr>
          <w:rStyle w:val="None"/>
        </w:rPr>
        <w:tab/>
        <w:t xml:space="preserve">State or </w:t>
      </w:r>
      <w:r w:rsidR="00681994">
        <w:rPr>
          <w:rStyle w:val="None"/>
        </w:rPr>
        <w:t>c</w:t>
      </w:r>
      <w:r>
        <w:rPr>
          <w:rStyle w:val="None"/>
        </w:rPr>
        <w:t>ommonwealth as a party</w:t>
      </w:r>
      <w:bookmarkEnd w:id="18"/>
    </w:p>
    <w:p w14:paraId="592872B1" w14:textId="77777777" w:rsidR="00F5734E" w:rsidRDefault="00F5734E" w:rsidP="00681994">
      <w:pPr>
        <w:pStyle w:val="Rule"/>
        <w:ind w:left="0"/>
        <w:rPr>
          <w:rStyle w:val="None"/>
        </w:rPr>
      </w:pPr>
      <w:r>
        <w:rPr>
          <w:rStyle w:val="None"/>
        </w:rPr>
        <w:t>Omit “People of,” “State of,” and “Commonwealth of,” unless citing a court located in that state, in which case retain only “People,” “State,” or “Commonwealth.”</w:t>
      </w:r>
    </w:p>
    <w:p w14:paraId="7FC4D560" w14:textId="77777777" w:rsidR="00F5734E" w:rsidRDefault="00F5734E" w:rsidP="00F5734E">
      <w:pPr>
        <w:pStyle w:val="Body"/>
        <w:spacing w:line="360" w:lineRule="atLeast"/>
        <w:ind w:left="1680"/>
        <w:rPr>
          <w:rStyle w:val="None"/>
          <w:b/>
          <w:bCs/>
          <w:lang w:val="en-US"/>
        </w:rPr>
      </w:pPr>
    </w:p>
    <w:p w14:paraId="3D3AC55A" w14:textId="64DB5215" w:rsidR="00F5734E" w:rsidRPr="00E7649A"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F5734E">
        <w:rPr>
          <w:rStyle w:val="None"/>
          <w:lang w:val="en-US"/>
        </w:rPr>
        <w:t> </w:t>
      </w:r>
      <w:r w:rsidR="008C6667">
        <w:rPr>
          <w:rStyle w:val="None"/>
          <w:lang w:val="en-US"/>
        </w:rPr>
        <w:tab/>
      </w:r>
      <w:r w:rsidR="0044390A">
        <w:rPr>
          <w:rStyle w:val="None"/>
          <w:i/>
          <w:iCs/>
          <w:lang w:val="en-US"/>
        </w:rPr>
        <w:t>International</w:t>
      </w:r>
      <w:r w:rsidR="00E7649A">
        <w:rPr>
          <w:rStyle w:val="None"/>
          <w:i/>
          <w:iCs/>
          <w:lang w:val="en-US"/>
        </w:rPr>
        <w:t xml:space="preserve"> Shoe v. Washington</w:t>
      </w:r>
      <w:r w:rsidR="00E7649A">
        <w:rPr>
          <w:rStyle w:val="None"/>
          <w:lang w:val="en-US"/>
        </w:rPr>
        <w:t>, 326 U.S. 310 (1945).</w:t>
      </w:r>
    </w:p>
    <w:p w14:paraId="12B1E2BE" w14:textId="08FE6D3E" w:rsidR="00F5734E" w:rsidRDefault="009E3373" w:rsidP="008C6667">
      <w:pPr>
        <w:pStyle w:val="Body"/>
        <w:spacing w:line="360" w:lineRule="atLeast"/>
        <w:ind w:left="720"/>
        <w:rPr>
          <w:rStyle w:val="None"/>
          <w:lang w:val="en-US"/>
        </w:rPr>
      </w:pPr>
      <w:r>
        <w:rPr>
          <w:rStyle w:val="None"/>
          <w:b/>
          <w:bCs/>
          <w:lang w:val="en-US"/>
        </w:rPr>
        <w:t>Incorrect</w:t>
      </w:r>
      <w:r w:rsidR="00F5734E">
        <w:rPr>
          <w:rStyle w:val="None"/>
          <w:b/>
          <w:bCs/>
          <w:lang w:val="en-US"/>
        </w:rPr>
        <w:t>:</w:t>
      </w:r>
      <w:r w:rsidR="00F5734E">
        <w:rPr>
          <w:rStyle w:val="None"/>
          <w:lang w:val="en-US"/>
        </w:rPr>
        <w:t> </w:t>
      </w:r>
      <w:r w:rsidR="008C6667">
        <w:rPr>
          <w:rStyle w:val="None"/>
          <w:lang w:val="en-US"/>
        </w:rPr>
        <w:tab/>
      </w:r>
      <w:r w:rsidR="00E7649A">
        <w:rPr>
          <w:rStyle w:val="None"/>
          <w:i/>
          <w:iCs/>
          <w:lang w:val="en-US"/>
        </w:rPr>
        <w:t>Int</w:t>
      </w:r>
      <w:r w:rsidR="0044390A">
        <w:rPr>
          <w:rStyle w:val="None"/>
          <w:i/>
          <w:iCs/>
          <w:lang w:val="en-US"/>
        </w:rPr>
        <w:t>ernational</w:t>
      </w:r>
      <w:r w:rsidR="00E7649A">
        <w:rPr>
          <w:rStyle w:val="None"/>
          <w:i/>
          <w:iCs/>
          <w:lang w:val="en-US"/>
        </w:rPr>
        <w:t xml:space="preserve"> Shoe v. State</w:t>
      </w:r>
      <w:r w:rsidR="00E7649A">
        <w:rPr>
          <w:rStyle w:val="None"/>
          <w:lang w:val="en-US"/>
        </w:rPr>
        <w:t>, 326 U.S. 310 (1945).</w:t>
      </w:r>
    </w:p>
    <w:p w14:paraId="78056D54" w14:textId="0B6709F9" w:rsidR="00E7649A" w:rsidRDefault="00E7649A" w:rsidP="00E7649A">
      <w:pPr>
        <w:pStyle w:val="Body"/>
        <w:spacing w:line="360" w:lineRule="atLeast"/>
        <w:ind w:left="720"/>
        <w:rPr>
          <w:rStyle w:val="None"/>
          <w:i/>
          <w:iCs/>
          <w:lang w:val="en-US"/>
        </w:rPr>
      </w:pPr>
      <w:r>
        <w:rPr>
          <w:rStyle w:val="None"/>
          <w:b/>
          <w:bCs/>
          <w:lang w:val="en-US"/>
        </w:rPr>
        <w:t>Incorrect:</w:t>
      </w:r>
      <w:r>
        <w:rPr>
          <w:rStyle w:val="None"/>
          <w:lang w:val="en-US"/>
        </w:rPr>
        <w:t> </w:t>
      </w:r>
      <w:r>
        <w:rPr>
          <w:rStyle w:val="None"/>
          <w:lang w:val="en-US"/>
        </w:rPr>
        <w:tab/>
      </w:r>
      <w:r>
        <w:rPr>
          <w:rStyle w:val="None"/>
          <w:i/>
          <w:iCs/>
          <w:lang w:val="en-US"/>
        </w:rPr>
        <w:t>Int</w:t>
      </w:r>
      <w:r w:rsidR="0044390A">
        <w:rPr>
          <w:rStyle w:val="None"/>
          <w:i/>
          <w:iCs/>
          <w:lang w:val="en-US"/>
        </w:rPr>
        <w:t>ernational</w:t>
      </w:r>
      <w:r>
        <w:rPr>
          <w:rStyle w:val="None"/>
          <w:i/>
          <w:iCs/>
          <w:lang w:val="en-US"/>
        </w:rPr>
        <w:t xml:space="preserve"> Shoe v. State</w:t>
      </w:r>
      <w:r>
        <w:rPr>
          <w:rStyle w:val="None"/>
          <w:lang w:val="en-US"/>
        </w:rPr>
        <w:t xml:space="preserve"> of Washington 326 U.S. 310 (1945).</w:t>
      </w:r>
    </w:p>
    <w:p w14:paraId="7ACBD05D" w14:textId="77777777" w:rsidR="00E7649A" w:rsidRDefault="00E7649A" w:rsidP="008C6667">
      <w:pPr>
        <w:pStyle w:val="Body"/>
        <w:spacing w:line="360" w:lineRule="atLeast"/>
        <w:ind w:left="720"/>
        <w:rPr>
          <w:rStyle w:val="None"/>
          <w:i/>
          <w:iCs/>
          <w:lang w:val="en-US"/>
        </w:rPr>
      </w:pPr>
    </w:p>
    <w:p w14:paraId="2627BA3F" w14:textId="77777777" w:rsidR="00681994" w:rsidRDefault="00681994" w:rsidP="008C6667">
      <w:pPr>
        <w:pStyle w:val="Body"/>
        <w:spacing w:line="360" w:lineRule="atLeast"/>
        <w:ind w:left="720"/>
        <w:rPr>
          <w:rStyle w:val="None"/>
          <w:lang w:val="en-US"/>
        </w:rPr>
      </w:pPr>
    </w:p>
    <w:p w14:paraId="4D544CB8" w14:textId="60FE7CBF" w:rsidR="00F5734E" w:rsidRPr="00E7471C" w:rsidRDefault="009E3373" w:rsidP="008C6667">
      <w:pPr>
        <w:pStyle w:val="Body"/>
        <w:spacing w:line="360" w:lineRule="atLeast"/>
        <w:ind w:left="720"/>
        <w:rPr>
          <w:rStyle w:val="None"/>
          <w:lang w:val="en-US"/>
        </w:rPr>
      </w:pPr>
      <w:r>
        <w:rPr>
          <w:rStyle w:val="None"/>
          <w:b/>
          <w:bCs/>
          <w:lang w:val="en-US"/>
        </w:rPr>
        <w:t>Correct</w:t>
      </w:r>
      <w:r w:rsidR="00F5734E">
        <w:rPr>
          <w:rStyle w:val="None"/>
          <w:b/>
          <w:bCs/>
          <w:lang w:val="en-US"/>
        </w:rPr>
        <w:t>:</w:t>
      </w:r>
      <w:r w:rsidR="00244598">
        <w:rPr>
          <w:rStyle w:val="None"/>
          <w:b/>
          <w:bCs/>
          <w:lang w:val="en-US"/>
        </w:rPr>
        <w:tab/>
      </w:r>
      <w:r w:rsidR="00F5734E">
        <w:rPr>
          <w:rStyle w:val="None"/>
          <w:i/>
          <w:iCs/>
          <w:lang w:val="en-US"/>
        </w:rPr>
        <w:t>Commonwealth v. Miller</w:t>
      </w:r>
      <w:r w:rsidR="00E7471C">
        <w:rPr>
          <w:rStyle w:val="None"/>
          <w:lang w:val="en-US"/>
        </w:rPr>
        <w:t xml:space="preserve">, 987 </w:t>
      </w:r>
      <w:r w:rsidR="00C51D53">
        <w:rPr>
          <w:rStyle w:val="None"/>
          <w:lang w:val="en-US"/>
        </w:rPr>
        <w:t>A.2d 638 (Pa. 2009).</w:t>
      </w:r>
    </w:p>
    <w:p w14:paraId="36100370" w14:textId="35481465" w:rsidR="00F5734E" w:rsidRDefault="009E3373" w:rsidP="008C6667">
      <w:pPr>
        <w:pStyle w:val="Body"/>
        <w:spacing w:line="360" w:lineRule="atLeast"/>
        <w:ind w:left="720"/>
        <w:rPr>
          <w:rStyle w:val="None"/>
          <w:i/>
          <w:iCs/>
          <w:lang w:val="en-US"/>
        </w:rPr>
      </w:pPr>
      <w:r>
        <w:rPr>
          <w:rStyle w:val="None"/>
          <w:b/>
          <w:bCs/>
          <w:lang w:val="en-US"/>
        </w:rPr>
        <w:t>Incorrect</w:t>
      </w:r>
      <w:r w:rsidR="00F5734E">
        <w:rPr>
          <w:rStyle w:val="None"/>
          <w:b/>
          <w:bCs/>
          <w:lang w:val="en-US"/>
        </w:rPr>
        <w:t xml:space="preserve">: </w:t>
      </w:r>
      <w:r w:rsidR="008C6667">
        <w:rPr>
          <w:rStyle w:val="None"/>
          <w:b/>
          <w:bCs/>
          <w:lang w:val="en-US"/>
        </w:rPr>
        <w:tab/>
      </w:r>
      <w:r w:rsidR="00F5734E">
        <w:rPr>
          <w:rStyle w:val="None"/>
          <w:i/>
          <w:iCs/>
          <w:lang w:val="en-US"/>
        </w:rPr>
        <w:t xml:space="preserve">Commonwealth of </w:t>
      </w:r>
      <w:r w:rsidR="00C51D53">
        <w:rPr>
          <w:rStyle w:val="None"/>
          <w:i/>
          <w:iCs/>
          <w:lang w:val="en-US"/>
        </w:rPr>
        <w:t>Pa.</w:t>
      </w:r>
      <w:r w:rsidR="00F5734E">
        <w:rPr>
          <w:rStyle w:val="None"/>
          <w:i/>
          <w:iCs/>
          <w:lang w:val="en-US"/>
        </w:rPr>
        <w:t xml:space="preserve"> v. Miller</w:t>
      </w:r>
      <w:r w:rsidR="00C51D53">
        <w:rPr>
          <w:rStyle w:val="None"/>
          <w:lang w:val="en-US"/>
        </w:rPr>
        <w:t>, 987 A.2d 638 (Pa. 2009).</w:t>
      </w:r>
      <w:r w:rsidR="00244598">
        <w:rPr>
          <w:rStyle w:val="None"/>
          <w:lang w:val="en-US"/>
        </w:rPr>
        <w:tab/>
      </w:r>
    </w:p>
    <w:p w14:paraId="4A824047" w14:textId="01E8B65E" w:rsidR="007B0C69" w:rsidRDefault="007B0C69" w:rsidP="008C6667">
      <w:pPr>
        <w:pStyle w:val="Body"/>
        <w:spacing w:line="360" w:lineRule="atLeast"/>
        <w:ind w:left="720"/>
        <w:rPr>
          <w:rStyle w:val="None"/>
          <w:i/>
          <w:iCs/>
          <w:lang w:val="en-US"/>
        </w:rPr>
      </w:pPr>
    </w:p>
    <w:p w14:paraId="57A8EE11" w14:textId="77777777" w:rsidR="007B0C69" w:rsidRPr="007B0C69" w:rsidRDefault="007B0C69" w:rsidP="008C6667">
      <w:pPr>
        <w:pStyle w:val="Body"/>
        <w:spacing w:line="360" w:lineRule="atLeast"/>
        <w:ind w:left="720"/>
        <w:rPr>
          <w:rStyle w:val="None"/>
          <w:i/>
          <w:iCs/>
          <w:lang w:val="en-US"/>
        </w:rPr>
      </w:pPr>
    </w:p>
    <w:p w14:paraId="1F60BC4D" w14:textId="77777777" w:rsidR="00F5734E" w:rsidRDefault="00F5734E" w:rsidP="00F5734E">
      <w:pPr>
        <w:pStyle w:val="Body"/>
        <w:spacing w:before="150" w:after="90"/>
        <w:ind w:left="1680"/>
        <w:rPr>
          <w:rStyle w:val="None"/>
          <w:lang w:val="en-US"/>
        </w:rPr>
      </w:pPr>
    </w:p>
    <w:p w14:paraId="5D249CEE" w14:textId="1D8AB26D" w:rsidR="00F5734E" w:rsidRDefault="00F5734E" w:rsidP="00616CD0">
      <w:pPr>
        <w:pStyle w:val="Heading5"/>
        <w:rPr>
          <w:rStyle w:val="None"/>
        </w:rPr>
      </w:pPr>
      <w:bookmarkStart w:id="19" w:name="_Toc78928045"/>
      <w:r>
        <w:rPr>
          <w:rStyle w:val="None"/>
        </w:rPr>
        <w:t>R11.5.</w:t>
      </w:r>
      <w:r w:rsidR="00723052">
        <w:rPr>
          <w:rStyle w:val="None"/>
        </w:rPr>
        <w:t>1</w:t>
      </w:r>
      <w:r w:rsidR="00061EB7">
        <w:rPr>
          <w:rStyle w:val="None"/>
        </w:rPr>
        <w:t>0</w:t>
      </w:r>
      <w:r>
        <w:rPr>
          <w:rStyle w:val="None"/>
        </w:rPr>
        <w:tab/>
        <w:t>Municipalities</w:t>
      </w:r>
      <w:bookmarkEnd w:id="19"/>
    </w:p>
    <w:p w14:paraId="60A530D3" w14:textId="77777777" w:rsidR="00F5734E" w:rsidRDefault="00F5734E" w:rsidP="008C6667">
      <w:pPr>
        <w:pStyle w:val="Rule"/>
        <w:ind w:left="0"/>
        <w:rPr>
          <w:rStyle w:val="None"/>
        </w:rPr>
      </w:pPr>
      <w:r>
        <w:rPr>
          <w:rStyle w:val="None"/>
        </w:rPr>
        <w:t>Include phrases such as “Town of” and “City of” when such phrases are the first part of the name of a party. Omit phrases such as “Town of” and “City of” if the phrase appears in the middle or end of the name of a party.</w:t>
      </w:r>
    </w:p>
    <w:p w14:paraId="3C4EEABD" w14:textId="6E4D9BA5"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C &amp; A Carbone v. Town of Clarkston</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C &amp; A Carbone v. Clarkston</w:t>
      </w:r>
    </w:p>
    <w:p w14:paraId="3803A6DB" w14:textId="77777777" w:rsidR="00355DFB" w:rsidRDefault="00355DFB" w:rsidP="00762E12">
      <w:pPr>
        <w:pStyle w:val="Example"/>
        <w:ind w:left="720"/>
        <w:rPr>
          <w:rStyle w:val="None"/>
          <w:b/>
          <w:bCs w:val="0"/>
        </w:rPr>
      </w:pPr>
    </w:p>
    <w:p w14:paraId="3A903791" w14:textId="0C02DAEF" w:rsidR="00F5734E" w:rsidRDefault="00355DFB" w:rsidP="00762E12">
      <w:pPr>
        <w:pStyle w:val="Example"/>
        <w:ind w:left="720"/>
        <w:rPr>
          <w:rStyle w:val="None"/>
        </w:rPr>
      </w:pPr>
      <w:r>
        <w:rPr>
          <w:rStyle w:val="None"/>
          <w:b/>
          <w:bCs w:val="0"/>
        </w:rPr>
        <w:t>Correct</w:t>
      </w:r>
      <w:r w:rsidR="00F5734E">
        <w:rPr>
          <w:rStyle w:val="None"/>
          <w:b/>
          <w:bCs w:val="0"/>
        </w:rPr>
        <w:t>:</w:t>
      </w:r>
      <w:r w:rsidR="00F5734E">
        <w:rPr>
          <w:rStyle w:val="None"/>
        </w:rPr>
        <w:t> </w:t>
      </w:r>
      <w:r>
        <w:rPr>
          <w:rStyle w:val="None"/>
        </w:rPr>
        <w:tab/>
      </w:r>
      <w:r w:rsidR="00F5734E">
        <w:rPr>
          <w:rStyle w:val="None"/>
          <w:i/>
          <w:iCs/>
        </w:rPr>
        <w:t>Matter of Chestnut Ridge v. Town of Ramapo</w:t>
      </w:r>
      <w:r w:rsidR="00F5734E">
        <w:rPr>
          <w:rStyle w:val="None"/>
          <w:rFonts w:ascii="Arial Unicode MS" w:hAnsi="Arial Unicode MS" w:hint="eastAsia"/>
        </w:rPr>
        <w:br/>
      </w:r>
      <w:r>
        <w:rPr>
          <w:rStyle w:val="None"/>
          <w:b/>
          <w:bCs w:val="0"/>
        </w:rPr>
        <w:t>Incorrect</w:t>
      </w:r>
      <w:r w:rsidR="00F5734E">
        <w:rPr>
          <w:rStyle w:val="None"/>
          <w:b/>
          <w:bCs w:val="0"/>
        </w:rPr>
        <w:t>:</w:t>
      </w:r>
      <w:r w:rsidR="00F5734E">
        <w:rPr>
          <w:rStyle w:val="None"/>
        </w:rPr>
        <w:t> </w:t>
      </w:r>
      <w:r>
        <w:rPr>
          <w:rStyle w:val="None"/>
        </w:rPr>
        <w:tab/>
      </w:r>
      <w:r w:rsidR="00F5734E">
        <w:rPr>
          <w:rStyle w:val="None"/>
          <w:i/>
          <w:iCs/>
        </w:rPr>
        <w:t>Matter of Village of Chestnut Ridge v. Town of Ramapo</w:t>
      </w:r>
    </w:p>
    <w:p w14:paraId="49B08686" w14:textId="77777777" w:rsidR="00F5734E" w:rsidRDefault="00F5734E" w:rsidP="00F5734E">
      <w:pPr>
        <w:pStyle w:val="Body"/>
        <w:spacing w:before="150" w:after="90"/>
        <w:ind w:left="1680"/>
        <w:rPr>
          <w:rStyle w:val="None"/>
          <w:lang w:val="en-US"/>
        </w:rPr>
      </w:pPr>
    </w:p>
    <w:p w14:paraId="14259C26" w14:textId="29F6C96E" w:rsidR="00F5734E" w:rsidRDefault="00F5734E" w:rsidP="00616CD0">
      <w:pPr>
        <w:pStyle w:val="Heading5"/>
        <w:rPr>
          <w:rStyle w:val="None"/>
        </w:rPr>
      </w:pPr>
      <w:bookmarkStart w:id="20" w:name="_Toc78928046"/>
      <w:r>
        <w:rPr>
          <w:rStyle w:val="None"/>
        </w:rPr>
        <w:t>R11.5.1</w:t>
      </w:r>
      <w:r w:rsidR="00061EB7">
        <w:rPr>
          <w:rStyle w:val="None"/>
        </w:rPr>
        <w:t>1</w:t>
      </w:r>
      <w:r>
        <w:rPr>
          <w:rStyle w:val="None"/>
        </w:rPr>
        <w:tab/>
        <w:t>Prepositional phrases with locations</w:t>
      </w:r>
      <w:bookmarkEnd w:id="20"/>
    </w:p>
    <w:p w14:paraId="38AD9CB2" w14:textId="657CDC51" w:rsidR="00824419" w:rsidRDefault="00824419" w:rsidP="00824419">
      <w:pPr>
        <w:pStyle w:val="Rule"/>
        <w:ind w:left="0"/>
        <w:rPr>
          <w:rStyle w:val="None"/>
        </w:rPr>
      </w:pPr>
      <w:r>
        <w:rPr>
          <w:rStyle w:val="None"/>
        </w:rPr>
        <w:t xml:space="preserve">Include prepositional phrases designating national or larger geographical areas. </w:t>
      </w:r>
    </w:p>
    <w:p w14:paraId="77613B57" w14:textId="77777777" w:rsidR="00824419" w:rsidRPr="00061EB7" w:rsidRDefault="00824419" w:rsidP="00061EB7">
      <w:pPr>
        <w:pStyle w:val="Example"/>
        <w:ind w:left="720"/>
        <w:rPr>
          <w:rStyle w:val="None"/>
        </w:rPr>
      </w:pPr>
      <w:r w:rsidRPr="00061EB7">
        <w:rPr>
          <w:rStyle w:val="None"/>
          <w:b/>
          <w:bCs w:val="0"/>
        </w:rPr>
        <w:t>Correct:</w:t>
      </w:r>
      <w:r w:rsidRPr="00061EB7">
        <w:rPr>
          <w:rStyle w:val="None"/>
        </w:rPr>
        <w:t xml:space="preserve"> </w:t>
      </w:r>
      <w:r w:rsidRPr="00061EB7">
        <w:rPr>
          <w:rStyle w:val="None"/>
        </w:rPr>
        <w:tab/>
      </w:r>
      <w:r w:rsidRPr="00061EB7">
        <w:rPr>
          <w:rStyle w:val="None"/>
          <w:i/>
          <w:iCs/>
        </w:rPr>
        <w:t xml:space="preserve">Republic of Korea v. </w:t>
      </w:r>
      <w:proofErr w:type="spellStart"/>
      <w:r w:rsidRPr="00061EB7">
        <w:rPr>
          <w:rStyle w:val="None"/>
          <w:i/>
          <w:iCs/>
        </w:rPr>
        <w:t>Ahn</w:t>
      </w:r>
      <w:proofErr w:type="spellEnd"/>
    </w:p>
    <w:p w14:paraId="682E8146" w14:textId="77777777" w:rsidR="00824419" w:rsidRPr="00061EB7" w:rsidRDefault="00824419" w:rsidP="00061EB7">
      <w:pPr>
        <w:pStyle w:val="Example"/>
        <w:ind w:left="720"/>
        <w:rPr>
          <w:rStyle w:val="None"/>
        </w:rPr>
      </w:pPr>
      <w:r w:rsidRPr="00061EB7">
        <w:rPr>
          <w:rStyle w:val="None"/>
          <w:b/>
          <w:bCs w:val="0"/>
        </w:rPr>
        <w:t>Incorrect:</w:t>
      </w:r>
      <w:r w:rsidRPr="00061EB7">
        <w:rPr>
          <w:rStyle w:val="None"/>
        </w:rPr>
        <w:t xml:space="preserve"> </w:t>
      </w:r>
      <w:r w:rsidRPr="00061EB7">
        <w:rPr>
          <w:rStyle w:val="None"/>
        </w:rPr>
        <w:tab/>
      </w:r>
      <w:r w:rsidRPr="00061EB7">
        <w:rPr>
          <w:rStyle w:val="None"/>
          <w:i/>
          <w:iCs/>
        </w:rPr>
        <w:t>Republic v. Anh</w:t>
      </w:r>
    </w:p>
    <w:p w14:paraId="5B224042" w14:textId="77777777" w:rsidR="00824419" w:rsidRPr="00061EB7" w:rsidRDefault="00824419" w:rsidP="00061EB7">
      <w:pPr>
        <w:pStyle w:val="Example"/>
        <w:ind w:left="720"/>
        <w:rPr>
          <w:rStyle w:val="None"/>
          <w:i/>
          <w:iCs/>
        </w:rPr>
      </w:pPr>
      <w:r w:rsidRPr="00061EB7">
        <w:rPr>
          <w:rStyle w:val="None"/>
          <w:b/>
          <w:bCs w:val="0"/>
        </w:rPr>
        <w:t>Incorrect:</w:t>
      </w:r>
      <w:r w:rsidRPr="00061EB7">
        <w:rPr>
          <w:rStyle w:val="None"/>
        </w:rPr>
        <w:tab/>
      </w:r>
      <w:r w:rsidRPr="00061EB7">
        <w:rPr>
          <w:rStyle w:val="None"/>
          <w:i/>
          <w:iCs/>
        </w:rPr>
        <w:t xml:space="preserve">Korea v. </w:t>
      </w:r>
      <w:proofErr w:type="spellStart"/>
      <w:r w:rsidRPr="00061EB7">
        <w:rPr>
          <w:rStyle w:val="None"/>
          <w:i/>
          <w:iCs/>
        </w:rPr>
        <w:t>Ahn</w:t>
      </w:r>
      <w:proofErr w:type="spellEnd"/>
    </w:p>
    <w:p w14:paraId="2C4FCECE" w14:textId="0C6BDB7C" w:rsidR="00824419" w:rsidRDefault="00824419" w:rsidP="00824419">
      <w:pPr>
        <w:pStyle w:val="Example"/>
        <w:rPr>
          <w:rStyle w:val="None"/>
          <w:i/>
          <w:iCs/>
        </w:rPr>
      </w:pPr>
    </w:p>
    <w:p w14:paraId="47973BC5" w14:textId="29C22C4A" w:rsidR="006E78DF" w:rsidRDefault="00824419" w:rsidP="00013E9A">
      <w:pPr>
        <w:pStyle w:val="Rule"/>
        <w:ind w:left="0"/>
        <w:rPr>
          <w:rStyle w:val="None"/>
        </w:rPr>
      </w:pPr>
      <w:r>
        <w:rPr>
          <w:rStyle w:val="None"/>
        </w:rPr>
        <w:t xml:space="preserve">Include prepositional phrases indicating location after a municipal category such as “City of” or “Town of.” </w:t>
      </w:r>
    </w:p>
    <w:p w14:paraId="25D2F2DA" w14:textId="55EAB8CA" w:rsidR="006E78DF" w:rsidRDefault="002917CC" w:rsidP="00061EB7">
      <w:pPr>
        <w:pStyle w:val="Example"/>
        <w:rPr>
          <w:rStyle w:val="None"/>
          <w:i/>
          <w:iCs/>
        </w:rPr>
      </w:pPr>
      <w:r>
        <w:rPr>
          <w:rStyle w:val="None"/>
        </w:rPr>
        <w:tab/>
      </w:r>
      <w:r>
        <w:rPr>
          <w:rStyle w:val="None"/>
          <w:b/>
          <w:bCs w:val="0"/>
        </w:rPr>
        <w:t>Correct:</w:t>
      </w:r>
      <w:r>
        <w:rPr>
          <w:rStyle w:val="None"/>
          <w:b/>
          <w:bCs w:val="0"/>
        </w:rPr>
        <w:tab/>
      </w:r>
      <w:r w:rsidR="006D588C">
        <w:rPr>
          <w:rStyle w:val="None"/>
          <w:i/>
          <w:iCs/>
        </w:rPr>
        <w:t>Fl</w:t>
      </w:r>
      <w:r w:rsidR="00061EB7">
        <w:rPr>
          <w:rStyle w:val="None"/>
          <w:i/>
          <w:iCs/>
        </w:rPr>
        <w:t>orida</w:t>
      </w:r>
      <w:r w:rsidR="006D588C">
        <w:rPr>
          <w:rStyle w:val="None"/>
          <w:i/>
          <w:iCs/>
        </w:rPr>
        <w:t xml:space="preserve"> Beach </w:t>
      </w:r>
      <w:r w:rsidR="00F07668">
        <w:rPr>
          <w:rStyle w:val="None"/>
          <w:i/>
          <w:iCs/>
        </w:rPr>
        <w:t>Advert</w:t>
      </w:r>
      <w:r w:rsidR="0044390A">
        <w:rPr>
          <w:rStyle w:val="None"/>
          <w:i/>
          <w:iCs/>
        </w:rPr>
        <w:t>ising,</w:t>
      </w:r>
      <w:r w:rsidR="006D588C">
        <w:rPr>
          <w:rStyle w:val="None"/>
          <w:i/>
          <w:iCs/>
        </w:rPr>
        <w:t xml:space="preserve"> </w:t>
      </w:r>
      <w:r w:rsidR="0012610C">
        <w:rPr>
          <w:rStyle w:val="None"/>
          <w:i/>
          <w:iCs/>
        </w:rPr>
        <w:t>LLC v. City of Treasure Island</w:t>
      </w:r>
    </w:p>
    <w:p w14:paraId="1513D467" w14:textId="3357E74A" w:rsidR="0012610C" w:rsidRDefault="0012610C"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Fl</w:t>
      </w:r>
      <w:r w:rsidR="00061EB7">
        <w:rPr>
          <w:rStyle w:val="None"/>
          <w:i/>
          <w:iCs/>
        </w:rPr>
        <w:t>orida</w:t>
      </w:r>
      <w:r>
        <w:rPr>
          <w:rStyle w:val="None"/>
          <w:i/>
          <w:iCs/>
        </w:rPr>
        <w:t xml:space="preserve"> Beach Ad</w:t>
      </w:r>
      <w:r w:rsidR="00F07668">
        <w:rPr>
          <w:rStyle w:val="None"/>
          <w:i/>
          <w:iCs/>
        </w:rPr>
        <w:t>vert</w:t>
      </w:r>
      <w:r w:rsidR="0044390A">
        <w:rPr>
          <w:rStyle w:val="None"/>
          <w:i/>
          <w:iCs/>
        </w:rPr>
        <w:t>ising</w:t>
      </w:r>
      <w:r>
        <w:rPr>
          <w:rStyle w:val="None"/>
          <w:i/>
          <w:iCs/>
        </w:rPr>
        <w:t>, LLC v. City</w:t>
      </w:r>
    </w:p>
    <w:p w14:paraId="74954559" w14:textId="1D926AC2" w:rsidR="00F07668" w:rsidRDefault="00F07668" w:rsidP="00013E9A">
      <w:pPr>
        <w:pStyle w:val="Rule"/>
        <w:ind w:left="0"/>
        <w:rPr>
          <w:rStyle w:val="None"/>
          <w:i/>
          <w:iCs/>
        </w:rPr>
      </w:pPr>
    </w:p>
    <w:p w14:paraId="15165F08" w14:textId="4BD61989" w:rsidR="00F07668" w:rsidRDefault="00F07668" w:rsidP="00013E9A">
      <w:pPr>
        <w:pStyle w:val="Rule"/>
        <w:ind w:left="0"/>
        <w:rPr>
          <w:rStyle w:val="None"/>
        </w:rPr>
      </w:pPr>
      <w:r>
        <w:rPr>
          <w:rStyle w:val="None"/>
        </w:rPr>
        <w:t>Include prepositional phrases indicating location when the phrase is part of a business or organizational name.</w:t>
      </w:r>
    </w:p>
    <w:p w14:paraId="2B95633A" w14:textId="69113CFA" w:rsidR="00F07668" w:rsidRDefault="00F07668" w:rsidP="00061EB7">
      <w:pPr>
        <w:pStyle w:val="Example"/>
        <w:rPr>
          <w:rStyle w:val="None"/>
          <w:i/>
          <w:iCs/>
        </w:rPr>
      </w:pPr>
      <w:r>
        <w:rPr>
          <w:rStyle w:val="None"/>
        </w:rPr>
        <w:tab/>
      </w:r>
      <w:r>
        <w:rPr>
          <w:rStyle w:val="None"/>
          <w:b/>
          <w:bCs w:val="0"/>
        </w:rPr>
        <w:t xml:space="preserve">Correct: </w:t>
      </w:r>
      <w:r>
        <w:rPr>
          <w:rStyle w:val="None"/>
          <w:b/>
          <w:bCs w:val="0"/>
        </w:rPr>
        <w:tab/>
      </w:r>
      <w:r>
        <w:rPr>
          <w:rStyle w:val="None"/>
          <w:i/>
          <w:iCs/>
        </w:rPr>
        <w:t xml:space="preserve">Chattanooga </w:t>
      </w:r>
      <w:r w:rsidR="0044390A">
        <w:rPr>
          <w:rStyle w:val="None"/>
          <w:i/>
          <w:iCs/>
        </w:rPr>
        <w:t>Restaurant</w:t>
      </w:r>
      <w:r>
        <w:rPr>
          <w:rStyle w:val="None"/>
          <w:i/>
          <w:iCs/>
        </w:rPr>
        <w:t xml:space="preserve"> P</w:t>
      </w:r>
      <w:r w:rsidR="0044390A">
        <w:rPr>
          <w:rStyle w:val="None"/>
          <w:i/>
          <w:iCs/>
        </w:rPr>
        <w:t>artner</w:t>
      </w:r>
      <w:r>
        <w:rPr>
          <w:rStyle w:val="None"/>
          <w:i/>
          <w:iCs/>
        </w:rPr>
        <w:t>ship, Inc. v. City of Chattanooga Beer Bd.</w:t>
      </w:r>
    </w:p>
    <w:p w14:paraId="1D0C7553" w14:textId="27C834D5" w:rsidR="00F07668" w:rsidRPr="0027529B" w:rsidRDefault="00F07668" w:rsidP="00061EB7">
      <w:pPr>
        <w:pStyle w:val="Example"/>
        <w:rPr>
          <w:rStyle w:val="None"/>
          <w:i/>
          <w:iCs/>
        </w:rPr>
      </w:pPr>
      <w:r>
        <w:rPr>
          <w:rStyle w:val="None"/>
          <w:i/>
          <w:iCs/>
        </w:rPr>
        <w:tab/>
      </w:r>
      <w:r>
        <w:rPr>
          <w:rStyle w:val="None"/>
          <w:b/>
          <w:bCs w:val="0"/>
        </w:rPr>
        <w:t>Incorrect:</w:t>
      </w:r>
      <w:r>
        <w:rPr>
          <w:rStyle w:val="None"/>
          <w:b/>
          <w:bCs w:val="0"/>
        </w:rPr>
        <w:tab/>
      </w:r>
      <w:r>
        <w:rPr>
          <w:rStyle w:val="None"/>
          <w:i/>
          <w:iCs/>
        </w:rPr>
        <w:t xml:space="preserve">Chattanooga </w:t>
      </w:r>
      <w:r w:rsidR="0044390A">
        <w:rPr>
          <w:rStyle w:val="None"/>
          <w:i/>
          <w:iCs/>
        </w:rPr>
        <w:t>Restaurant Partnership</w:t>
      </w:r>
      <w:r>
        <w:rPr>
          <w:rStyle w:val="None"/>
          <w:i/>
          <w:iCs/>
        </w:rPr>
        <w:t xml:space="preserve"> Inc. v. City </w:t>
      </w:r>
    </w:p>
    <w:p w14:paraId="01FDAF0C" w14:textId="77777777" w:rsidR="00F07668" w:rsidRDefault="00F07668" w:rsidP="00061EB7">
      <w:pPr>
        <w:pStyle w:val="Example"/>
        <w:rPr>
          <w:rStyle w:val="None"/>
          <w:i/>
          <w:iCs/>
        </w:rPr>
      </w:pPr>
    </w:p>
    <w:p w14:paraId="7C31142E" w14:textId="5E3C1106" w:rsidR="00F07668" w:rsidRDefault="00F07668" w:rsidP="00061EB7">
      <w:pPr>
        <w:pStyle w:val="Example"/>
        <w:ind w:left="720"/>
        <w:rPr>
          <w:rStyle w:val="None"/>
          <w:i/>
          <w:iCs/>
        </w:rPr>
      </w:pPr>
      <w:r>
        <w:rPr>
          <w:rStyle w:val="None"/>
          <w:b/>
          <w:bCs w:val="0"/>
        </w:rPr>
        <w:t>Correct:</w:t>
      </w:r>
      <w:r>
        <w:rPr>
          <w:rStyle w:val="None"/>
          <w:b/>
          <w:bCs w:val="0"/>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 of the W.Va. Bar</w:t>
      </w:r>
    </w:p>
    <w:p w14:paraId="01E02B18" w14:textId="6A654D20" w:rsidR="00F07668" w:rsidRDefault="00F07668" w:rsidP="00061EB7">
      <w:pPr>
        <w:pStyle w:val="Example"/>
        <w:ind w:left="720"/>
        <w:rPr>
          <w:rStyle w:val="None"/>
          <w:i/>
          <w:iCs/>
        </w:rPr>
      </w:pPr>
      <w:r>
        <w:rPr>
          <w:rStyle w:val="None"/>
          <w:b/>
          <w:bCs w:val="0"/>
        </w:rPr>
        <w:t>Incorrect:</w:t>
      </w:r>
      <w:r>
        <w:rPr>
          <w:rStyle w:val="None"/>
          <w:i/>
          <w:iCs/>
        </w:rPr>
        <w:tab/>
      </w:r>
      <w:proofErr w:type="spellStart"/>
      <w:r>
        <w:rPr>
          <w:rStyle w:val="None"/>
          <w:i/>
          <w:iCs/>
        </w:rPr>
        <w:t>Kolibash</w:t>
      </w:r>
      <w:proofErr w:type="spellEnd"/>
      <w:r>
        <w:rPr>
          <w:rStyle w:val="None"/>
          <w:i/>
          <w:iCs/>
        </w:rPr>
        <w:t xml:space="preserve"> v. Comm</w:t>
      </w:r>
      <w:r w:rsidR="0044390A">
        <w:rPr>
          <w:rStyle w:val="None"/>
          <w:i/>
          <w:iCs/>
        </w:rPr>
        <w:t>ittee</w:t>
      </w:r>
      <w:r>
        <w:rPr>
          <w:rStyle w:val="None"/>
          <w:i/>
          <w:iCs/>
        </w:rPr>
        <w:t xml:space="preserve"> on Legal Ethics</w:t>
      </w:r>
    </w:p>
    <w:p w14:paraId="21ADC138" w14:textId="21DA3EA3" w:rsidR="00E80C7A" w:rsidRDefault="00E80C7A" w:rsidP="00061EB7">
      <w:pPr>
        <w:pStyle w:val="Example"/>
        <w:ind w:left="720"/>
        <w:rPr>
          <w:rStyle w:val="None"/>
          <w:i/>
          <w:iCs/>
        </w:rPr>
      </w:pPr>
    </w:p>
    <w:p w14:paraId="73DD3F6E" w14:textId="77777777" w:rsidR="00E80C7A" w:rsidRDefault="00E80C7A" w:rsidP="00061EB7">
      <w:pPr>
        <w:pStyle w:val="Example"/>
        <w:ind w:left="720"/>
        <w:rPr>
          <w:rStyle w:val="None"/>
          <w:i/>
          <w:iCs/>
        </w:rPr>
      </w:pPr>
      <w:r>
        <w:rPr>
          <w:rStyle w:val="None"/>
          <w:b/>
          <w:bCs w:val="0"/>
        </w:rPr>
        <w:t>Correct:</w:t>
      </w:r>
      <w:r>
        <w:rPr>
          <w:rStyle w:val="None"/>
        </w:rPr>
        <w:t> </w:t>
      </w:r>
      <w:r>
        <w:rPr>
          <w:rStyle w:val="None"/>
        </w:rPr>
        <w:tab/>
      </w:r>
      <w:r>
        <w:rPr>
          <w:rStyle w:val="None"/>
          <w:i/>
          <w:iCs/>
        </w:rPr>
        <w:t xml:space="preserve">Dam Things from Denmark v. Russ </w:t>
      </w:r>
      <w:proofErr w:type="spellStart"/>
      <w:r>
        <w:rPr>
          <w:rStyle w:val="None"/>
          <w:i/>
          <w:iCs/>
        </w:rPr>
        <w:t>Berrie</w:t>
      </w:r>
      <w:proofErr w:type="spellEnd"/>
      <w:r>
        <w:rPr>
          <w:rStyle w:val="None"/>
          <w:i/>
          <w:iCs/>
        </w:rPr>
        <w:t xml:space="preserve"> &amp; Co.</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 xml:space="preserve">Dam Things v. Russ </w:t>
      </w:r>
      <w:proofErr w:type="spellStart"/>
      <w:r>
        <w:rPr>
          <w:rStyle w:val="None"/>
          <w:i/>
          <w:iCs/>
        </w:rPr>
        <w:t>Berrie</w:t>
      </w:r>
      <w:proofErr w:type="spellEnd"/>
      <w:r>
        <w:rPr>
          <w:rStyle w:val="None"/>
          <w:i/>
          <w:iCs/>
        </w:rPr>
        <w:t xml:space="preserve"> &amp; Co.</w:t>
      </w:r>
    </w:p>
    <w:p w14:paraId="4CA1BD05" w14:textId="77777777" w:rsidR="00E80C7A" w:rsidRDefault="00E80C7A" w:rsidP="00F07668">
      <w:pPr>
        <w:pStyle w:val="Body"/>
        <w:spacing w:line="360" w:lineRule="atLeast"/>
        <w:ind w:left="720"/>
        <w:rPr>
          <w:rStyle w:val="None"/>
          <w:i/>
          <w:iCs/>
          <w:lang w:val="en-US"/>
        </w:rPr>
      </w:pPr>
    </w:p>
    <w:p w14:paraId="6F9E6BAB" w14:textId="366D9903" w:rsidR="00F07668" w:rsidRDefault="00F07668" w:rsidP="00013E9A">
      <w:pPr>
        <w:pStyle w:val="Rule"/>
        <w:ind w:left="0"/>
        <w:rPr>
          <w:rStyle w:val="None"/>
        </w:rPr>
      </w:pPr>
    </w:p>
    <w:p w14:paraId="2593CB3A" w14:textId="72E4B2CA" w:rsidR="00875C82" w:rsidRPr="00F07668" w:rsidRDefault="00875C82" w:rsidP="00013E9A">
      <w:pPr>
        <w:pStyle w:val="Rule"/>
        <w:ind w:left="0"/>
        <w:rPr>
          <w:rStyle w:val="None"/>
        </w:rPr>
      </w:pPr>
      <w:r>
        <w:rPr>
          <w:rStyle w:val="None"/>
        </w:rPr>
        <w:t>Include prepositional phrases indicating location to avoid a party name with only one word.</w:t>
      </w:r>
    </w:p>
    <w:p w14:paraId="7B6B8358" w14:textId="77777777" w:rsidR="00875C82" w:rsidRDefault="00875C82" w:rsidP="00875C82">
      <w:pPr>
        <w:pStyle w:val="Example"/>
        <w:ind w:left="720"/>
        <w:rPr>
          <w:rStyle w:val="None"/>
        </w:rPr>
      </w:pPr>
      <w:r>
        <w:rPr>
          <w:rStyle w:val="None"/>
          <w:b/>
          <w:bCs w:val="0"/>
        </w:rPr>
        <w:t>Correct:</w:t>
      </w:r>
      <w:r>
        <w:rPr>
          <w:rStyle w:val="None"/>
        </w:rPr>
        <w:t> </w:t>
      </w:r>
      <w:r>
        <w:rPr>
          <w:rStyle w:val="None"/>
        </w:rPr>
        <w:tab/>
      </w:r>
      <w:r>
        <w:rPr>
          <w:rStyle w:val="None"/>
          <w:i/>
          <w:iCs/>
        </w:rPr>
        <w:t>ACLU of N.D. v. Jones</w:t>
      </w:r>
      <w:r>
        <w:rPr>
          <w:rStyle w:val="None"/>
          <w:rFonts w:ascii="Arial Unicode MS" w:hAnsi="Arial Unicode MS" w:hint="eastAsia"/>
        </w:rPr>
        <w:br/>
      </w:r>
      <w:r>
        <w:rPr>
          <w:rStyle w:val="None"/>
          <w:b/>
          <w:bCs w:val="0"/>
        </w:rPr>
        <w:t>Incorrect:</w:t>
      </w:r>
      <w:r>
        <w:rPr>
          <w:rStyle w:val="None"/>
        </w:rPr>
        <w:t> </w:t>
      </w:r>
      <w:r>
        <w:rPr>
          <w:rStyle w:val="None"/>
        </w:rPr>
        <w:tab/>
      </w:r>
      <w:r>
        <w:rPr>
          <w:rStyle w:val="None"/>
          <w:i/>
          <w:iCs/>
        </w:rPr>
        <w:t>ACLU v. Jones</w:t>
      </w:r>
    </w:p>
    <w:p w14:paraId="556D70D0" w14:textId="77777777" w:rsidR="00824419" w:rsidRDefault="00824419" w:rsidP="00762E12">
      <w:pPr>
        <w:pStyle w:val="Rule"/>
        <w:ind w:left="0"/>
        <w:rPr>
          <w:rStyle w:val="None"/>
        </w:rPr>
      </w:pPr>
    </w:p>
    <w:p w14:paraId="01E40CA4" w14:textId="669AB9D5" w:rsidR="00F5734E" w:rsidRDefault="00F07668" w:rsidP="00762E12">
      <w:pPr>
        <w:pStyle w:val="Rule"/>
        <w:ind w:left="0"/>
        <w:rPr>
          <w:rStyle w:val="None"/>
        </w:rPr>
      </w:pPr>
      <w:r>
        <w:rPr>
          <w:rStyle w:val="None"/>
        </w:rPr>
        <w:t>Omit other prepositional phrases</w:t>
      </w:r>
      <w:r w:rsidR="00F5734E">
        <w:rPr>
          <w:rStyle w:val="None"/>
        </w:rPr>
        <w:t xml:space="preserve"> indicating location. Omit geographical information after a comma in a case name.</w:t>
      </w:r>
    </w:p>
    <w:p w14:paraId="18362943" w14:textId="6E751DC2" w:rsidR="00762E12" w:rsidRPr="00E80C7A" w:rsidRDefault="00F5734E" w:rsidP="00E80C7A">
      <w:pPr>
        <w:pStyle w:val="Example"/>
        <w:ind w:left="720"/>
        <w:rPr>
          <w:rStyle w:val="None"/>
          <w:i/>
          <w:iCs/>
        </w:rPr>
      </w:pPr>
      <w:r>
        <w:rPr>
          <w:rStyle w:val="None"/>
          <w:b/>
          <w:bCs w:val="0"/>
        </w:rPr>
        <w:t>Correct:</w:t>
      </w:r>
      <w:r>
        <w:rPr>
          <w:rStyle w:val="None"/>
        </w:rPr>
        <w:t> </w:t>
      </w:r>
      <w:r w:rsidR="00762E12">
        <w:rPr>
          <w:rStyle w:val="None"/>
        </w:rPr>
        <w:tab/>
      </w:r>
      <w:r>
        <w:rPr>
          <w:rStyle w:val="None"/>
          <w:i/>
          <w:iCs/>
        </w:rPr>
        <w:t>Stevenson v. Board of Trade</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Stevenson v. Board of Trade of Colorado</w:t>
      </w:r>
    </w:p>
    <w:p w14:paraId="69842F5F" w14:textId="77777777" w:rsidR="00762E12" w:rsidRDefault="00762E12" w:rsidP="00762E12">
      <w:pPr>
        <w:pStyle w:val="Example"/>
        <w:ind w:left="720"/>
        <w:rPr>
          <w:rStyle w:val="None"/>
          <w:b/>
          <w:bCs w:val="0"/>
        </w:rPr>
      </w:pPr>
    </w:p>
    <w:p w14:paraId="63F8B1E5" w14:textId="352941C9"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Cal</w:t>
      </w:r>
      <w:r w:rsidR="0044390A">
        <w:rPr>
          <w:rStyle w:val="None"/>
          <w:i/>
          <w:iCs/>
        </w:rPr>
        <w:t>ifornia</w:t>
      </w:r>
      <w:r>
        <w:rPr>
          <w:rStyle w:val="None"/>
          <w:i/>
          <w:iCs/>
        </w:rPr>
        <w:t xml:space="preserve"> B</w:t>
      </w:r>
      <w:r w:rsidR="0044390A">
        <w:rPr>
          <w:rStyle w:val="None"/>
          <w:i/>
          <w:iCs/>
        </w:rPr>
        <w:t>oard</w:t>
      </w:r>
      <w:r>
        <w:rPr>
          <w:rStyle w:val="None"/>
          <w:i/>
          <w:iCs/>
        </w:rPr>
        <w:t xml:space="preserve"> of Commerce v. City of Sacramento</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Cal</w:t>
      </w:r>
      <w:r w:rsidR="0044390A">
        <w:rPr>
          <w:rStyle w:val="None"/>
          <w:i/>
          <w:iCs/>
        </w:rPr>
        <w:t>ifornia Board</w:t>
      </w:r>
      <w:r>
        <w:rPr>
          <w:rStyle w:val="None"/>
          <w:i/>
          <w:iCs/>
        </w:rPr>
        <w:t xml:space="preserve"> of Commerce v. City of Sacramento, California</w:t>
      </w:r>
    </w:p>
    <w:p w14:paraId="7A17B900" w14:textId="77777777" w:rsidR="006E78DF" w:rsidRDefault="006E78DF" w:rsidP="006E78DF">
      <w:pPr>
        <w:pStyle w:val="Example"/>
        <w:rPr>
          <w:rStyle w:val="None"/>
          <w:i/>
          <w:iCs/>
        </w:rPr>
      </w:pPr>
    </w:p>
    <w:p w14:paraId="09643EF6" w14:textId="77777777" w:rsidR="006E78DF" w:rsidRDefault="006E78DF" w:rsidP="00762E12">
      <w:pPr>
        <w:pStyle w:val="Example"/>
        <w:ind w:left="720"/>
        <w:rPr>
          <w:rStyle w:val="None"/>
        </w:rPr>
      </w:pPr>
    </w:p>
    <w:p w14:paraId="56CD9CE5" w14:textId="77777777" w:rsidR="00F5734E" w:rsidRDefault="00F5734E" w:rsidP="00F5734E">
      <w:pPr>
        <w:pStyle w:val="Body"/>
        <w:spacing w:before="150" w:after="90"/>
        <w:rPr>
          <w:rStyle w:val="None"/>
          <w:lang w:val="en-US"/>
        </w:rPr>
      </w:pPr>
    </w:p>
    <w:p w14:paraId="2908DCF4" w14:textId="2FE99591" w:rsidR="00F5734E" w:rsidRDefault="00F5734E" w:rsidP="00616CD0">
      <w:pPr>
        <w:pStyle w:val="Heading5"/>
        <w:rPr>
          <w:rStyle w:val="None"/>
        </w:rPr>
      </w:pPr>
      <w:bookmarkStart w:id="21" w:name="_Toc78928047"/>
      <w:r>
        <w:rPr>
          <w:rStyle w:val="None"/>
        </w:rPr>
        <w:t>R11.5.1</w:t>
      </w:r>
      <w:r w:rsidR="00061EB7">
        <w:rPr>
          <w:rStyle w:val="None"/>
        </w:rPr>
        <w:t>2</w:t>
      </w:r>
      <w:r>
        <w:rPr>
          <w:rStyle w:val="None"/>
        </w:rPr>
        <w:tab/>
        <w:t>“The”</w:t>
      </w:r>
      <w:bookmarkEnd w:id="21"/>
    </w:p>
    <w:p w14:paraId="5411355C" w14:textId="77777777" w:rsidR="00F5734E" w:rsidRDefault="00F5734E" w:rsidP="00762E12">
      <w:pPr>
        <w:pStyle w:val="Rule"/>
        <w:ind w:left="0"/>
        <w:rPr>
          <w:rStyle w:val="None"/>
        </w:rPr>
      </w:pPr>
      <w:r>
        <w:rPr>
          <w:rStyle w:val="None"/>
        </w:rPr>
        <w:t>Delete “the” as the first word of a party’s name. Make an exception if the party is “</w:t>
      </w:r>
      <w:r>
        <w:rPr>
          <w:rStyle w:val="None"/>
          <w:i/>
          <w:iCs/>
        </w:rPr>
        <w:t>The Queen</w:t>
      </w:r>
      <w:r>
        <w:rPr>
          <w:rStyle w:val="None"/>
        </w:rPr>
        <w:t>” or the “</w:t>
      </w:r>
      <w:r>
        <w:rPr>
          <w:rStyle w:val="None"/>
          <w:i/>
          <w:iCs/>
        </w:rPr>
        <w:t>The King</w:t>
      </w:r>
      <w:r>
        <w:rPr>
          <w:rStyle w:val="None"/>
        </w:rPr>
        <w:t>,” or when referring to the established popular name in a citation or citation clause. Also retain “the” if it is part of the name of the object of an </w:t>
      </w:r>
      <w:proofErr w:type="gramStart"/>
      <w:r>
        <w:rPr>
          <w:rStyle w:val="None"/>
          <w:i/>
          <w:iCs/>
        </w:rPr>
        <w:t>in rem</w:t>
      </w:r>
      <w:proofErr w:type="gramEnd"/>
      <w:r>
        <w:rPr>
          <w:rStyle w:val="None"/>
        </w:rPr>
        <w:t> action.</w:t>
      </w:r>
    </w:p>
    <w:p w14:paraId="3338F785" w14:textId="04EB1BE4"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sidR="0044390A">
        <w:rPr>
          <w:rStyle w:val="None"/>
          <w:i/>
          <w:iCs/>
        </w:rPr>
        <w:t>International</w:t>
      </w:r>
      <w:r>
        <w:rPr>
          <w:rStyle w:val="None"/>
          <w:i/>
          <w:iCs/>
        </w:rPr>
        <w:t xml:space="preserve"> So</w:t>
      </w:r>
      <w:r w:rsidR="0044390A">
        <w:rPr>
          <w:rStyle w:val="None"/>
          <w:i/>
          <w:iCs/>
        </w:rPr>
        <w:t>ciety</w:t>
      </w:r>
      <w:r>
        <w:rPr>
          <w:rStyle w:val="None"/>
          <w:i/>
          <w:iCs/>
        </w:rPr>
        <w:t xml:space="preserve"> for Krishna Consciousness of Cal</w:t>
      </w:r>
      <w:r w:rsidR="0044390A">
        <w:rPr>
          <w:rStyle w:val="None"/>
          <w:i/>
          <w:iCs/>
        </w:rPr>
        <w:t>ifornia</w:t>
      </w:r>
      <w:r>
        <w:rPr>
          <w:rStyle w:val="None"/>
          <w:i/>
          <w:iCs/>
        </w:rPr>
        <w:t>, Inc. v. City of Los Angeles</w:t>
      </w:r>
      <w:r>
        <w:rPr>
          <w:rStyle w:val="None"/>
          <w:rFonts w:ascii="Arial Unicode MS" w:hAnsi="Arial Unicode MS" w:hint="eastAsia"/>
        </w:rPr>
        <w:br/>
      </w:r>
      <w:r>
        <w:rPr>
          <w:rStyle w:val="None"/>
          <w:b/>
          <w:bCs w:val="0"/>
        </w:rPr>
        <w:t>Incorrect:</w:t>
      </w:r>
      <w:r>
        <w:rPr>
          <w:rStyle w:val="None"/>
        </w:rPr>
        <w:t> </w:t>
      </w:r>
      <w:r w:rsidR="00762E12">
        <w:rPr>
          <w:rStyle w:val="None"/>
        </w:rPr>
        <w:tab/>
      </w:r>
      <w:r w:rsidR="0044390A">
        <w:rPr>
          <w:rStyle w:val="None"/>
          <w:i/>
          <w:iCs/>
        </w:rPr>
        <w:t xml:space="preserve">International Society for </w:t>
      </w:r>
      <w:r>
        <w:rPr>
          <w:rStyle w:val="None"/>
          <w:i/>
          <w:iCs/>
        </w:rPr>
        <w:t>Krishna Consciousness of Cal</w:t>
      </w:r>
      <w:r w:rsidR="0044390A">
        <w:rPr>
          <w:rStyle w:val="None"/>
          <w:i/>
          <w:iCs/>
        </w:rPr>
        <w:t>ifornia</w:t>
      </w:r>
      <w:r>
        <w:rPr>
          <w:rStyle w:val="None"/>
          <w:i/>
          <w:iCs/>
        </w:rPr>
        <w:t>, Inc. v. The City of Los Angeles</w:t>
      </w:r>
    </w:p>
    <w:p w14:paraId="007570ED" w14:textId="77777777" w:rsidR="00762E12" w:rsidRDefault="00762E12" w:rsidP="00762E12">
      <w:pPr>
        <w:pStyle w:val="Example"/>
        <w:ind w:left="720"/>
        <w:rPr>
          <w:rStyle w:val="None"/>
        </w:rPr>
      </w:pPr>
    </w:p>
    <w:p w14:paraId="2B7C6EC7" w14:textId="6DAE2DEE"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In re the Snug Harbor</w:t>
      </w:r>
      <w:r>
        <w:rPr>
          <w:rStyle w:val="None"/>
          <w:rFonts w:ascii="Arial Unicode MS" w:hAnsi="Arial Unicode MS" w:hint="eastAsia"/>
        </w:rPr>
        <w:br/>
      </w:r>
      <w:r>
        <w:rPr>
          <w:rStyle w:val="None"/>
          <w:b/>
          <w:bCs w:val="0"/>
        </w:rPr>
        <w:t>Incorrect:</w:t>
      </w:r>
      <w:r>
        <w:rPr>
          <w:rStyle w:val="None"/>
        </w:rPr>
        <w:t> </w:t>
      </w:r>
      <w:r w:rsidR="00762E12">
        <w:rPr>
          <w:rStyle w:val="None"/>
        </w:rPr>
        <w:tab/>
      </w:r>
      <w:r>
        <w:rPr>
          <w:rStyle w:val="None"/>
          <w:i/>
          <w:iCs/>
        </w:rPr>
        <w:t>In re Snug Harbor</w:t>
      </w:r>
    </w:p>
    <w:p w14:paraId="5FB28A61" w14:textId="77777777" w:rsidR="00F5734E" w:rsidRDefault="00F5734E" w:rsidP="00762E12">
      <w:pPr>
        <w:pStyle w:val="Example"/>
        <w:ind w:left="720"/>
        <w:rPr>
          <w:rStyle w:val="None"/>
        </w:rPr>
      </w:pPr>
    </w:p>
    <w:p w14:paraId="5F738D05" w14:textId="35E72141" w:rsidR="00F5734E" w:rsidRDefault="00F5734E" w:rsidP="00762E12">
      <w:pPr>
        <w:pStyle w:val="Example"/>
        <w:ind w:left="720"/>
        <w:rPr>
          <w:rStyle w:val="None"/>
          <w:i/>
          <w:iCs/>
        </w:rPr>
      </w:pPr>
      <w:r>
        <w:rPr>
          <w:rStyle w:val="None"/>
          <w:b/>
          <w:bCs w:val="0"/>
        </w:rPr>
        <w:t>Correct:</w:t>
      </w:r>
      <w:r>
        <w:rPr>
          <w:rStyle w:val="None"/>
        </w:rPr>
        <w:t> </w:t>
      </w:r>
      <w:r w:rsidR="00762E12">
        <w:rPr>
          <w:rStyle w:val="None"/>
        </w:rPr>
        <w:tab/>
      </w:r>
      <w:r>
        <w:rPr>
          <w:rStyle w:val="None"/>
          <w:i/>
          <w:iCs/>
        </w:rPr>
        <w:t xml:space="preserve">The Railroad </w:t>
      </w:r>
      <w:r w:rsidR="00932DEE">
        <w:rPr>
          <w:rStyle w:val="None"/>
          <w:i/>
          <w:iCs/>
        </w:rPr>
        <w:t>Commission</w:t>
      </w:r>
      <w:r>
        <w:rPr>
          <w:rStyle w:val="None"/>
          <w:i/>
          <w:iCs/>
        </w:rPr>
        <w:t xml:space="preserve"> Cases</w:t>
      </w:r>
    </w:p>
    <w:p w14:paraId="6EF5D43A" w14:textId="0935E180" w:rsidR="00F5734E" w:rsidRDefault="00F5734E" w:rsidP="00762E12">
      <w:pPr>
        <w:pStyle w:val="Example"/>
        <w:ind w:left="720"/>
        <w:rPr>
          <w:rStyle w:val="None"/>
          <w:i/>
          <w:iCs/>
        </w:rPr>
      </w:pPr>
      <w:r>
        <w:rPr>
          <w:rStyle w:val="None"/>
          <w:b/>
          <w:bCs w:val="0"/>
        </w:rPr>
        <w:t>Incorrect:</w:t>
      </w:r>
      <w:r>
        <w:rPr>
          <w:rStyle w:val="None"/>
        </w:rPr>
        <w:t xml:space="preserve"> </w:t>
      </w:r>
      <w:r w:rsidR="00762E12">
        <w:rPr>
          <w:rStyle w:val="None"/>
        </w:rPr>
        <w:tab/>
      </w:r>
      <w:r>
        <w:rPr>
          <w:rStyle w:val="None"/>
          <w:i/>
          <w:iCs/>
        </w:rPr>
        <w:t xml:space="preserve">Railroad </w:t>
      </w:r>
      <w:r w:rsidR="00932DEE">
        <w:rPr>
          <w:rStyle w:val="None"/>
          <w:i/>
          <w:iCs/>
        </w:rPr>
        <w:t>Commission</w:t>
      </w:r>
      <w:r>
        <w:rPr>
          <w:rStyle w:val="None"/>
          <w:i/>
          <w:iCs/>
        </w:rPr>
        <w:t xml:space="preserve"> Cases</w:t>
      </w:r>
    </w:p>
    <w:p w14:paraId="67DBA5FC" w14:textId="77777777" w:rsidR="00F5734E" w:rsidRDefault="00F5734E" w:rsidP="00F5734E">
      <w:pPr>
        <w:pStyle w:val="Body"/>
        <w:spacing w:before="150" w:after="90"/>
        <w:rPr>
          <w:rStyle w:val="None"/>
          <w:lang w:val="en-US"/>
        </w:rPr>
      </w:pPr>
    </w:p>
    <w:p w14:paraId="707BAA8E" w14:textId="728B5DC2" w:rsidR="00F5734E" w:rsidRDefault="00F5734E" w:rsidP="00616CD0">
      <w:pPr>
        <w:pStyle w:val="Heading5"/>
        <w:rPr>
          <w:rStyle w:val="None"/>
        </w:rPr>
      </w:pPr>
      <w:bookmarkStart w:id="22" w:name="_Toc78928048"/>
      <w:r>
        <w:rPr>
          <w:rStyle w:val="None"/>
        </w:rPr>
        <w:t>R11.5.1</w:t>
      </w:r>
      <w:r w:rsidR="00BC4BFF">
        <w:rPr>
          <w:rStyle w:val="None"/>
        </w:rPr>
        <w:t>3</w:t>
      </w:r>
      <w:r>
        <w:rPr>
          <w:rStyle w:val="None"/>
        </w:rPr>
        <w:tab/>
        <w:t>Commissioner of Internal Revenue</w:t>
      </w:r>
      <w:bookmarkEnd w:id="22"/>
    </w:p>
    <w:p w14:paraId="534B0D02" w14:textId="7CDB0605" w:rsidR="00F5734E" w:rsidRDefault="00F5734E" w:rsidP="0026573B">
      <w:pPr>
        <w:pStyle w:val="Rule"/>
        <w:ind w:left="0"/>
        <w:rPr>
          <w:rStyle w:val="None"/>
        </w:rPr>
      </w:pPr>
      <w:r>
        <w:rPr>
          <w:rStyle w:val="None"/>
        </w:rPr>
        <w:t>The Commissioner of Internal Revenue should be cited as “Commissioner” (abbreviated as “Comm’r” in citation</w:t>
      </w:r>
      <w:r w:rsidR="00BC719B">
        <w:rPr>
          <w:rStyle w:val="None"/>
        </w:rPr>
        <w:t xml:space="preserve"> sentences and clauses</w:t>
      </w:r>
      <w:r>
        <w:rPr>
          <w:rStyle w:val="None"/>
        </w:rPr>
        <w:t>).</w:t>
      </w:r>
    </w:p>
    <w:p w14:paraId="495C40A9" w14:textId="6624343D" w:rsidR="0026573B" w:rsidRDefault="00F5734E" w:rsidP="00932DEE">
      <w:pPr>
        <w:pStyle w:val="Example"/>
        <w:ind w:left="720"/>
        <w:rPr>
          <w:rStyle w:val="None"/>
          <w:i/>
          <w:iCs/>
        </w:rPr>
      </w:pPr>
      <w:r>
        <w:rPr>
          <w:rStyle w:val="None"/>
          <w:b/>
          <w:bCs w:val="0"/>
        </w:rPr>
        <w:t>Correct:</w:t>
      </w:r>
      <w:r>
        <w:rPr>
          <w:rStyle w:val="None"/>
        </w:rPr>
        <w:t> </w:t>
      </w:r>
      <w:r w:rsidR="0026573B">
        <w:rPr>
          <w:rStyle w:val="None"/>
        </w:rPr>
        <w:tab/>
      </w:r>
      <w:r>
        <w:rPr>
          <w:rStyle w:val="None"/>
          <w:i/>
          <w:iCs/>
        </w:rPr>
        <w:t>Plainfield-Union Water Co. v. Comm</w:t>
      </w:r>
      <w:r w:rsidR="00BC4BFF">
        <w:rPr>
          <w:rStyle w:val="None"/>
          <w:i/>
          <w:iCs/>
        </w:rPr>
        <w:t>issioner</w:t>
      </w:r>
      <w:r>
        <w:rPr>
          <w:rStyle w:val="None"/>
          <w:rFonts w:ascii="Arial Unicode MS" w:hAnsi="Arial Unicode MS" w:hint="eastAsia"/>
        </w:rPr>
        <w:br/>
      </w:r>
      <w:r>
        <w:rPr>
          <w:rStyle w:val="None"/>
          <w:b/>
          <w:bCs w:val="0"/>
        </w:rPr>
        <w:t>Incorrect:</w:t>
      </w:r>
      <w:r>
        <w:rPr>
          <w:rStyle w:val="None"/>
        </w:rPr>
        <w:t> </w:t>
      </w:r>
      <w:r w:rsidR="0026573B">
        <w:rPr>
          <w:rStyle w:val="None"/>
        </w:rPr>
        <w:tab/>
      </w:r>
      <w:r>
        <w:rPr>
          <w:rStyle w:val="None"/>
          <w:i/>
          <w:iCs/>
        </w:rPr>
        <w:t>Plainfield-Union Water Co. v. Commissioner of Internal Revenue</w:t>
      </w:r>
    </w:p>
    <w:p w14:paraId="6788E783" w14:textId="3750DE4D"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CIR</w:t>
      </w:r>
    </w:p>
    <w:p w14:paraId="0A26890D" w14:textId="346D06F7" w:rsidR="00F5734E" w:rsidRDefault="00F5734E" w:rsidP="0026573B">
      <w:pPr>
        <w:pStyle w:val="Example"/>
        <w:ind w:left="720"/>
        <w:rPr>
          <w:rStyle w:val="None"/>
          <w:i/>
          <w:iCs/>
        </w:rPr>
      </w:pPr>
      <w:r>
        <w:rPr>
          <w:rStyle w:val="None"/>
          <w:b/>
          <w:bCs w:val="0"/>
        </w:rPr>
        <w:t>Incorrect:</w:t>
      </w:r>
      <w:r>
        <w:rPr>
          <w:rStyle w:val="None"/>
        </w:rPr>
        <w:t xml:space="preserve"> </w:t>
      </w:r>
      <w:r w:rsidR="0026573B">
        <w:rPr>
          <w:rStyle w:val="None"/>
        </w:rPr>
        <w:tab/>
      </w:r>
      <w:r>
        <w:rPr>
          <w:rStyle w:val="None"/>
          <w:i/>
          <w:iCs/>
        </w:rPr>
        <w:t>Plainfield-Union Water Co. v. IRS</w:t>
      </w:r>
    </w:p>
    <w:p w14:paraId="3E7714F1" w14:textId="2275D212" w:rsidR="00F5734E" w:rsidRDefault="00F5734E" w:rsidP="0014726B">
      <w:pPr>
        <w:pStyle w:val="Body"/>
        <w:spacing w:before="150" w:after="90"/>
        <w:rPr>
          <w:rStyle w:val="None"/>
          <w:lang w:val="en-US"/>
        </w:rPr>
      </w:pPr>
    </w:p>
    <w:p w14:paraId="1D08BB68" w14:textId="6D58DD94" w:rsidR="00723052" w:rsidRDefault="00723052" w:rsidP="00616CD0">
      <w:pPr>
        <w:pStyle w:val="Heading5"/>
        <w:rPr>
          <w:rStyle w:val="None"/>
        </w:rPr>
      </w:pPr>
      <w:r>
        <w:rPr>
          <w:rStyle w:val="None"/>
        </w:rPr>
        <w:t>R11.5.1</w:t>
      </w:r>
      <w:r w:rsidR="00BC4BFF">
        <w:rPr>
          <w:rStyle w:val="None"/>
        </w:rPr>
        <w:t>4</w:t>
      </w:r>
      <w:r>
        <w:rPr>
          <w:rStyle w:val="None"/>
        </w:rPr>
        <w:tab/>
        <w:t>Unions</w:t>
      </w:r>
    </w:p>
    <w:p w14:paraId="5D305691" w14:textId="053978B2" w:rsidR="00723052" w:rsidRDefault="00381D79" w:rsidP="00BC4BFF">
      <w:pPr>
        <w:pStyle w:val="Rule"/>
        <w:ind w:left="0"/>
        <w:rPr>
          <w:rStyle w:val="None"/>
        </w:rPr>
      </w:pPr>
      <w:r>
        <w:rPr>
          <w:rStyle w:val="None"/>
        </w:rPr>
        <w:t>Generally, follow</w:t>
      </w:r>
      <w:r w:rsidR="00936B40">
        <w:rPr>
          <w:rStyle w:val="None"/>
        </w:rPr>
        <w:t xml:space="preserve"> the case name as reported</w:t>
      </w:r>
      <w:r>
        <w:rPr>
          <w:rStyle w:val="None"/>
        </w:rPr>
        <w:t xml:space="preserve">. </w:t>
      </w:r>
      <w:r w:rsidR="0096029F">
        <w:rPr>
          <w:rStyle w:val="None"/>
        </w:rPr>
        <w:t xml:space="preserve">Widely known acronyms are allowed. </w:t>
      </w:r>
      <w:r>
        <w:rPr>
          <w:rStyle w:val="None"/>
        </w:rPr>
        <w:t xml:space="preserve">But </w:t>
      </w:r>
      <w:r w:rsidR="0051316F">
        <w:rPr>
          <w:rStyle w:val="None"/>
        </w:rPr>
        <w:t>generally</w:t>
      </w:r>
      <w:r w:rsidR="00BC4BFF">
        <w:rPr>
          <w:rStyle w:val="None"/>
        </w:rPr>
        <w:t>,</w:t>
      </w:r>
      <w:r w:rsidR="0051316F">
        <w:rPr>
          <w:rStyle w:val="None"/>
        </w:rPr>
        <w:t xml:space="preserve"> omit</w:t>
      </w:r>
      <w:r>
        <w:rPr>
          <w:rStyle w:val="None"/>
        </w:rPr>
        <w:t xml:space="preserve"> additional information after the first full </w:t>
      </w:r>
      <w:r w:rsidR="0096029F">
        <w:rPr>
          <w:rStyle w:val="None"/>
        </w:rPr>
        <w:t>union designation.</w:t>
      </w:r>
    </w:p>
    <w:p w14:paraId="7964B2C7" w14:textId="34EEA679" w:rsidR="0096029F" w:rsidRPr="0058654E" w:rsidRDefault="0096029F" w:rsidP="00BC4BFF">
      <w:pPr>
        <w:pStyle w:val="Example"/>
        <w:ind w:left="720"/>
        <w:rPr>
          <w:rStyle w:val="None"/>
          <w:i/>
          <w:iCs/>
        </w:rPr>
      </w:pPr>
      <w:r>
        <w:rPr>
          <w:rStyle w:val="None"/>
          <w:b/>
          <w:bCs w:val="0"/>
        </w:rPr>
        <w:t>Correct:</w:t>
      </w:r>
      <w:r w:rsidR="0058654E">
        <w:rPr>
          <w:rStyle w:val="None"/>
          <w:b/>
          <w:bCs w:val="0"/>
        </w:rPr>
        <w:tab/>
      </w:r>
      <w:r w:rsidR="0058654E">
        <w:rPr>
          <w:rStyle w:val="None"/>
          <w:i/>
          <w:iCs/>
        </w:rPr>
        <w:t>Union Pacific R</w:t>
      </w:r>
      <w:r w:rsidR="00F927E7">
        <w:rPr>
          <w:rStyle w:val="None"/>
          <w:i/>
          <w:iCs/>
        </w:rPr>
        <w:t>ailroad</w:t>
      </w:r>
      <w:r w:rsidR="001262D6">
        <w:rPr>
          <w:rStyle w:val="None"/>
          <w:i/>
          <w:iCs/>
        </w:rPr>
        <w:t xml:space="preserve"> Co. v. Brotherhood of Locomotive</w:t>
      </w:r>
      <w:r w:rsidR="00FE2E72">
        <w:rPr>
          <w:rStyle w:val="None"/>
          <w:i/>
          <w:iCs/>
        </w:rPr>
        <w:t xml:space="preserve"> </w:t>
      </w:r>
      <w:r w:rsidR="00F927E7">
        <w:rPr>
          <w:rStyle w:val="None"/>
          <w:i/>
          <w:iCs/>
        </w:rPr>
        <w:t>Engineers</w:t>
      </w:r>
    </w:p>
    <w:p w14:paraId="4575B698" w14:textId="2FEEE343" w:rsidR="0096029F" w:rsidRPr="00CD2CF7" w:rsidRDefault="0096029F" w:rsidP="00BC4BFF">
      <w:pPr>
        <w:pStyle w:val="Example"/>
        <w:ind w:left="720"/>
        <w:rPr>
          <w:rStyle w:val="None"/>
          <w:i/>
          <w:iCs/>
        </w:rPr>
      </w:pPr>
      <w:r>
        <w:rPr>
          <w:rStyle w:val="None"/>
          <w:b/>
          <w:bCs w:val="0"/>
        </w:rPr>
        <w:t>Incorrect:</w:t>
      </w:r>
      <w:r w:rsidR="00CD2CF7">
        <w:rPr>
          <w:rStyle w:val="None"/>
          <w:b/>
          <w:bCs w:val="0"/>
        </w:rPr>
        <w:tab/>
      </w:r>
      <w:r w:rsidR="00CD2CF7">
        <w:rPr>
          <w:rStyle w:val="None"/>
          <w:i/>
          <w:iCs/>
        </w:rPr>
        <w:t xml:space="preserve">Union Pacific </w:t>
      </w:r>
      <w:proofErr w:type="spellStart"/>
      <w:r w:rsidR="00CD2CF7">
        <w:rPr>
          <w:rStyle w:val="None"/>
          <w:i/>
          <w:iCs/>
        </w:rPr>
        <w:t>R</w:t>
      </w:r>
      <w:r w:rsidR="00F927E7">
        <w:rPr>
          <w:rStyle w:val="None"/>
          <w:i/>
          <w:iCs/>
        </w:rPr>
        <w:t>ailrod</w:t>
      </w:r>
      <w:proofErr w:type="spellEnd"/>
      <w:r w:rsidR="00CD2CF7">
        <w:rPr>
          <w:rStyle w:val="None"/>
          <w:i/>
          <w:iCs/>
        </w:rPr>
        <w:t xml:space="preserve"> Co. v. Brotherhood of Locomotive </w:t>
      </w:r>
      <w:r w:rsidR="00F927E7">
        <w:rPr>
          <w:rStyle w:val="None"/>
          <w:i/>
          <w:iCs/>
        </w:rPr>
        <w:t>Engineers</w:t>
      </w:r>
      <w:r w:rsidR="00CD2CF7">
        <w:rPr>
          <w:rStyle w:val="None"/>
          <w:i/>
          <w:iCs/>
        </w:rPr>
        <w:t xml:space="preserve"> and Trainmen, </w:t>
      </w:r>
      <w:r w:rsidR="00F927E7">
        <w:rPr>
          <w:rStyle w:val="None"/>
          <w:i/>
          <w:iCs/>
        </w:rPr>
        <w:t>General</w:t>
      </w:r>
      <w:r w:rsidR="00082F37">
        <w:rPr>
          <w:rStyle w:val="None"/>
          <w:i/>
          <w:iCs/>
        </w:rPr>
        <w:t xml:space="preserve"> Comm</w:t>
      </w:r>
      <w:r w:rsidR="00F927E7">
        <w:rPr>
          <w:rStyle w:val="None"/>
          <w:i/>
          <w:iCs/>
        </w:rPr>
        <w:t>ittee</w:t>
      </w:r>
      <w:r w:rsidR="00082F37">
        <w:rPr>
          <w:rStyle w:val="None"/>
          <w:i/>
          <w:iCs/>
        </w:rPr>
        <w:t xml:space="preserve"> of Adjustment, </w:t>
      </w:r>
      <w:r w:rsidR="00F927E7">
        <w:rPr>
          <w:rStyle w:val="None"/>
          <w:i/>
          <w:iCs/>
        </w:rPr>
        <w:t>Central Region</w:t>
      </w:r>
    </w:p>
    <w:p w14:paraId="4DE84E7A" w14:textId="64178D36" w:rsidR="00381D79" w:rsidRDefault="00381D79" w:rsidP="0014726B">
      <w:pPr>
        <w:pStyle w:val="Body"/>
        <w:spacing w:before="150" w:after="90"/>
        <w:rPr>
          <w:rStyle w:val="None"/>
          <w:lang w:val="en-US"/>
        </w:rPr>
      </w:pPr>
    </w:p>
    <w:p w14:paraId="76914A39" w14:textId="77777777" w:rsidR="00381D79" w:rsidRDefault="00381D79" w:rsidP="0014726B">
      <w:pPr>
        <w:pStyle w:val="Body"/>
        <w:spacing w:before="150" w:after="90"/>
        <w:rPr>
          <w:rStyle w:val="None"/>
          <w:lang w:val="en-US"/>
        </w:rPr>
      </w:pPr>
    </w:p>
    <w:p w14:paraId="796B32B2" w14:textId="36DFC828" w:rsidR="00F5734E" w:rsidRDefault="00F5734E" w:rsidP="00616CD0">
      <w:pPr>
        <w:pStyle w:val="Heading5"/>
        <w:rPr>
          <w:rStyle w:val="None"/>
        </w:rPr>
      </w:pPr>
      <w:bookmarkStart w:id="23" w:name="_Toc78928049"/>
      <w:r>
        <w:rPr>
          <w:rStyle w:val="None"/>
        </w:rPr>
        <w:t>R11.5.1</w:t>
      </w:r>
      <w:r w:rsidR="00BC4BFF">
        <w:rPr>
          <w:rStyle w:val="None"/>
        </w:rPr>
        <w:t>5</w:t>
      </w:r>
      <w:r>
        <w:rPr>
          <w:rStyle w:val="None"/>
        </w:rPr>
        <w:tab/>
        <w:t>Multiple dispositions</w:t>
      </w:r>
      <w:bookmarkEnd w:id="23"/>
    </w:p>
    <w:p w14:paraId="2084CC01" w14:textId="77777777" w:rsidR="00F5734E" w:rsidRDefault="00F5734E" w:rsidP="0014726B">
      <w:pPr>
        <w:pStyle w:val="Rule"/>
        <w:ind w:left="0"/>
        <w:rPr>
          <w:rStyle w:val="None"/>
        </w:rPr>
      </w:pPr>
      <w:r>
        <w:rPr>
          <w:rStyle w:val="None"/>
        </w:rPr>
        <w:t>For cases with multiple dispositions, include an italicized identifier if useful. In subsequent references to or citations of that case, the identifier can replace the full case name.</w:t>
      </w:r>
    </w:p>
    <w:p w14:paraId="21930739" w14:textId="77777777" w:rsidR="00F5734E" w:rsidRDefault="00F5734E" w:rsidP="005A0AFE">
      <w:pPr>
        <w:pStyle w:val="Example"/>
        <w:ind w:left="720"/>
        <w:rPr>
          <w:rStyle w:val="None"/>
        </w:rPr>
      </w:pPr>
      <w:r>
        <w:rPr>
          <w:rStyle w:val="None"/>
          <w:b/>
          <w:bCs w:val="0"/>
        </w:rPr>
        <w:t>Examples:</w:t>
      </w:r>
      <w:r>
        <w:rPr>
          <w:rStyle w:val="None"/>
        </w:rPr>
        <w:t> </w:t>
      </w:r>
    </w:p>
    <w:p w14:paraId="2088ECC7" w14:textId="77777777" w:rsidR="00F5734E" w:rsidRDefault="00F5734E" w:rsidP="005A0AFE">
      <w:pPr>
        <w:pStyle w:val="Example"/>
        <w:ind w:left="720"/>
        <w:rPr>
          <w:rStyle w:val="None"/>
        </w:rPr>
      </w:pPr>
      <w:r>
        <w:rPr>
          <w:rStyle w:val="None"/>
          <w:i/>
          <w:iCs/>
        </w:rPr>
        <w:t>Liriano v. Hobart Corp. </w:t>
      </w:r>
      <w:r>
        <w:rPr>
          <w:rStyle w:val="None"/>
        </w:rPr>
        <w:t>(</w:t>
      </w:r>
      <w:r>
        <w:rPr>
          <w:rStyle w:val="None"/>
          <w:i/>
          <w:iCs/>
        </w:rPr>
        <w:t>Liriano II</w:t>
      </w:r>
      <w:r>
        <w:rPr>
          <w:rStyle w:val="None"/>
        </w:rPr>
        <w:t>), 92 N.Y.2d 232 (1998).</w:t>
      </w:r>
    </w:p>
    <w:p w14:paraId="3FF04451" w14:textId="77777777" w:rsidR="00F5734E" w:rsidRDefault="00F5734E" w:rsidP="005A0AFE">
      <w:pPr>
        <w:pStyle w:val="Example"/>
        <w:ind w:left="720"/>
        <w:rPr>
          <w:rStyle w:val="None"/>
        </w:rPr>
      </w:pPr>
      <w:r>
        <w:rPr>
          <w:rStyle w:val="None"/>
          <w:i/>
          <w:iCs/>
        </w:rPr>
        <w:t>Liriano v. Hobart Corp. </w:t>
      </w:r>
      <w:r>
        <w:rPr>
          <w:rStyle w:val="None"/>
        </w:rPr>
        <w:t>(</w:t>
      </w:r>
      <w:proofErr w:type="spellStart"/>
      <w:r>
        <w:rPr>
          <w:rStyle w:val="None"/>
          <w:i/>
          <w:iCs/>
        </w:rPr>
        <w:t>Liraino</w:t>
      </w:r>
      <w:proofErr w:type="spellEnd"/>
      <w:r>
        <w:rPr>
          <w:rStyle w:val="None"/>
          <w:i/>
          <w:iCs/>
        </w:rPr>
        <w:t xml:space="preserve"> III</w:t>
      </w:r>
      <w:r>
        <w:rPr>
          <w:rStyle w:val="None"/>
        </w:rPr>
        <w:t>), 170 F.3d 264, 266 (2d Cir. 1999) (citing </w:t>
      </w:r>
      <w:r>
        <w:rPr>
          <w:rStyle w:val="None"/>
          <w:i/>
          <w:iCs/>
        </w:rPr>
        <w:t>Liriano II</w:t>
      </w:r>
      <w:r>
        <w:rPr>
          <w:rStyle w:val="None"/>
        </w:rPr>
        <w:t>, 92 N.Y.2d at 236–37).</w:t>
      </w:r>
    </w:p>
    <w:p w14:paraId="7F79AFD6" w14:textId="77777777" w:rsidR="00F5734E" w:rsidRDefault="00F5734E" w:rsidP="00F5734E">
      <w:pPr>
        <w:pStyle w:val="Body"/>
        <w:spacing w:before="150" w:after="90"/>
        <w:ind w:left="1680"/>
        <w:rPr>
          <w:rStyle w:val="None"/>
          <w:lang w:val="en-US"/>
        </w:rPr>
      </w:pPr>
    </w:p>
    <w:p w14:paraId="7A5BB1D4" w14:textId="3EA22DBD" w:rsidR="00F5734E" w:rsidRDefault="00F5734E" w:rsidP="00616CD0">
      <w:pPr>
        <w:pStyle w:val="Heading5"/>
        <w:rPr>
          <w:rStyle w:val="None"/>
        </w:rPr>
      </w:pPr>
      <w:bookmarkStart w:id="24" w:name="_Toc78928050"/>
      <w:r>
        <w:rPr>
          <w:rStyle w:val="None"/>
        </w:rPr>
        <w:t>R11.5.1</w:t>
      </w:r>
      <w:r w:rsidR="00BC4BFF">
        <w:rPr>
          <w:rStyle w:val="None"/>
        </w:rPr>
        <w:t>6</w:t>
      </w:r>
      <w:r>
        <w:rPr>
          <w:rStyle w:val="None"/>
        </w:rPr>
        <w:tab/>
        <w:t>Mandamus</w:t>
      </w:r>
      <w:bookmarkEnd w:id="24"/>
    </w:p>
    <w:p w14:paraId="2AC2136B" w14:textId="77777777" w:rsidR="00F5734E" w:rsidRDefault="00F5734E" w:rsidP="00DD3D75">
      <w:pPr>
        <w:pStyle w:val="Rule"/>
        <w:ind w:left="0"/>
        <w:rPr>
          <w:rStyle w:val="None"/>
        </w:rPr>
      </w:pPr>
      <w:r>
        <w:rPr>
          <w:rStyle w:val="None"/>
        </w:rPr>
        <w:t>If a mandamus action is known by the name of the judge against whom the writ is sought, that name can be indicated in an italicized parenthetical.</w:t>
      </w:r>
    </w:p>
    <w:p w14:paraId="726FBE05" w14:textId="77777777" w:rsidR="00F5734E" w:rsidRDefault="00F5734E" w:rsidP="00DD3D75">
      <w:pPr>
        <w:pStyle w:val="Example"/>
        <w:ind w:left="720"/>
        <w:rPr>
          <w:rStyle w:val="None"/>
        </w:rPr>
      </w:pPr>
      <w:r>
        <w:rPr>
          <w:rStyle w:val="None"/>
          <w:b/>
          <w:bCs w:val="0"/>
        </w:rPr>
        <w:t>Example:</w:t>
      </w:r>
      <w:r>
        <w:rPr>
          <w:rStyle w:val="None"/>
        </w:rPr>
        <w:t> </w:t>
      </w:r>
    </w:p>
    <w:p w14:paraId="43D9B0F7" w14:textId="7FC6D75B" w:rsidR="00F5734E" w:rsidRDefault="00F5734E" w:rsidP="00DD3D75">
      <w:pPr>
        <w:pStyle w:val="Example"/>
        <w:ind w:left="720"/>
        <w:rPr>
          <w:rStyle w:val="None"/>
        </w:rPr>
      </w:pPr>
      <w:r>
        <w:rPr>
          <w:rStyle w:val="None"/>
          <w:i/>
          <w:iCs/>
        </w:rPr>
        <w:t xml:space="preserve">Jones v. </w:t>
      </w:r>
      <w:r w:rsidR="00515FB7">
        <w:rPr>
          <w:rStyle w:val="None"/>
          <w:i/>
          <w:iCs/>
        </w:rPr>
        <w:t>U.S.</w:t>
      </w:r>
      <w:r>
        <w:rPr>
          <w:rStyle w:val="None"/>
          <w:i/>
          <w:iCs/>
        </w:rPr>
        <w:t xml:space="preserve"> District Court (Smith)</w:t>
      </w:r>
      <w:r>
        <w:rPr>
          <w:rStyle w:val="None"/>
        </w:rPr>
        <w:t>, 89 U.S. 233 (2011).</w:t>
      </w:r>
    </w:p>
    <w:p w14:paraId="1166C3FB" w14:textId="77777777" w:rsidR="00F5734E" w:rsidRDefault="00F5734E" w:rsidP="00F5734E">
      <w:pPr>
        <w:pStyle w:val="Body"/>
        <w:spacing w:before="150" w:after="90"/>
        <w:ind w:left="1680"/>
        <w:rPr>
          <w:rStyle w:val="None"/>
          <w:lang w:val="en-US"/>
        </w:rPr>
      </w:pPr>
    </w:p>
    <w:p w14:paraId="2E793C44" w14:textId="125083FC" w:rsidR="00F5734E" w:rsidRDefault="00F5734E" w:rsidP="00616CD0">
      <w:pPr>
        <w:pStyle w:val="Heading5"/>
        <w:rPr>
          <w:rStyle w:val="None"/>
        </w:rPr>
      </w:pPr>
      <w:bookmarkStart w:id="25" w:name="_Toc78928051"/>
      <w:r>
        <w:rPr>
          <w:rStyle w:val="None"/>
        </w:rPr>
        <w:t>R11.5.1</w:t>
      </w:r>
      <w:r w:rsidR="00BC4BFF">
        <w:rPr>
          <w:rStyle w:val="None"/>
        </w:rPr>
        <w:t>7</w:t>
      </w:r>
      <w:r>
        <w:rPr>
          <w:rStyle w:val="None"/>
        </w:rPr>
        <w:tab/>
        <w:t>Cases known by a distinct name</w:t>
      </w:r>
      <w:bookmarkEnd w:id="25"/>
      <w:r>
        <w:rPr>
          <w:rStyle w:val="None"/>
        </w:rPr>
        <w:t xml:space="preserve"> </w:t>
      </w:r>
    </w:p>
    <w:p w14:paraId="7C09CC80" w14:textId="77777777" w:rsidR="00F5734E" w:rsidRDefault="00F5734E" w:rsidP="00DD3D75">
      <w:pPr>
        <w:pStyle w:val="Rule"/>
        <w:ind w:left="0"/>
        <w:rPr>
          <w:rStyle w:val="None"/>
        </w:rPr>
      </w:pPr>
      <w:r>
        <w:rPr>
          <w:rStyle w:val="None"/>
        </w:rPr>
        <w:t>If a case is known both by the reported name and a distinct short form name, always include the reported name in a full citation. The short name may be included in italics in a parenthetical.</w:t>
      </w:r>
    </w:p>
    <w:p w14:paraId="1EF73580" w14:textId="77777777" w:rsidR="00F5734E" w:rsidRDefault="00F5734E" w:rsidP="00E5265C">
      <w:pPr>
        <w:pStyle w:val="Example"/>
        <w:ind w:left="720"/>
        <w:rPr>
          <w:rStyle w:val="None"/>
        </w:rPr>
      </w:pPr>
      <w:r>
        <w:rPr>
          <w:rStyle w:val="None"/>
          <w:b/>
          <w:bCs w:val="0"/>
        </w:rPr>
        <w:t>Example:</w:t>
      </w:r>
      <w:r>
        <w:rPr>
          <w:rStyle w:val="None"/>
        </w:rPr>
        <w:t> </w:t>
      </w:r>
    </w:p>
    <w:p w14:paraId="0CCC31AA" w14:textId="5B304B0D" w:rsidR="00F5734E" w:rsidRDefault="00F5734E" w:rsidP="00E5265C">
      <w:pPr>
        <w:pStyle w:val="Example"/>
        <w:ind w:left="720"/>
        <w:rPr>
          <w:rStyle w:val="None"/>
        </w:rPr>
      </w:pPr>
      <w:r>
        <w:rPr>
          <w:rStyle w:val="None"/>
          <w:i/>
          <w:iCs/>
        </w:rPr>
        <w:t>Indus</w:t>
      </w:r>
      <w:r w:rsidR="001D1A4D">
        <w:rPr>
          <w:rStyle w:val="None"/>
          <w:i/>
          <w:iCs/>
        </w:rPr>
        <w:t>trial</w:t>
      </w:r>
      <w:r>
        <w:rPr>
          <w:rStyle w:val="None"/>
          <w:i/>
          <w:iCs/>
        </w:rPr>
        <w:t xml:space="preserve"> Union Dep</w:t>
      </w:r>
      <w:r w:rsidR="001D1A4D">
        <w:rPr>
          <w:rStyle w:val="None"/>
          <w:i/>
          <w:iCs/>
        </w:rPr>
        <w:t>artment</w:t>
      </w:r>
      <w:r>
        <w:rPr>
          <w:rStyle w:val="None"/>
          <w:i/>
          <w:iCs/>
        </w:rPr>
        <w:t>, AFL-CIO v. A</w:t>
      </w:r>
      <w:r w:rsidR="001D1A4D">
        <w:rPr>
          <w:rStyle w:val="None"/>
          <w:i/>
          <w:iCs/>
        </w:rPr>
        <w:t>merican</w:t>
      </w:r>
      <w:r>
        <w:rPr>
          <w:rStyle w:val="None"/>
          <w:i/>
          <w:iCs/>
        </w:rPr>
        <w:t xml:space="preserve"> Petroleum Ins</w:t>
      </w:r>
      <w:r w:rsidR="001D1A4D">
        <w:rPr>
          <w:rStyle w:val="None"/>
          <w:i/>
          <w:iCs/>
        </w:rPr>
        <w:t>titute</w:t>
      </w:r>
      <w:r>
        <w:rPr>
          <w:rStyle w:val="None"/>
          <w:i/>
          <w:iCs/>
        </w:rPr>
        <w:t xml:space="preserve"> (The Benzene Case)</w:t>
      </w:r>
    </w:p>
    <w:p w14:paraId="109A0926" w14:textId="5202061C" w:rsidR="00F5734E" w:rsidRDefault="00F5734E" w:rsidP="00E5265C">
      <w:pPr>
        <w:pStyle w:val="Example"/>
        <w:rPr>
          <w:rStyle w:val="None"/>
        </w:rPr>
      </w:pPr>
    </w:p>
    <w:p w14:paraId="48C576C8" w14:textId="77777777" w:rsidR="00C13095" w:rsidRDefault="00C13095" w:rsidP="00F5734E">
      <w:pPr>
        <w:pStyle w:val="Body"/>
        <w:rPr>
          <w:rStyle w:val="None"/>
          <w:smallCaps/>
          <w:color w:val="5A5A5A"/>
          <w:lang w:val="en-US"/>
        </w:rPr>
      </w:pPr>
    </w:p>
    <w:p w14:paraId="14745721" w14:textId="77777777" w:rsidR="00F5734E" w:rsidRDefault="00F5734E" w:rsidP="00E5265C">
      <w:pPr>
        <w:pStyle w:val="InklingTitle"/>
      </w:pPr>
      <w:r>
        <w:t>Indigo Inkling</w:t>
      </w:r>
    </w:p>
    <w:p w14:paraId="4E3F367F" w14:textId="77777777" w:rsidR="00F5734E" w:rsidRDefault="00F5734E" w:rsidP="00F5734E"/>
    <w:p w14:paraId="70EB8D5A" w14:textId="0891B4AA" w:rsidR="00E5265C" w:rsidRPr="000D5152" w:rsidRDefault="00F5734E" w:rsidP="000D5152">
      <w:pPr>
        <w:pStyle w:val="Inkling"/>
      </w:pPr>
      <w:r>
        <w:t xml:space="preserve">There are multiple ways to incorporate a case citation in the text of an article, brief, or other written work. In the example below, the case name is stated in the text and the rest of the citation is included as a separate sentence. </w:t>
      </w:r>
    </w:p>
    <w:p w14:paraId="2294E915" w14:textId="77777777" w:rsidR="00E5265C" w:rsidRDefault="00E5265C" w:rsidP="00E5265C">
      <w:pPr>
        <w:pStyle w:val="Inkling"/>
        <w:ind w:left="720"/>
        <w:rPr>
          <w:b/>
          <w:bCs/>
        </w:rPr>
      </w:pPr>
    </w:p>
    <w:p w14:paraId="4735CAF5" w14:textId="45BE9A5A" w:rsidR="00F5734E" w:rsidRDefault="00F5734E" w:rsidP="00E5265C">
      <w:pPr>
        <w:pStyle w:val="Inkling"/>
        <w:ind w:left="720"/>
      </w:pPr>
      <w:r>
        <w:t>In </w:t>
      </w:r>
      <w:r>
        <w:rPr>
          <w:i/>
          <w:iCs/>
        </w:rPr>
        <w:t>McDonnell Douglas Corp. v. Green</w:t>
      </w:r>
      <w:r>
        <w:t>, the Supreme Court held that in a disparate treatment case, the plaintiff bears the initial burden of establishing a prima facie case of employment discrimination. 411 U.S. 792 (1973)</w:t>
      </w:r>
      <w:r w:rsidR="00E5265C">
        <w:t>.</w:t>
      </w:r>
    </w:p>
    <w:p w14:paraId="75B7ECC5" w14:textId="77777777" w:rsidR="00F5734E" w:rsidRDefault="00F5734E" w:rsidP="00E5265C">
      <w:pPr>
        <w:pStyle w:val="Inkling"/>
      </w:pPr>
    </w:p>
    <w:p w14:paraId="02705C2F" w14:textId="2FC31BC7" w:rsidR="000D5152" w:rsidRDefault="00F5734E" w:rsidP="00E5265C">
      <w:pPr>
        <w:pStyle w:val="Inkling"/>
      </w:pPr>
      <w:r>
        <w:t>Alternatively, one can include the entire citation in-text as follows:</w:t>
      </w:r>
    </w:p>
    <w:p w14:paraId="0B79431E" w14:textId="77777777" w:rsidR="000D5152" w:rsidRDefault="000D5152" w:rsidP="000D5152">
      <w:pPr>
        <w:pStyle w:val="Inkling"/>
        <w:ind w:left="720"/>
      </w:pPr>
    </w:p>
    <w:p w14:paraId="15633945" w14:textId="03450FBC" w:rsidR="00F5734E" w:rsidRDefault="00F5734E" w:rsidP="000D5152">
      <w:pPr>
        <w:pStyle w:val="Inkling"/>
        <w:ind w:left="720"/>
      </w:pPr>
      <w:r>
        <w:t>In </w:t>
      </w:r>
      <w:r>
        <w:rPr>
          <w:i/>
          <w:iCs/>
        </w:rPr>
        <w:t>McDonnell Douglas Corp. v. Green</w:t>
      </w:r>
      <w:r>
        <w:t>, 411 U.S. 792 (1973), the Supreme Court held that in a disparate treatment case, the plaintiff bears the initial burden of establishing a prima facie case of employment discrimination.</w:t>
      </w:r>
    </w:p>
    <w:p w14:paraId="1A98BE0C" w14:textId="77777777" w:rsidR="00F5734E" w:rsidRDefault="00F5734E" w:rsidP="00E5265C">
      <w:pPr>
        <w:pStyle w:val="Inkling"/>
      </w:pPr>
    </w:p>
    <w:p w14:paraId="70BF8BC0" w14:textId="77777777" w:rsidR="00F5734E" w:rsidRDefault="00F5734E" w:rsidP="00E5265C">
      <w:pPr>
        <w:pStyle w:val="Inkling"/>
      </w:pPr>
      <w:r>
        <w:t>There is no strict rule here, so choose whichever method will be clearer to the reader.</w:t>
      </w:r>
    </w:p>
    <w:p w14:paraId="7F614A32" w14:textId="77777777" w:rsidR="00F5734E" w:rsidRDefault="00F5734E" w:rsidP="00F5734E"/>
    <w:p w14:paraId="52684D55" w14:textId="77777777" w:rsidR="00F5734E" w:rsidRDefault="00F5734E" w:rsidP="00F5734E"/>
    <w:p w14:paraId="066BA8BF" w14:textId="32C8968C" w:rsidR="00F5734E" w:rsidRPr="00277B1F" w:rsidRDefault="00F5734E" w:rsidP="00616CD0">
      <w:pPr>
        <w:pStyle w:val="Heading4"/>
        <w:rPr>
          <w:rStyle w:val="None"/>
          <w:i/>
          <w:iCs/>
        </w:rPr>
      </w:pPr>
      <w:r w:rsidRPr="00277B1F">
        <w:rPr>
          <w:rStyle w:val="None"/>
        </w:rPr>
        <w:t>R11.6</w:t>
      </w:r>
      <w:r w:rsidRPr="00277B1F">
        <w:rPr>
          <w:rStyle w:val="None"/>
        </w:rPr>
        <w:tab/>
      </w:r>
      <w:r w:rsidRPr="00277B1F">
        <w:rPr>
          <w:rStyle w:val="None"/>
        </w:rPr>
        <w:tab/>
        <w:t xml:space="preserve">Volume Number, Reporter, First </w:t>
      </w:r>
      <w:r w:rsidR="00B43C8F">
        <w:rPr>
          <w:rStyle w:val="None"/>
        </w:rPr>
        <w:t>P</w:t>
      </w:r>
      <w:r w:rsidRPr="00277B1F">
        <w:rPr>
          <w:rStyle w:val="None"/>
        </w:rPr>
        <w:t>age</w:t>
      </w:r>
    </w:p>
    <w:p w14:paraId="6B356C52" w14:textId="77777777" w:rsidR="00F5734E" w:rsidRDefault="00F5734E" w:rsidP="007C703F">
      <w:pPr>
        <w:pStyle w:val="Rule"/>
        <w:ind w:left="0"/>
      </w:pPr>
      <w:r>
        <w:rPr>
          <w:rStyle w:val="None"/>
        </w:rPr>
        <w:t>The citation should include the volume number of the reporter, the abbreviated name of the reporter, and the first page of the case in that reporter.</w:t>
      </w:r>
    </w:p>
    <w:p w14:paraId="7B8963D2" w14:textId="77777777" w:rsidR="00F5734E" w:rsidRDefault="00F5734E" w:rsidP="00F376E1">
      <w:pPr>
        <w:pStyle w:val="Example"/>
        <w:ind w:left="720"/>
        <w:rPr>
          <w:rStyle w:val="None"/>
        </w:rPr>
      </w:pPr>
      <w:r>
        <w:rPr>
          <w:rStyle w:val="None"/>
          <w:b/>
          <w:bCs w:val="0"/>
        </w:rPr>
        <w:t>Example:</w:t>
      </w:r>
      <w:r>
        <w:rPr>
          <w:rStyle w:val="None"/>
        </w:rPr>
        <w:t> </w:t>
      </w:r>
    </w:p>
    <w:p w14:paraId="60C76DFE" w14:textId="340EA0D1" w:rsidR="00F5734E" w:rsidRDefault="00F5734E" w:rsidP="00F376E1">
      <w:pPr>
        <w:pStyle w:val="Example"/>
        <w:ind w:left="720"/>
        <w:rPr>
          <w:rStyle w:val="None"/>
        </w:rPr>
      </w:pPr>
      <w:r>
        <w:rPr>
          <w:rStyle w:val="None"/>
          <w:i/>
          <w:iCs/>
        </w:rPr>
        <w:t>Terrible v. Terrible</w:t>
      </w:r>
      <w:r>
        <w:rPr>
          <w:rStyle w:val="None"/>
        </w:rPr>
        <w:t>, 534 P.2d 919 (Nev. 1975)</w:t>
      </w:r>
      <w:r w:rsidR="007C703F">
        <w:rPr>
          <w:rStyle w:val="None"/>
        </w:rPr>
        <w:t>.</w:t>
      </w:r>
    </w:p>
    <w:p w14:paraId="5DD3891B" w14:textId="77777777" w:rsidR="00F5734E" w:rsidRDefault="00F5734E" w:rsidP="00F5734E">
      <w:pPr>
        <w:pStyle w:val="Body"/>
        <w:tabs>
          <w:tab w:val="left" w:pos="1440"/>
        </w:tabs>
        <w:spacing w:before="150" w:after="90"/>
        <w:ind w:left="1080"/>
        <w:rPr>
          <w:rStyle w:val="None"/>
          <w:lang w:val="en-US"/>
        </w:rPr>
      </w:pPr>
    </w:p>
    <w:p w14:paraId="173FB6DD" w14:textId="50A18A98" w:rsidR="00F5734E" w:rsidRPr="00F376E1" w:rsidRDefault="00F5734E" w:rsidP="00616CD0">
      <w:pPr>
        <w:pStyle w:val="Heading5"/>
        <w:rPr>
          <w:rStyle w:val="None"/>
        </w:rPr>
      </w:pPr>
      <w:r w:rsidRPr="00F376E1">
        <w:rPr>
          <w:rStyle w:val="None"/>
        </w:rPr>
        <w:t>R11.6.1</w:t>
      </w:r>
      <w:r w:rsidRPr="00F376E1">
        <w:rPr>
          <w:rStyle w:val="None"/>
        </w:rPr>
        <w:tab/>
      </w:r>
      <w:r w:rsidR="00865748">
        <w:rPr>
          <w:rStyle w:val="None"/>
        </w:rPr>
        <w:t>Overview of volumes, reporters, and pages</w:t>
      </w:r>
    </w:p>
    <w:p w14:paraId="0256FEE7" w14:textId="5ABA8603" w:rsidR="00F5734E" w:rsidRDefault="00865748" w:rsidP="00277B1F">
      <w:pPr>
        <w:pStyle w:val="Rule"/>
        <w:ind w:left="0"/>
        <w:rPr>
          <w:rStyle w:val="None"/>
        </w:rPr>
      </w:pPr>
      <w:r>
        <w:rPr>
          <w:rStyle w:val="None"/>
        </w:rPr>
        <w:t xml:space="preserve">This table provides an overview </w:t>
      </w:r>
      <w:r w:rsidR="00124323">
        <w:rPr>
          <w:rStyle w:val="None"/>
        </w:rPr>
        <w:t xml:space="preserve">of federal and state citations, with the citation given at left and the full corresponding volume, reporter, and page number at right. </w:t>
      </w:r>
      <w:r w:rsidR="00FD4C96">
        <w:rPr>
          <w:rStyle w:val="None"/>
        </w:rPr>
        <w:t>Imagine books on the shelf with the name of the reporter and volume number shown on the book’s spine. Open that volume to the page given, to find the beginning of the case.</w:t>
      </w:r>
    </w:p>
    <w:p w14:paraId="5E7D8363" w14:textId="77777777" w:rsidR="00F5734E" w:rsidRDefault="00F5734E" w:rsidP="00F5734E">
      <w:pPr>
        <w:pStyle w:val="Body"/>
        <w:spacing w:line="360" w:lineRule="atLeast"/>
        <w:ind w:left="840"/>
        <w:rPr>
          <w:rStyle w:val="None"/>
          <w:lang w:val="en-US"/>
        </w:rPr>
      </w:pP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2193"/>
        <w:gridCol w:w="9122"/>
      </w:tblGrid>
      <w:tr w:rsidR="00F5734E" w14:paraId="6401EABB" w14:textId="77777777" w:rsidTr="00F5734E">
        <w:trPr>
          <w:trHeight w:val="235"/>
          <w:tblHeader/>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vAlign w:val="bottom"/>
            <w:hideMark/>
          </w:tcPr>
          <w:p w14:paraId="102651E6" w14:textId="77777777" w:rsidR="00F5734E" w:rsidRDefault="00F5734E">
            <w:pPr>
              <w:pStyle w:val="Body"/>
              <w:spacing w:before="180" w:after="180" w:line="220" w:lineRule="atLeast"/>
            </w:pPr>
            <w:r>
              <w:rPr>
                <w:rStyle w:val="None"/>
                <w:b/>
                <w:bCs/>
                <w:sz w:val="20"/>
                <w:szCs w:val="20"/>
                <w:lang w:val="en-US"/>
              </w:rPr>
              <w:t>Citation</w:t>
            </w:r>
          </w:p>
        </w:tc>
        <w:tc>
          <w:tcPr>
            <w:tcW w:w="9122"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2920A25F" w14:textId="77777777" w:rsidR="00F5734E" w:rsidRDefault="00F5734E">
            <w:pPr>
              <w:pStyle w:val="Body"/>
              <w:spacing w:before="180" w:after="180" w:line="220" w:lineRule="atLeast"/>
              <w:rPr>
                <w:lang w:val="en-US"/>
              </w:rPr>
            </w:pPr>
            <w:r>
              <w:rPr>
                <w:rStyle w:val="None"/>
                <w:b/>
                <w:bCs/>
                <w:sz w:val="20"/>
                <w:szCs w:val="20"/>
                <w:lang w:val="en-US"/>
              </w:rPr>
              <w:t>Reporter</w:t>
            </w:r>
          </w:p>
        </w:tc>
      </w:tr>
      <w:tr w:rsidR="00F5734E" w14:paraId="28CFBE27"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896E811" w14:textId="77777777" w:rsidR="00F5734E" w:rsidRDefault="00F5734E" w:rsidP="001B0924">
            <w:pPr>
              <w:pStyle w:val="Body"/>
              <w:spacing w:after="240" w:line="220" w:lineRule="atLeast"/>
              <w:rPr>
                <w:lang w:val="en-US"/>
              </w:rPr>
            </w:pPr>
            <w:r>
              <w:rPr>
                <w:rStyle w:val="None"/>
                <w:i/>
                <w:iCs/>
                <w:sz w:val="20"/>
                <w:szCs w:val="20"/>
                <w:lang w:val="en-US"/>
              </w:rPr>
              <w:t>Demosthenes v. Baal</w:t>
            </w:r>
            <w:r>
              <w:rPr>
                <w:rStyle w:val="None"/>
                <w:sz w:val="20"/>
                <w:szCs w:val="20"/>
                <w:lang w:val="en-US"/>
              </w:rPr>
              <w:t>, 495 U.S. 731 (1990).</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1051AFBE" w14:textId="77777777" w:rsidR="00F5734E" w:rsidRDefault="00F5734E" w:rsidP="001B0924">
            <w:pPr>
              <w:pStyle w:val="Body"/>
              <w:spacing w:line="220" w:lineRule="atLeast"/>
              <w:rPr>
                <w:lang w:val="en-US"/>
              </w:rPr>
            </w:pPr>
            <w:r>
              <w:rPr>
                <w:rStyle w:val="None"/>
                <w:sz w:val="20"/>
                <w:szCs w:val="20"/>
                <w:lang w:val="en-US"/>
              </w:rPr>
              <w:t>Vol. 495, p. 731 of United States Reports</w:t>
            </w:r>
          </w:p>
        </w:tc>
      </w:tr>
      <w:tr w:rsidR="00F5734E" w14:paraId="0AFA5574"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4BEA580" w14:textId="77777777" w:rsidR="00F5734E" w:rsidRDefault="00F5734E" w:rsidP="001B0924">
            <w:pPr>
              <w:pStyle w:val="Body"/>
              <w:rPr>
                <w:lang w:val="en-US"/>
              </w:rPr>
            </w:pPr>
            <w:r>
              <w:rPr>
                <w:rStyle w:val="None"/>
                <w:i/>
                <w:iCs/>
                <w:sz w:val="20"/>
                <w:szCs w:val="20"/>
                <w:lang w:val="en-US"/>
              </w:rPr>
              <w:t>United States v. $124,570 U.S. Currency</w:t>
            </w:r>
            <w:r>
              <w:rPr>
                <w:rStyle w:val="None"/>
                <w:sz w:val="20"/>
                <w:szCs w:val="20"/>
                <w:lang w:val="en-US"/>
              </w:rPr>
              <w:t>, 873 F.2d 1240 (9th Cir. 1989).</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0DFF657" w14:textId="77777777" w:rsidR="00F5734E" w:rsidRDefault="00F5734E" w:rsidP="001B0924">
            <w:pPr>
              <w:pStyle w:val="Body"/>
              <w:spacing w:line="220" w:lineRule="atLeast"/>
              <w:rPr>
                <w:lang w:val="en-US"/>
              </w:rPr>
            </w:pPr>
            <w:r>
              <w:rPr>
                <w:rStyle w:val="None"/>
                <w:sz w:val="20"/>
                <w:szCs w:val="20"/>
                <w:lang w:val="en-US"/>
              </w:rPr>
              <w:t>Vol. 873, p. 1240 of Federal Reporter, Second Series</w:t>
            </w:r>
          </w:p>
        </w:tc>
      </w:tr>
      <w:tr w:rsidR="00F5734E" w14:paraId="49BF38F7"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0AD018E" w14:textId="77777777" w:rsidR="00F5734E" w:rsidRDefault="00F5734E" w:rsidP="001B0924">
            <w:pPr>
              <w:pStyle w:val="Body"/>
              <w:rPr>
                <w:lang w:val="en-US"/>
              </w:rPr>
            </w:pPr>
            <w:r>
              <w:rPr>
                <w:rStyle w:val="None"/>
                <w:i/>
                <w:iCs/>
                <w:sz w:val="20"/>
                <w:szCs w:val="20"/>
                <w:lang w:val="en-US"/>
              </w:rPr>
              <w:t xml:space="preserve">Gucci America, Inc. v. </w:t>
            </w:r>
            <w:proofErr w:type="gramStart"/>
            <w:r>
              <w:rPr>
                <w:rStyle w:val="None"/>
                <w:i/>
                <w:iCs/>
                <w:sz w:val="20"/>
                <w:szCs w:val="20"/>
                <w:lang w:val="en-US"/>
              </w:rPr>
              <w:t>Guess?,</w:t>
            </w:r>
            <w:proofErr w:type="gramEnd"/>
            <w:r>
              <w:rPr>
                <w:rStyle w:val="None"/>
                <w:i/>
                <w:iCs/>
                <w:sz w:val="20"/>
                <w:szCs w:val="20"/>
                <w:lang w:val="en-US"/>
              </w:rPr>
              <w:t xml:space="preserve"> Inc.</w:t>
            </w:r>
            <w:r>
              <w:rPr>
                <w:rStyle w:val="None"/>
                <w:sz w:val="20"/>
                <w:szCs w:val="20"/>
                <w:lang w:val="en-US"/>
              </w:rPr>
              <w:t>, 831 F. Supp. 2d 723 (S.D.N.Y. 2011).</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8218A30" w14:textId="77777777" w:rsidR="00F5734E" w:rsidRDefault="00F5734E" w:rsidP="001B0924">
            <w:pPr>
              <w:pStyle w:val="Body"/>
              <w:spacing w:line="220" w:lineRule="atLeast"/>
              <w:rPr>
                <w:lang w:val="en-US"/>
              </w:rPr>
            </w:pPr>
            <w:r>
              <w:rPr>
                <w:rStyle w:val="None"/>
                <w:sz w:val="20"/>
                <w:szCs w:val="20"/>
                <w:lang w:val="en-US"/>
              </w:rPr>
              <w:t>Vol. 831, p. 723 of Federal Supplement, Second Series</w:t>
            </w:r>
          </w:p>
        </w:tc>
      </w:tr>
      <w:tr w:rsidR="00F5734E" w14:paraId="4A4E759E" w14:textId="77777777" w:rsidTr="00F5734E">
        <w:trPr>
          <w:trHeight w:val="45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7F93A4A" w14:textId="77777777" w:rsidR="00F5734E" w:rsidRDefault="00F5734E" w:rsidP="001B0924">
            <w:pPr>
              <w:pStyle w:val="Body"/>
              <w:rPr>
                <w:lang w:val="en-US"/>
              </w:rPr>
            </w:pPr>
            <w:r>
              <w:rPr>
                <w:rStyle w:val="None"/>
                <w:i/>
                <w:iCs/>
                <w:sz w:val="20"/>
                <w:szCs w:val="20"/>
                <w:lang w:val="en-US"/>
              </w:rPr>
              <w:t>Hamburger v. Fry</w:t>
            </w:r>
            <w:r>
              <w:rPr>
                <w:rStyle w:val="None"/>
                <w:sz w:val="20"/>
                <w:szCs w:val="20"/>
                <w:lang w:val="en-US"/>
              </w:rPr>
              <w:t>, 338 P.2d 1088 (Okla. 1958).</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3F3E0B90" w14:textId="77777777" w:rsidR="00F5734E" w:rsidRDefault="00F5734E" w:rsidP="001B0924">
            <w:pPr>
              <w:pStyle w:val="Body"/>
              <w:spacing w:line="220" w:lineRule="atLeast"/>
              <w:rPr>
                <w:lang w:val="en-US"/>
              </w:rPr>
            </w:pPr>
            <w:r>
              <w:rPr>
                <w:rStyle w:val="None"/>
                <w:sz w:val="20"/>
                <w:szCs w:val="20"/>
                <w:lang w:val="en-US"/>
              </w:rPr>
              <w:t>Vol. 338, p. 1088 of Pacific Reporter, Second Series</w:t>
            </w:r>
          </w:p>
        </w:tc>
      </w:tr>
      <w:tr w:rsidR="00F5734E" w14:paraId="4ED03C46" w14:textId="77777777" w:rsidTr="00F5734E">
        <w:trPr>
          <w:trHeight w:val="235"/>
        </w:trPr>
        <w:tc>
          <w:tcPr>
            <w:tcW w:w="121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F03143A" w14:textId="77777777" w:rsidR="00F5734E" w:rsidRDefault="00F5734E" w:rsidP="001B0924">
            <w:pPr>
              <w:pStyle w:val="Body"/>
              <w:spacing w:after="240" w:line="220" w:lineRule="atLeast"/>
              <w:rPr>
                <w:lang w:val="en-US"/>
              </w:rPr>
            </w:pPr>
            <w:r>
              <w:rPr>
                <w:rStyle w:val="None"/>
                <w:i/>
                <w:iCs/>
                <w:sz w:val="20"/>
                <w:szCs w:val="20"/>
                <w:lang w:val="en-US"/>
              </w:rPr>
              <w:t>Camp v. Superman</w:t>
            </w:r>
            <w:r>
              <w:rPr>
                <w:rStyle w:val="None"/>
                <w:sz w:val="20"/>
                <w:szCs w:val="20"/>
                <w:lang w:val="en-US"/>
              </w:rPr>
              <w:t>, 119 Vt. 62 (1955).</w:t>
            </w:r>
          </w:p>
        </w:tc>
        <w:tc>
          <w:tcPr>
            <w:tcW w:w="912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742BC923" w14:textId="77777777" w:rsidR="00F5734E" w:rsidRDefault="00F5734E" w:rsidP="001B0924">
            <w:pPr>
              <w:pStyle w:val="Body"/>
              <w:spacing w:after="240" w:line="220" w:lineRule="atLeast"/>
              <w:rPr>
                <w:lang w:val="en-US"/>
              </w:rPr>
            </w:pPr>
            <w:r>
              <w:rPr>
                <w:rStyle w:val="None"/>
                <w:sz w:val="20"/>
                <w:szCs w:val="20"/>
                <w:lang w:val="en-US"/>
              </w:rPr>
              <w:t>Vol. 119, p. 62 of Vermont Reports</w:t>
            </w:r>
          </w:p>
        </w:tc>
      </w:tr>
    </w:tbl>
    <w:p w14:paraId="25A52D50" w14:textId="77777777" w:rsidR="00F5734E" w:rsidRDefault="00F5734E" w:rsidP="00F5734E">
      <w:pPr>
        <w:pStyle w:val="Body"/>
        <w:widowControl w:val="0"/>
        <w:rPr>
          <w:rStyle w:val="None"/>
        </w:rPr>
      </w:pPr>
    </w:p>
    <w:p w14:paraId="4CC80E68" w14:textId="77777777" w:rsidR="00F5734E" w:rsidRDefault="00F5734E" w:rsidP="00F5734E">
      <w:pPr>
        <w:pStyle w:val="Body"/>
        <w:widowControl w:val="0"/>
        <w:rPr>
          <w:rStyle w:val="None"/>
          <w:lang w:val="en-US"/>
        </w:rPr>
      </w:pPr>
    </w:p>
    <w:p w14:paraId="31DD9C66" w14:textId="13919733" w:rsidR="00F5734E" w:rsidRDefault="00F5734E" w:rsidP="00616CD0">
      <w:pPr>
        <w:pStyle w:val="Heading5"/>
        <w:rPr>
          <w:rStyle w:val="None"/>
        </w:rPr>
      </w:pPr>
      <w:r>
        <w:rPr>
          <w:rStyle w:val="None"/>
        </w:rPr>
        <w:t>R11.6.2</w:t>
      </w:r>
      <w:r>
        <w:rPr>
          <w:rStyle w:val="None"/>
        </w:rPr>
        <w:tab/>
        <w:t xml:space="preserve">Reporter and </w:t>
      </w:r>
      <w:r w:rsidR="00277B1F">
        <w:rPr>
          <w:rStyle w:val="None"/>
        </w:rPr>
        <w:t>s</w:t>
      </w:r>
      <w:r>
        <w:rPr>
          <w:rStyle w:val="None"/>
        </w:rPr>
        <w:t>eries</w:t>
      </w:r>
    </w:p>
    <w:p w14:paraId="48FD921C" w14:textId="52975BA1" w:rsidR="00783C24" w:rsidRDefault="0048614A" w:rsidP="00741B68">
      <w:pPr>
        <w:pStyle w:val="Rule"/>
        <w:ind w:left="0"/>
        <w:rPr>
          <w:rStyle w:val="None"/>
        </w:rPr>
      </w:pPr>
      <w:r>
        <w:rPr>
          <w:rStyle w:val="None"/>
        </w:rPr>
        <w:t>Federal and state jurisdictions are listed in</w:t>
      </w:r>
      <w:r w:rsidR="00F5734E">
        <w:rPr>
          <w:rStyle w:val="None"/>
        </w:rPr>
        <w:t xml:space="preserve"> </w:t>
      </w:r>
      <w:r w:rsidR="00F5734E" w:rsidRPr="00AD0991">
        <w:rPr>
          <w:rStyle w:val="Rulereferencecharacterstyle"/>
        </w:rPr>
        <w:t>Table T1</w:t>
      </w:r>
      <w:r w:rsidR="00F5734E">
        <w:rPr>
          <w:rStyle w:val="None"/>
        </w:rPr>
        <w:t xml:space="preserve"> </w:t>
      </w:r>
      <w:r w:rsidR="00F5734E">
        <w:rPr>
          <w:rStyle w:val="None"/>
          <w:rFonts w:ascii="ederal" w:hAnsi="ederal"/>
        </w:rPr>
        <w:t xml:space="preserve">(federal cases) </w:t>
      </w:r>
      <w:r w:rsidR="00F5734E">
        <w:rPr>
          <w:rStyle w:val="None"/>
        </w:rPr>
        <w:t xml:space="preserve">and </w:t>
      </w:r>
      <w:r w:rsidR="00F5734E" w:rsidRPr="00AD0991">
        <w:rPr>
          <w:rStyle w:val="Rulereferencecharacterstyle"/>
        </w:rPr>
        <w:t>Table T3</w:t>
      </w:r>
      <w:r w:rsidR="00F5734E">
        <w:rPr>
          <w:rStyle w:val="None"/>
        </w:rPr>
        <w:t xml:space="preserve"> (state cases)</w:t>
      </w:r>
      <w:r>
        <w:rPr>
          <w:rStyle w:val="None"/>
        </w:rPr>
        <w:t xml:space="preserve">, </w:t>
      </w:r>
      <w:r w:rsidR="00D6631A">
        <w:rPr>
          <w:rStyle w:val="None"/>
        </w:rPr>
        <w:t>including</w:t>
      </w:r>
      <w:r>
        <w:rPr>
          <w:rStyle w:val="None"/>
        </w:rPr>
        <w:t xml:space="preserve"> the reporters where their cases are published</w:t>
      </w:r>
      <w:r w:rsidR="00F5734E">
        <w:rPr>
          <w:rStyle w:val="None"/>
        </w:rPr>
        <w:t>.</w:t>
      </w:r>
      <w:r w:rsidR="004528F4">
        <w:rPr>
          <w:rStyle w:val="None"/>
        </w:rPr>
        <w:t xml:space="preserve"> </w:t>
      </w:r>
      <w:r w:rsidR="00B6404F">
        <w:rPr>
          <w:rStyle w:val="None"/>
        </w:rPr>
        <w:t xml:space="preserve">Here is a key overview of </w:t>
      </w:r>
      <w:r w:rsidR="00996D9B">
        <w:rPr>
          <w:rStyle w:val="None"/>
        </w:rPr>
        <w:t>the reporters containing federal and state cases</w:t>
      </w:r>
      <w:r w:rsidR="001B0924">
        <w:rPr>
          <w:rStyle w:val="None"/>
        </w:rPr>
        <w:t>.</w:t>
      </w:r>
    </w:p>
    <w:tbl>
      <w:tblPr>
        <w:tblStyle w:val="TableGrid"/>
        <w:tblW w:w="0" w:type="auto"/>
        <w:tblLook w:val="04A0" w:firstRow="1" w:lastRow="0" w:firstColumn="1" w:lastColumn="0" w:noHBand="0" w:noVBand="1"/>
      </w:tblPr>
      <w:tblGrid>
        <w:gridCol w:w="9576"/>
      </w:tblGrid>
      <w:tr w:rsidR="00B6404F" w14:paraId="59BB5B5E" w14:textId="77777777" w:rsidTr="00B6404F">
        <w:tc>
          <w:tcPr>
            <w:tcW w:w="9576" w:type="dxa"/>
          </w:tcPr>
          <w:p w14:paraId="44CF2496" w14:textId="6CD1B014" w:rsidR="00B6404F" w:rsidRDefault="00B6404F" w:rsidP="00B6404F">
            <w:pPr>
              <w:pStyle w:val="Rule"/>
              <w:ind w:left="0"/>
              <w:rPr>
                <w:rStyle w:val="None"/>
              </w:rPr>
            </w:pPr>
            <w:r>
              <w:rPr>
                <w:rStyle w:val="None"/>
              </w:rPr>
              <w:t>United States Supreme Court cases are printed in the official United States Reports, cited as &lt;vol.&gt; U.S. &lt;page&gt;. The publication of the United States Reports is significantly delayed from opinions’ decision date. When there is no U.S. citation available, use the Supreme Court Reports (abbreviated S. Ct.).</w:t>
            </w:r>
          </w:p>
        </w:tc>
      </w:tr>
      <w:tr w:rsidR="00B6404F" w14:paraId="20D5A988" w14:textId="77777777" w:rsidTr="00B6404F">
        <w:tc>
          <w:tcPr>
            <w:tcW w:w="9576" w:type="dxa"/>
          </w:tcPr>
          <w:p w14:paraId="03AD0CEE" w14:textId="393B7073" w:rsidR="00B6404F" w:rsidRDefault="00B6404F" w:rsidP="00B6404F">
            <w:pPr>
              <w:pStyle w:val="Rule"/>
              <w:ind w:left="0"/>
              <w:rPr>
                <w:rStyle w:val="None"/>
              </w:rPr>
            </w:pPr>
            <w:r w:rsidRPr="00BD2104">
              <w:rPr>
                <w:rStyle w:val="None"/>
              </w:rPr>
              <w:t xml:space="preserve">Cases decided by the United States Circuit Courts are printed in the Federal Reporter, Fourth Series (F.4th) starting with cases in July 2021, then F.3d, F.2d, and F. for older cases. </w:t>
            </w:r>
          </w:p>
        </w:tc>
      </w:tr>
      <w:tr w:rsidR="00B6404F" w14:paraId="61E1D682" w14:textId="77777777" w:rsidTr="00B6404F">
        <w:tc>
          <w:tcPr>
            <w:tcW w:w="9576" w:type="dxa"/>
          </w:tcPr>
          <w:p w14:paraId="52354D43" w14:textId="65FB8177" w:rsidR="00B6404F" w:rsidRPr="00BD2104" w:rsidRDefault="00B6404F" w:rsidP="00B6404F">
            <w:pPr>
              <w:pStyle w:val="Rule"/>
              <w:ind w:left="0"/>
              <w:rPr>
                <w:rStyle w:val="None"/>
              </w:rPr>
            </w:pPr>
            <w:r w:rsidRPr="00BD2104">
              <w:rPr>
                <w:rStyle w:val="None"/>
              </w:rPr>
              <w:t>Federal district court cases are printed in the Federal Supplement</w:t>
            </w:r>
            <w:r>
              <w:rPr>
                <w:rStyle w:val="None"/>
              </w:rPr>
              <w:t>, Second Series</w:t>
            </w:r>
            <w:r w:rsidRPr="00BD2104">
              <w:rPr>
                <w:rStyle w:val="None"/>
              </w:rPr>
              <w:t xml:space="preserve"> (F. Supp.</w:t>
            </w:r>
            <w:r>
              <w:rPr>
                <w:rStyle w:val="None"/>
              </w:rPr>
              <w:t xml:space="preserve"> 2d), and F. Supp. for older cases.</w:t>
            </w:r>
          </w:p>
        </w:tc>
      </w:tr>
      <w:tr w:rsidR="00B6404F" w14:paraId="6CD91BE6" w14:textId="77777777" w:rsidTr="00B6404F">
        <w:tc>
          <w:tcPr>
            <w:tcW w:w="9576" w:type="dxa"/>
          </w:tcPr>
          <w:p w14:paraId="23E6EB2E" w14:textId="3121D9CA" w:rsidR="00B6404F" w:rsidRPr="00BD2104" w:rsidRDefault="00B6404F" w:rsidP="00B6404F">
            <w:pPr>
              <w:pStyle w:val="Rule"/>
              <w:ind w:left="0"/>
              <w:rPr>
                <w:rStyle w:val="None"/>
              </w:rPr>
            </w:pPr>
            <w:r>
              <w:rPr>
                <w:rStyle w:val="None"/>
              </w:rPr>
              <w:t>Federal cases not selected for publication may be available in the Federal Appendix or other unofficial reporters.</w:t>
            </w:r>
          </w:p>
        </w:tc>
      </w:tr>
      <w:tr w:rsidR="00B6404F" w14:paraId="7D6BB6D9" w14:textId="77777777" w:rsidTr="00B6404F">
        <w:tc>
          <w:tcPr>
            <w:tcW w:w="9576" w:type="dxa"/>
          </w:tcPr>
          <w:p w14:paraId="40F47650" w14:textId="3FC1CFE2" w:rsidR="00B6404F" w:rsidRDefault="00B6404F" w:rsidP="00B6404F">
            <w:pPr>
              <w:pStyle w:val="Rule"/>
              <w:ind w:left="0"/>
              <w:rPr>
                <w:rStyle w:val="None"/>
              </w:rPr>
            </w:pPr>
            <w:r w:rsidRPr="00BD2104">
              <w:rPr>
                <w:rStyle w:val="None"/>
              </w:rPr>
              <w:t xml:space="preserve">For state cases, choose the reporter listed in Table T3 for state cases whenever available. The standard national citation practice is to cite to the West National Reporter System </w:t>
            </w:r>
            <w:r>
              <w:rPr>
                <w:rStyle w:val="None"/>
              </w:rPr>
              <w:t>although</w:t>
            </w:r>
            <w:r w:rsidRPr="00BD2104">
              <w:rPr>
                <w:rStyle w:val="None"/>
              </w:rPr>
              <w:t xml:space="preserve"> m</w:t>
            </w:r>
            <w:r>
              <w:rPr>
                <w:rStyle w:val="None"/>
              </w:rPr>
              <w:t>any</w:t>
            </w:r>
            <w:r w:rsidRPr="00BD2104">
              <w:rPr>
                <w:rStyle w:val="None"/>
              </w:rPr>
              <w:t xml:space="preserve"> states have a state-specific official reporter or official </w:t>
            </w:r>
            <w:r>
              <w:rPr>
                <w:rStyle w:val="None"/>
              </w:rPr>
              <w:t>public-domain</w:t>
            </w:r>
            <w:r w:rsidRPr="00BD2104">
              <w:rPr>
                <w:rStyle w:val="None"/>
              </w:rPr>
              <w:t xml:space="preserve"> citation system</w:t>
            </w:r>
            <w:r>
              <w:rPr>
                <w:rStyle w:val="None"/>
              </w:rPr>
              <w:t xml:space="preserve"> (not reliant on a private publisher’s system)</w:t>
            </w:r>
            <w:r w:rsidRPr="00BD2104">
              <w:rPr>
                <w:rStyle w:val="None"/>
              </w:rPr>
              <w:t xml:space="preserve">. Local customs and court rules vary from the standard national citation practice, as represented in </w:t>
            </w:r>
            <w:r w:rsidRPr="00B6404F">
              <w:rPr>
                <w:rStyle w:val="Rulereferencecharacterstyle"/>
              </w:rPr>
              <w:t>Table T3</w:t>
            </w:r>
            <w:r w:rsidRPr="00BD2104">
              <w:rPr>
                <w:rStyle w:val="None"/>
              </w:rPr>
              <w:t>.</w:t>
            </w:r>
          </w:p>
        </w:tc>
      </w:tr>
    </w:tbl>
    <w:p w14:paraId="7FB6CBD5" w14:textId="77777777" w:rsidR="00F5734E" w:rsidRDefault="00F5734E" w:rsidP="00F5734E">
      <w:pPr>
        <w:pStyle w:val="Body"/>
        <w:tabs>
          <w:tab w:val="left" w:pos="1440"/>
        </w:tabs>
        <w:spacing w:before="150" w:after="90"/>
        <w:rPr>
          <w:rStyle w:val="None"/>
          <w:lang w:val="en-US"/>
        </w:rPr>
      </w:pPr>
    </w:p>
    <w:p w14:paraId="22B6B7EC" w14:textId="77777777" w:rsidR="00F5734E" w:rsidRDefault="00F5734E" w:rsidP="004A58A0">
      <w:pPr>
        <w:pStyle w:val="InklingTitle"/>
        <w:rPr>
          <w:rStyle w:val="None"/>
          <w:lang w:val="en-US"/>
        </w:rPr>
      </w:pPr>
      <w:r>
        <w:rPr>
          <w:rStyle w:val="None"/>
          <w:lang w:val="en-US"/>
        </w:rPr>
        <w:t>Indigo Inkling</w:t>
      </w:r>
    </w:p>
    <w:p w14:paraId="56BA90DB" w14:textId="01A1CAE3" w:rsidR="00F5734E" w:rsidRDefault="00F5734E" w:rsidP="004A58A0">
      <w:pPr>
        <w:pStyle w:val="Inkling"/>
        <w:rPr>
          <w:rStyle w:val="None"/>
          <w:lang w:val="en-US"/>
        </w:rPr>
      </w:pPr>
      <w:r>
        <w:rPr>
          <w:rStyle w:val="None"/>
          <w:lang w:val="en-US"/>
        </w:rPr>
        <w:t xml:space="preserve">For citations to state cases, the case reporter </w:t>
      </w:r>
      <w:r w:rsidR="00783C24">
        <w:rPr>
          <w:rStyle w:val="None"/>
          <w:lang w:val="en-US"/>
        </w:rPr>
        <w:t>prioritized</w:t>
      </w:r>
      <w:r>
        <w:rPr>
          <w:rStyle w:val="None"/>
          <w:lang w:val="en-US"/>
        </w:rPr>
        <w:t xml:space="preserve"> by </w:t>
      </w:r>
      <w:r w:rsidRPr="00F124DD">
        <w:rPr>
          <w:rStyle w:val="Rulereferencecharacterstyle"/>
        </w:rPr>
        <w:t>Rule R11.3</w:t>
      </w:r>
      <w:r>
        <w:rPr>
          <w:rStyle w:val="None"/>
          <w:lang w:val="en-US"/>
        </w:rPr>
        <w:t xml:space="preserve"> and </w:t>
      </w:r>
      <w:r w:rsidRPr="00A62A72">
        <w:rPr>
          <w:rStyle w:val="Rulereferencecharacterstyle"/>
        </w:rPr>
        <w:t>Table T3</w:t>
      </w:r>
      <w:r>
        <w:rPr>
          <w:rStyle w:val="None"/>
          <w:lang w:val="en-US"/>
        </w:rPr>
        <w:t xml:space="preserve"> may not always be available to researchers using open-access legal information. For example, an internet site providing free access to cases may provide citation information for the official state reporter in that st</w:t>
      </w:r>
      <w:r w:rsidR="00783C24">
        <w:rPr>
          <w:rStyle w:val="None"/>
          <w:lang w:val="en-US"/>
        </w:rPr>
        <w:t>ate, rather than the West National Reporter prioritized in the table.</w:t>
      </w:r>
      <w:r w:rsidR="00195FF0">
        <w:rPr>
          <w:rStyle w:val="None"/>
          <w:lang w:val="en-US"/>
        </w:rPr>
        <w:t xml:space="preserve"> </w:t>
      </w:r>
    </w:p>
    <w:p w14:paraId="36F10842" w14:textId="77777777" w:rsidR="004A58A0" w:rsidRDefault="004A58A0" w:rsidP="004A58A0">
      <w:pPr>
        <w:pStyle w:val="Inkling"/>
        <w:rPr>
          <w:rStyle w:val="None"/>
          <w:lang w:val="en-US"/>
        </w:rPr>
      </w:pPr>
    </w:p>
    <w:p w14:paraId="4E53FD45" w14:textId="5470AFBE" w:rsidR="00F5734E" w:rsidRDefault="00F5734E" w:rsidP="004A58A0">
      <w:pPr>
        <w:pStyle w:val="Inkling"/>
        <w:rPr>
          <w:rStyle w:val="None"/>
          <w:lang w:val="en-US"/>
        </w:rPr>
      </w:pPr>
      <w:r>
        <w:rPr>
          <w:rStyle w:val="None"/>
          <w:lang w:val="en-US"/>
        </w:rPr>
        <w:t>If you are attempting to conduct case research using free open-access sources, do your best to adhere t</w:t>
      </w:r>
      <w:r w:rsidR="001F6B58">
        <w:rPr>
          <w:rStyle w:val="None"/>
          <w:lang w:val="en-US"/>
        </w:rPr>
        <w:t xml:space="preserve">o utilize the preferred reporter in </w:t>
      </w:r>
      <w:r w:rsidR="001F6B58" w:rsidRPr="00A62A72">
        <w:rPr>
          <w:rStyle w:val="Rulereferencecharacterstyle"/>
        </w:rPr>
        <w:t>Table T3</w:t>
      </w:r>
      <w:r w:rsidR="001F6B58">
        <w:rPr>
          <w:rStyle w:val="None"/>
          <w:lang w:val="en-US"/>
        </w:rPr>
        <w:t>. It may be necessary to use</w:t>
      </w:r>
      <w:r>
        <w:rPr>
          <w:rStyle w:val="None"/>
          <w:lang w:val="en-US"/>
        </w:rPr>
        <w:t xml:space="preserve"> a reliable second choice, such as the official state reporter or the state’s official medium-neutral citation format. </w:t>
      </w:r>
      <w:r w:rsidR="00350FE1">
        <w:rPr>
          <w:rStyle w:val="None"/>
          <w:lang w:val="en-US"/>
        </w:rPr>
        <w:t>Try to find cases as published in a reporter</w:t>
      </w:r>
      <w:r w:rsidR="00573D0F">
        <w:rPr>
          <w:rStyle w:val="None"/>
          <w:lang w:val="en-US"/>
        </w:rPr>
        <w:t xml:space="preserve"> with a stable citation,</w:t>
      </w:r>
      <w:r w:rsidR="00350FE1">
        <w:rPr>
          <w:rStyle w:val="None"/>
          <w:lang w:val="en-US"/>
        </w:rPr>
        <w:t xml:space="preserve"> rather than the original slip copy published by the court the day it decided the </w:t>
      </w:r>
      <w:r w:rsidR="00573D0F">
        <w:rPr>
          <w:rStyle w:val="None"/>
          <w:lang w:val="en-US"/>
        </w:rPr>
        <w:t>case</w:t>
      </w:r>
      <w:r w:rsidR="00350FE1">
        <w:rPr>
          <w:rStyle w:val="None"/>
          <w:lang w:val="en-US"/>
        </w:rPr>
        <w:t>.</w:t>
      </w:r>
    </w:p>
    <w:p w14:paraId="2A59953A" w14:textId="77777777" w:rsidR="00F5734E" w:rsidRDefault="00F5734E" w:rsidP="00F5734E">
      <w:pPr>
        <w:pStyle w:val="Body"/>
        <w:tabs>
          <w:tab w:val="left" w:pos="1440"/>
        </w:tabs>
        <w:spacing w:before="150" w:after="90"/>
        <w:rPr>
          <w:rStyle w:val="None"/>
          <w:lang w:val="en-US"/>
        </w:rPr>
      </w:pPr>
    </w:p>
    <w:p w14:paraId="49BEA9A9" w14:textId="77777777" w:rsidR="00F5734E" w:rsidRDefault="00F5734E" w:rsidP="00616CD0">
      <w:pPr>
        <w:pStyle w:val="Heading5"/>
        <w:rPr>
          <w:rStyle w:val="None"/>
        </w:rPr>
      </w:pPr>
      <w:r>
        <w:rPr>
          <w:rStyle w:val="None"/>
        </w:rPr>
        <w:t>R11.6.3</w:t>
      </w:r>
      <w:r>
        <w:rPr>
          <w:rStyle w:val="None"/>
        </w:rPr>
        <w:tab/>
        <w:t>Parallel citation in state court documents</w:t>
      </w:r>
    </w:p>
    <w:p w14:paraId="327F9F33" w14:textId="0514D105" w:rsidR="00F5734E" w:rsidRDefault="00F5734E" w:rsidP="004A58A0">
      <w:pPr>
        <w:pStyle w:val="Rule"/>
        <w:ind w:left="0"/>
      </w:pPr>
      <w:r>
        <w:rPr>
          <w:rStyle w:val="None"/>
        </w:rPr>
        <w:t xml:space="preserve">When submitting documents to state courts, follow the local rules for citations, selectively indicated in </w:t>
      </w:r>
      <w:r w:rsidRPr="00855572">
        <w:rPr>
          <w:rStyle w:val="Rulereferencecharacterstyle"/>
        </w:rPr>
        <w:t>Table T3</w:t>
      </w:r>
      <w:r>
        <w:t xml:space="preserve">. </w:t>
      </w:r>
      <w:r>
        <w:rPr>
          <w:rStyle w:val="None"/>
        </w:rPr>
        <w:t xml:space="preserve">State courts’ local rules often require a parallel citation: i.e., a citation to both the official state reporter, followed by the unofficial regional and/or state-specific reporter. Each reporter will have different page numbers, so provide a </w:t>
      </w:r>
      <w:proofErr w:type="spellStart"/>
      <w:r>
        <w:rPr>
          <w:rStyle w:val="None"/>
        </w:rPr>
        <w:t>pincite</w:t>
      </w:r>
      <w:proofErr w:type="spellEnd"/>
      <w:r>
        <w:rPr>
          <w:rStyle w:val="None"/>
        </w:rPr>
        <w:t xml:space="preserve"> for each. Also, when the official reporter title makes the state or court name apparent, don’t include it again in parentheses.</w:t>
      </w:r>
    </w:p>
    <w:p w14:paraId="650B2318" w14:textId="77777777" w:rsidR="00F5734E" w:rsidRDefault="00F5734E" w:rsidP="004A58A0">
      <w:pPr>
        <w:pStyle w:val="Example"/>
        <w:ind w:left="720"/>
        <w:rPr>
          <w:rStyle w:val="None"/>
        </w:rPr>
      </w:pPr>
      <w:r>
        <w:rPr>
          <w:rStyle w:val="None"/>
          <w:b/>
          <w:bCs w:val="0"/>
        </w:rPr>
        <w:t xml:space="preserve">Example (without </w:t>
      </w:r>
      <w:proofErr w:type="spellStart"/>
      <w:r>
        <w:rPr>
          <w:rStyle w:val="None"/>
          <w:b/>
          <w:bCs w:val="0"/>
        </w:rPr>
        <w:t>pincites</w:t>
      </w:r>
      <w:proofErr w:type="spellEnd"/>
      <w:r>
        <w:rPr>
          <w:rStyle w:val="None"/>
          <w:b/>
          <w:bCs w:val="0"/>
        </w:rPr>
        <w:t>):</w:t>
      </w:r>
      <w:r>
        <w:rPr>
          <w:rStyle w:val="None"/>
        </w:rPr>
        <w:t> </w:t>
      </w:r>
    </w:p>
    <w:p w14:paraId="774E3911" w14:textId="77777777" w:rsidR="00F5734E" w:rsidRDefault="00F5734E" w:rsidP="004A58A0">
      <w:pPr>
        <w:pStyle w:val="Example"/>
        <w:ind w:firstLine="720"/>
        <w:rPr>
          <w:rStyle w:val="None"/>
        </w:rPr>
      </w:pPr>
      <w:r>
        <w:rPr>
          <w:rStyle w:val="None"/>
          <w:i/>
          <w:iCs/>
        </w:rPr>
        <w:t>Harden v. Playboy Enterprises, Inc.</w:t>
      </w:r>
      <w:r>
        <w:rPr>
          <w:rStyle w:val="None"/>
        </w:rPr>
        <w:t>, 261 Ill. App. 3d 443, 633 N.E.2d 764 (1993).</w:t>
      </w:r>
    </w:p>
    <w:p w14:paraId="0EF029DB" w14:textId="77777777" w:rsidR="00F5734E" w:rsidRDefault="00F5734E" w:rsidP="004A58A0">
      <w:pPr>
        <w:pStyle w:val="Example"/>
        <w:ind w:left="720"/>
        <w:rPr>
          <w:rStyle w:val="None"/>
        </w:rPr>
      </w:pPr>
      <w:r>
        <w:rPr>
          <w:rStyle w:val="None"/>
          <w:b/>
          <w:bCs w:val="0"/>
        </w:rPr>
        <w:t xml:space="preserve">Example (with </w:t>
      </w:r>
      <w:proofErr w:type="spellStart"/>
      <w:r>
        <w:rPr>
          <w:rStyle w:val="None"/>
          <w:b/>
          <w:bCs w:val="0"/>
        </w:rPr>
        <w:t>pincites</w:t>
      </w:r>
      <w:proofErr w:type="spellEnd"/>
      <w:r>
        <w:rPr>
          <w:rStyle w:val="None"/>
          <w:b/>
          <w:bCs w:val="0"/>
        </w:rPr>
        <w:t>):</w:t>
      </w:r>
      <w:r>
        <w:rPr>
          <w:rStyle w:val="None"/>
        </w:rPr>
        <w:t> </w:t>
      </w:r>
    </w:p>
    <w:p w14:paraId="4303235F" w14:textId="07B04101" w:rsidR="00855572" w:rsidRPr="00855572" w:rsidRDefault="00F5734E" w:rsidP="00855572">
      <w:pPr>
        <w:pStyle w:val="Example"/>
        <w:ind w:firstLine="720"/>
        <w:rPr>
          <w:rStyle w:val="None"/>
        </w:rPr>
      </w:pPr>
      <w:r>
        <w:rPr>
          <w:rStyle w:val="None"/>
          <w:i/>
          <w:iCs/>
        </w:rPr>
        <w:t>Harden v. Playboy Enterprises, Inc.</w:t>
      </w:r>
      <w:r>
        <w:rPr>
          <w:rStyle w:val="None"/>
        </w:rPr>
        <w:t>, 261 Ill. App. 3d 443 444, 633 N.E.2d 764, 765 (1993).</w:t>
      </w:r>
    </w:p>
    <w:p w14:paraId="5AC07D3C" w14:textId="77777777" w:rsidR="00F5734E" w:rsidRDefault="00F5734E" w:rsidP="00F5734E">
      <w:pPr>
        <w:pStyle w:val="Body"/>
        <w:widowControl w:val="0"/>
        <w:rPr>
          <w:rStyle w:val="None"/>
          <w:lang w:val="en-US"/>
        </w:rPr>
      </w:pPr>
    </w:p>
    <w:p w14:paraId="259154B8" w14:textId="052D417C" w:rsidR="00F5734E" w:rsidRDefault="00F5734E" w:rsidP="00616CD0">
      <w:pPr>
        <w:pStyle w:val="Heading4"/>
        <w:rPr>
          <w:rStyle w:val="None"/>
        </w:rPr>
      </w:pPr>
      <w:r>
        <w:rPr>
          <w:rStyle w:val="None"/>
        </w:rPr>
        <w:t>R11.7</w:t>
      </w:r>
      <w:r>
        <w:rPr>
          <w:rStyle w:val="None"/>
        </w:rPr>
        <w:tab/>
      </w:r>
      <w:r>
        <w:rPr>
          <w:rStyle w:val="None"/>
        </w:rPr>
        <w:tab/>
      </w:r>
      <w:proofErr w:type="spellStart"/>
      <w:r>
        <w:rPr>
          <w:rStyle w:val="None"/>
        </w:rPr>
        <w:t>Pincite</w:t>
      </w:r>
      <w:r w:rsidR="009C234D">
        <w:rPr>
          <w:rStyle w:val="None"/>
        </w:rPr>
        <w:t>s</w:t>
      </w:r>
      <w:proofErr w:type="spellEnd"/>
    </w:p>
    <w:p w14:paraId="6B4E8811" w14:textId="77777777" w:rsidR="0049366A" w:rsidRDefault="0049366A" w:rsidP="004A58A0">
      <w:pPr>
        <w:pStyle w:val="Rule"/>
        <w:ind w:left="0"/>
        <w:rPr>
          <w:rStyle w:val="None"/>
        </w:rPr>
      </w:pPr>
      <w:r>
        <w:rPr>
          <w:rStyle w:val="None"/>
        </w:rPr>
        <w:t xml:space="preserve">Each case citation, whether full or short, should include a </w:t>
      </w:r>
      <w:proofErr w:type="spellStart"/>
      <w:r>
        <w:rPr>
          <w:rStyle w:val="None"/>
        </w:rPr>
        <w:t>pincite</w:t>
      </w:r>
      <w:proofErr w:type="spellEnd"/>
      <w:r>
        <w:rPr>
          <w:rStyle w:val="None"/>
        </w:rPr>
        <w:t xml:space="preserve"> t</w:t>
      </w:r>
      <w:r w:rsidR="00F5734E">
        <w:rPr>
          <w:rStyle w:val="None"/>
        </w:rPr>
        <w:t>o direct the reader to the specific page</w:t>
      </w:r>
      <w:r>
        <w:rPr>
          <w:rStyle w:val="None"/>
        </w:rPr>
        <w:t xml:space="preserve"> being cited. </w:t>
      </w:r>
    </w:p>
    <w:p w14:paraId="536BDC3A" w14:textId="2FF5A518" w:rsidR="00F5734E" w:rsidRDefault="0049366A" w:rsidP="004A58A0">
      <w:pPr>
        <w:pStyle w:val="Rule"/>
        <w:ind w:left="0"/>
        <w:rPr>
          <w:rStyle w:val="None"/>
        </w:rPr>
      </w:pPr>
      <w:r>
        <w:rPr>
          <w:rStyle w:val="None"/>
        </w:rPr>
        <w:t>In a full citation to a case,</w:t>
      </w:r>
      <w:r w:rsidR="00F5734E">
        <w:rPr>
          <w:rStyle w:val="None"/>
        </w:rPr>
        <w:t xml:space="preserve"> include a</w:t>
      </w:r>
      <w:r w:rsidR="00F5734E" w:rsidRPr="00D864D3">
        <w:rPr>
          <w:rStyle w:val="None"/>
        </w:rPr>
        <w:t> </w:t>
      </w:r>
      <w:proofErr w:type="spellStart"/>
      <w:r w:rsidR="00F5734E" w:rsidRPr="00D864D3">
        <w:rPr>
          <w:rStyle w:val="None"/>
        </w:rPr>
        <w:t>pincite</w:t>
      </w:r>
      <w:proofErr w:type="spellEnd"/>
      <w:r w:rsidR="00F5734E">
        <w:rPr>
          <w:rStyle w:val="None"/>
        </w:rPr>
        <w:t xml:space="preserve"> after the first page where the case is found in the reporter. If the </w:t>
      </w:r>
      <w:proofErr w:type="spellStart"/>
      <w:r w:rsidR="00F5734E">
        <w:rPr>
          <w:rStyle w:val="None"/>
        </w:rPr>
        <w:t>pincite</w:t>
      </w:r>
      <w:proofErr w:type="spellEnd"/>
      <w:r w:rsidR="00F5734E">
        <w:rPr>
          <w:rStyle w:val="None"/>
        </w:rPr>
        <w:t xml:space="preserve"> is the first page of the opinion, be sure to still include it by just repeating the number. </w:t>
      </w:r>
      <w:proofErr w:type="spellStart"/>
      <w:r w:rsidR="00F5734E">
        <w:rPr>
          <w:rStyle w:val="None"/>
        </w:rPr>
        <w:t>Pincites</w:t>
      </w:r>
      <w:proofErr w:type="spellEnd"/>
      <w:r w:rsidR="00F5734E">
        <w:rPr>
          <w:rStyle w:val="None"/>
        </w:rPr>
        <w:t xml:space="preserve"> are required in both full and short citations when those citations support a reference to a specific page of the case. </w:t>
      </w:r>
      <w:r w:rsidR="00F5734E">
        <w:rPr>
          <w:rStyle w:val="None"/>
          <w:i/>
          <w:iCs/>
        </w:rPr>
        <w:t>See</w:t>
      </w:r>
      <w:r w:rsidR="00F5734E">
        <w:rPr>
          <w:rStyle w:val="None"/>
        </w:rPr>
        <w:t xml:space="preserve"> </w:t>
      </w:r>
      <w:r w:rsidR="00F5734E" w:rsidRPr="0049366A">
        <w:rPr>
          <w:rStyle w:val="Rulereferencecharacterstyle"/>
        </w:rPr>
        <w:t>Rule R15</w:t>
      </w:r>
      <w:r w:rsidR="00F5734E">
        <w:rPr>
          <w:rStyle w:val="None"/>
        </w:rPr>
        <w:t xml:space="preserve"> on short citations for cases and </w:t>
      </w:r>
      <w:r w:rsidR="00F5734E" w:rsidRPr="0049366A">
        <w:rPr>
          <w:rStyle w:val="Rulereferencecharacterstyle"/>
        </w:rPr>
        <w:t xml:space="preserve">Rule R6 </w:t>
      </w:r>
      <w:r w:rsidR="00F5734E">
        <w:rPr>
          <w:rStyle w:val="None"/>
        </w:rPr>
        <w:t>on full and short citations generally.</w:t>
      </w:r>
    </w:p>
    <w:p w14:paraId="5B8B1486" w14:textId="1D77383F" w:rsidR="00A61249" w:rsidRDefault="00A61249" w:rsidP="004A58A0">
      <w:pPr>
        <w:pStyle w:val="Rule"/>
        <w:ind w:left="0"/>
        <w:rPr>
          <w:rStyle w:val="None"/>
        </w:rPr>
      </w:pPr>
      <w:proofErr w:type="spellStart"/>
      <w:r>
        <w:rPr>
          <w:rStyle w:val="None"/>
        </w:rPr>
        <w:t>Pincites</w:t>
      </w:r>
      <w:proofErr w:type="spellEnd"/>
      <w:r>
        <w:rPr>
          <w:rStyle w:val="None"/>
        </w:rPr>
        <w:t xml:space="preserve"> can be used to identify the page source for content of an explanatory parenthetical. </w:t>
      </w:r>
      <w:proofErr w:type="spellStart"/>
      <w:r>
        <w:rPr>
          <w:rStyle w:val="None"/>
        </w:rPr>
        <w:t>Pincites</w:t>
      </w:r>
      <w:proofErr w:type="spellEnd"/>
      <w:r>
        <w:rPr>
          <w:rStyle w:val="None"/>
        </w:rPr>
        <w:t xml:space="preserve"> can also be used to identify the page source for </w:t>
      </w:r>
      <w:r w:rsidR="00EE55EC">
        <w:rPr>
          <w:rStyle w:val="None"/>
        </w:rPr>
        <w:t xml:space="preserve">content in the textual sentence </w:t>
      </w:r>
      <w:r w:rsidR="00003A97">
        <w:rPr>
          <w:rStyle w:val="None"/>
        </w:rPr>
        <w:t xml:space="preserve">supported by the citations sentence or clause that follows. </w:t>
      </w:r>
    </w:p>
    <w:p w14:paraId="6BEC7E8D" w14:textId="13BE3871" w:rsidR="00F5734E" w:rsidRDefault="00F5734E" w:rsidP="00BA5FCD">
      <w:pPr>
        <w:pStyle w:val="Example"/>
        <w:ind w:left="720"/>
        <w:rPr>
          <w:rStyle w:val="None"/>
        </w:rPr>
      </w:pPr>
      <w:r>
        <w:rPr>
          <w:rStyle w:val="None"/>
          <w:b/>
          <w:bCs w:val="0"/>
        </w:rPr>
        <w:t>Example</w:t>
      </w:r>
      <w:r w:rsidR="00A61249">
        <w:rPr>
          <w:rStyle w:val="None"/>
          <w:b/>
          <w:bCs w:val="0"/>
        </w:rPr>
        <w:t>s</w:t>
      </w:r>
      <w:r>
        <w:rPr>
          <w:rStyle w:val="None"/>
          <w:b/>
          <w:bCs w:val="0"/>
        </w:rPr>
        <w:t>:</w:t>
      </w:r>
      <w:r>
        <w:rPr>
          <w:rStyle w:val="None"/>
        </w:rPr>
        <w:t> </w:t>
      </w:r>
    </w:p>
    <w:p w14:paraId="2EA68D7F" w14:textId="77777777" w:rsidR="00A61249" w:rsidRDefault="00A61249" w:rsidP="00BA5FCD">
      <w:pPr>
        <w:pStyle w:val="Example"/>
        <w:ind w:left="720"/>
        <w:rPr>
          <w:rStyle w:val="None"/>
          <w:i/>
          <w:iCs/>
        </w:rPr>
      </w:pPr>
    </w:p>
    <w:p w14:paraId="6ABFCD1F" w14:textId="5D981690" w:rsidR="00F5734E" w:rsidRDefault="00F5734E" w:rsidP="00BA5FCD">
      <w:pPr>
        <w:pStyle w:val="Example"/>
        <w:ind w:left="720"/>
        <w:rPr>
          <w:rFonts w:ascii="Georgia" w:hAnsi="Georgia"/>
        </w:rPr>
      </w:pPr>
      <w:r>
        <w:rPr>
          <w:rStyle w:val="None"/>
          <w:i/>
          <w:iCs/>
        </w:rPr>
        <w:t>Mattel, Inc. v. MCA Records, Inc.</w:t>
      </w:r>
      <w:r>
        <w:rPr>
          <w:rStyle w:val="None"/>
        </w:rPr>
        <w:t>, 296 F.3d 894, 908 (9th Cir. 2002) (“The parties are advised to chill.”).</w:t>
      </w:r>
    </w:p>
    <w:p w14:paraId="5B2D1FA9" w14:textId="55093737" w:rsidR="00F5734E" w:rsidRDefault="00F5734E" w:rsidP="00A61249">
      <w:pPr>
        <w:pStyle w:val="Example"/>
        <w:rPr>
          <w:rStyle w:val="None"/>
        </w:rPr>
      </w:pPr>
      <w:r>
        <w:rPr>
          <w:rStyle w:val="None"/>
        </w:rPr>
        <w:t> </w:t>
      </w:r>
    </w:p>
    <w:p w14:paraId="6D248AD5" w14:textId="01B59325" w:rsidR="00F5734E" w:rsidRDefault="00681C0B" w:rsidP="00BA5FCD">
      <w:pPr>
        <w:pStyle w:val="Example"/>
        <w:ind w:left="720"/>
        <w:rPr>
          <w:rStyle w:val="None"/>
        </w:rPr>
      </w:pPr>
      <w:r>
        <w:rPr>
          <w:rStyle w:val="None"/>
        </w:rPr>
        <w:t xml:space="preserve">Judicial attempts at humor are </w:t>
      </w:r>
      <w:r w:rsidR="00F5734E">
        <w:rPr>
          <w:rStyle w:val="None"/>
        </w:rPr>
        <w:t xml:space="preserve">not new. As the Georgia Court of Appeals quipped in the mid-1970s, “The D.A. was ready. His case was red-hot. Defendant was present, His witness was not.” </w:t>
      </w:r>
      <w:r w:rsidR="00F5734E">
        <w:rPr>
          <w:rStyle w:val="None"/>
          <w:i/>
          <w:iCs/>
        </w:rPr>
        <w:t>Brown v. State</w:t>
      </w:r>
      <w:r w:rsidR="00F5734E">
        <w:rPr>
          <w:rStyle w:val="None"/>
        </w:rPr>
        <w:t>, 216 S.E.2d 356, 356 (Ga. Ct. App. 1975) (reversing conviction).</w:t>
      </w:r>
    </w:p>
    <w:p w14:paraId="2DDAA625" w14:textId="382499A8" w:rsidR="00003A97" w:rsidRDefault="00003A97" w:rsidP="00BA5FCD">
      <w:pPr>
        <w:pStyle w:val="Example"/>
        <w:ind w:left="720"/>
        <w:rPr>
          <w:rStyle w:val="None"/>
        </w:rPr>
      </w:pPr>
    </w:p>
    <w:p w14:paraId="0323215A" w14:textId="5C7471F3" w:rsidR="00714039" w:rsidRPr="00714039" w:rsidRDefault="00003A97" w:rsidP="00714039">
      <w:pPr>
        <w:pStyle w:val="Example"/>
        <w:ind w:left="720"/>
        <w:rPr>
          <w:rStyle w:val="None"/>
        </w:rPr>
      </w:pPr>
      <w:r>
        <w:rPr>
          <w:rStyle w:val="None"/>
        </w:rPr>
        <w:t xml:space="preserve">Judicial humor is not new, </w:t>
      </w:r>
      <w:r>
        <w:rPr>
          <w:rStyle w:val="None"/>
          <w:i/>
          <w:iCs/>
        </w:rPr>
        <w:t>e.g.</w:t>
      </w:r>
      <w:r>
        <w:rPr>
          <w:rStyle w:val="None"/>
        </w:rPr>
        <w:t xml:space="preserve">, </w:t>
      </w:r>
      <w:r>
        <w:rPr>
          <w:rStyle w:val="None"/>
          <w:i/>
          <w:iCs/>
        </w:rPr>
        <w:t>Brown v. State</w:t>
      </w:r>
      <w:r>
        <w:rPr>
          <w:rStyle w:val="None"/>
        </w:rPr>
        <w:t>, 216 S.E.2d 356</w:t>
      </w:r>
      <w:r w:rsidR="00DE3DBD">
        <w:rPr>
          <w:rStyle w:val="None"/>
        </w:rPr>
        <w:t>, 356</w:t>
      </w:r>
      <w:r>
        <w:rPr>
          <w:rStyle w:val="None"/>
        </w:rPr>
        <w:t xml:space="preserve"> (Ga. Ct. App. 1975); </w:t>
      </w:r>
      <w:r w:rsidR="00CB5E9C">
        <w:rPr>
          <w:rStyle w:val="None"/>
        </w:rPr>
        <w:t xml:space="preserve">and neither is academic critique of it </w:t>
      </w:r>
      <w:r w:rsidR="00DE3DBD">
        <w:rPr>
          <w:rStyle w:val="None"/>
        </w:rPr>
        <w:t xml:space="preserve">as generally </w:t>
      </w:r>
      <w:r w:rsidR="00F865AA">
        <w:rPr>
          <w:rStyle w:val="None"/>
        </w:rPr>
        <w:t>“</w:t>
      </w:r>
      <w:r w:rsidR="005F4B6C">
        <w:rPr>
          <w:rStyle w:val="None"/>
        </w:rPr>
        <w:t xml:space="preserve">a </w:t>
      </w:r>
      <w:r w:rsidR="00F865AA">
        <w:rPr>
          <w:rStyle w:val="None"/>
        </w:rPr>
        <w:t>dreadful</w:t>
      </w:r>
      <w:r w:rsidR="005F4B6C">
        <w:rPr>
          <w:rStyle w:val="None"/>
        </w:rPr>
        <w:t xml:space="preserve"> thing</w:t>
      </w:r>
      <w:r w:rsidR="00714039">
        <w:rPr>
          <w:rStyle w:val="None"/>
        </w:rPr>
        <w:t>,</w:t>
      </w:r>
      <w:r w:rsidR="00F865AA">
        <w:rPr>
          <w:rStyle w:val="None"/>
        </w:rPr>
        <w:t>”</w:t>
      </w:r>
      <w:r w:rsidR="000C4B4A">
        <w:rPr>
          <w:rStyle w:val="None"/>
        </w:rPr>
        <w:t xml:space="preserve"> William Prosser, </w:t>
      </w:r>
      <w:r w:rsidR="000C4B4A" w:rsidRPr="000C4B4A">
        <w:rPr>
          <w:rStyle w:val="None"/>
          <w:i/>
          <w:iCs/>
        </w:rPr>
        <w:t xml:space="preserve">The Judicial Humorist </w:t>
      </w:r>
      <w:r w:rsidR="000C4B4A">
        <w:rPr>
          <w:rStyle w:val="None"/>
        </w:rPr>
        <w:t xml:space="preserve">vii (1952). </w:t>
      </w:r>
      <w:r w:rsidR="00714039">
        <w:rPr>
          <w:rStyle w:val="None"/>
        </w:rPr>
        <w:t xml:space="preserve"> </w:t>
      </w:r>
    </w:p>
    <w:p w14:paraId="2DEEF18F" w14:textId="77777777" w:rsidR="00F5734E" w:rsidRDefault="00F5734E" w:rsidP="00F5734E">
      <w:pPr>
        <w:pStyle w:val="Body"/>
        <w:tabs>
          <w:tab w:val="left" w:pos="1440"/>
        </w:tabs>
        <w:spacing w:before="150" w:after="90"/>
        <w:ind w:left="1080"/>
        <w:rPr>
          <w:b/>
          <w:bCs/>
        </w:rPr>
      </w:pPr>
    </w:p>
    <w:p w14:paraId="42B5CF3E" w14:textId="77777777" w:rsidR="00F5734E" w:rsidRDefault="00F5734E" w:rsidP="00616CD0">
      <w:pPr>
        <w:pStyle w:val="Heading5"/>
        <w:rPr>
          <w:rStyle w:val="None"/>
        </w:rPr>
      </w:pPr>
      <w:r>
        <w:rPr>
          <w:rStyle w:val="None"/>
        </w:rPr>
        <w:t>R11.7.1</w:t>
      </w:r>
      <w:r>
        <w:tab/>
      </w:r>
      <w:r>
        <w:rPr>
          <w:rStyle w:val="None"/>
        </w:rPr>
        <w:t>Multiple pages</w:t>
      </w:r>
    </w:p>
    <w:p w14:paraId="53DC64A0" w14:textId="618826E7" w:rsidR="00F5734E" w:rsidRDefault="00F5734E" w:rsidP="00BA5FCD">
      <w:pPr>
        <w:pStyle w:val="Rule"/>
        <w:ind w:left="0"/>
        <w:rPr>
          <w:rStyle w:val="None"/>
        </w:rPr>
      </w:pPr>
      <w:r>
        <w:rPr>
          <w:rStyle w:val="None"/>
        </w:rPr>
        <w:t xml:space="preserve">Use a comma or commas to indicate a </w:t>
      </w:r>
      <w:proofErr w:type="spellStart"/>
      <w:r>
        <w:rPr>
          <w:rStyle w:val="None"/>
        </w:rPr>
        <w:t>pincite</w:t>
      </w:r>
      <w:proofErr w:type="spellEnd"/>
      <w:r>
        <w:rPr>
          <w:rStyle w:val="None"/>
        </w:rPr>
        <w:t xml:space="preserve"> to multiple </w:t>
      </w:r>
      <w:r w:rsidR="009606DC">
        <w:rPr>
          <w:rStyle w:val="None"/>
        </w:rPr>
        <w:t xml:space="preserve">non-sequential </w:t>
      </w:r>
      <w:r>
        <w:rPr>
          <w:rStyle w:val="None"/>
        </w:rPr>
        <w:t xml:space="preserve">pages. </w:t>
      </w:r>
    </w:p>
    <w:p w14:paraId="490D2591" w14:textId="48FF35DE" w:rsidR="00F5734E" w:rsidRDefault="00F5734E" w:rsidP="00BA5FCD">
      <w:pPr>
        <w:pStyle w:val="Example"/>
        <w:ind w:left="720"/>
        <w:rPr>
          <w:rStyle w:val="None"/>
        </w:rPr>
      </w:pPr>
      <w:r>
        <w:rPr>
          <w:rStyle w:val="None"/>
          <w:b/>
          <w:bCs w:val="0"/>
        </w:rPr>
        <w:t>Example:</w:t>
      </w:r>
    </w:p>
    <w:p w14:paraId="1867048B" w14:textId="77777777" w:rsidR="00F5734E" w:rsidRDefault="00F5734E" w:rsidP="00BA5FCD">
      <w:pPr>
        <w:pStyle w:val="Example"/>
        <w:ind w:left="720"/>
      </w:pPr>
      <w:r>
        <w:rPr>
          <w:rStyle w:val="None"/>
          <w:i/>
          <w:iCs/>
        </w:rPr>
        <w:t>Gordon v. Secretary of State of New Jersey</w:t>
      </w:r>
      <w:r>
        <w:rPr>
          <w:rStyle w:val="None"/>
        </w:rPr>
        <w:t>, 460 F. Supp. 1026, 1026, 1028 (D.N.J. 1978) (dismissing a complaint charging that plaintiff, by reason of his illegal incarceration in jail, had been deprived of the office of the President of the United States).</w:t>
      </w:r>
    </w:p>
    <w:p w14:paraId="43260C4E" w14:textId="77777777" w:rsidR="00F5734E" w:rsidRDefault="00F5734E" w:rsidP="00616CD0">
      <w:pPr>
        <w:pStyle w:val="Heading5"/>
        <w:rPr>
          <w:rStyle w:val="None"/>
        </w:rPr>
      </w:pPr>
      <w:r>
        <w:rPr>
          <w:rStyle w:val="None"/>
        </w:rPr>
        <w:t>R11.7.2</w:t>
      </w:r>
      <w:r>
        <w:rPr>
          <w:rStyle w:val="None"/>
        </w:rPr>
        <w:tab/>
        <w:t>Span of pages</w:t>
      </w:r>
    </w:p>
    <w:p w14:paraId="25B2F4F0" w14:textId="77777777" w:rsidR="00F5734E" w:rsidRDefault="00F5734E" w:rsidP="00BA5FCD">
      <w:pPr>
        <w:pStyle w:val="Rule"/>
        <w:ind w:left="0"/>
        <w:rPr>
          <w:rStyle w:val="None"/>
        </w:rPr>
      </w:pPr>
      <w:r>
        <w:rPr>
          <w:rStyle w:val="None"/>
        </w:rPr>
        <w:t xml:space="preserve">Use a hyphen or </w:t>
      </w:r>
      <w:proofErr w:type="spellStart"/>
      <w:r>
        <w:rPr>
          <w:rStyle w:val="None"/>
        </w:rPr>
        <w:t>en</w:t>
      </w:r>
      <w:proofErr w:type="spellEnd"/>
      <w:r>
        <w:rPr>
          <w:rStyle w:val="None"/>
        </w:rPr>
        <w:t xml:space="preserve"> dash to indicate a </w:t>
      </w:r>
      <w:proofErr w:type="spellStart"/>
      <w:r>
        <w:rPr>
          <w:rStyle w:val="None"/>
        </w:rPr>
        <w:t>pincite</w:t>
      </w:r>
      <w:proofErr w:type="spellEnd"/>
      <w:r>
        <w:rPr>
          <w:rStyle w:val="None"/>
        </w:rPr>
        <w:t xml:space="preserve"> to a span of pages.  </w:t>
      </w:r>
    </w:p>
    <w:p w14:paraId="7066A5D1" w14:textId="0E1E1CB6" w:rsidR="00BA5FCD" w:rsidRDefault="00F5734E" w:rsidP="00BA5FCD">
      <w:pPr>
        <w:pStyle w:val="Example"/>
        <w:ind w:left="720"/>
        <w:rPr>
          <w:rStyle w:val="None"/>
        </w:rPr>
      </w:pPr>
      <w:r>
        <w:rPr>
          <w:rStyle w:val="None"/>
          <w:b/>
          <w:bCs w:val="0"/>
        </w:rPr>
        <w:t>Example:</w:t>
      </w:r>
      <w:r>
        <w:rPr>
          <w:rStyle w:val="None"/>
        </w:rPr>
        <w:t> </w:t>
      </w:r>
    </w:p>
    <w:p w14:paraId="7BFCFBAA" w14:textId="3417BF99" w:rsidR="00F5734E" w:rsidRDefault="00F5734E" w:rsidP="00BA5FCD">
      <w:pPr>
        <w:pStyle w:val="Example"/>
        <w:ind w:left="720"/>
        <w:rPr>
          <w:rStyle w:val="None"/>
        </w:rPr>
      </w:pPr>
      <w:r>
        <w:rPr>
          <w:rStyle w:val="None"/>
          <w:i/>
          <w:iCs/>
        </w:rPr>
        <w:t>Helton v. State</w:t>
      </w:r>
      <w:r>
        <w:rPr>
          <w:rStyle w:val="None"/>
        </w:rPr>
        <w:t>, 311 So. 2d 381, 382-84 (Fla. Dist. Ct. App. 1975) (reciting the prosecutor’s closing arguments in a parody of “</w:t>
      </w:r>
      <w:proofErr w:type="spellStart"/>
      <w:r>
        <w:rPr>
          <w:rStyle w:val="None"/>
          <w:i/>
          <w:iCs/>
        </w:rPr>
        <w:t>’Twas</w:t>
      </w:r>
      <w:proofErr w:type="spellEnd"/>
      <w:r>
        <w:rPr>
          <w:rStyle w:val="None"/>
          <w:i/>
          <w:iCs/>
        </w:rPr>
        <w:t xml:space="preserve"> the Night Before Christmas</w:t>
      </w:r>
      <w:r>
        <w:rPr>
          <w:rStyle w:val="None"/>
        </w:rPr>
        <w:t>”).</w:t>
      </w:r>
    </w:p>
    <w:p w14:paraId="334F9A6D" w14:textId="77777777" w:rsidR="00F5734E" w:rsidRDefault="00F5734E" w:rsidP="00616CD0">
      <w:pPr>
        <w:pStyle w:val="Heading5"/>
        <w:rPr>
          <w:rStyle w:val="None"/>
        </w:rPr>
      </w:pPr>
      <w:r>
        <w:rPr>
          <w:rStyle w:val="None"/>
        </w:rPr>
        <w:t>R11.7.3</w:t>
      </w:r>
      <w:r>
        <w:rPr>
          <w:rStyle w:val="None"/>
        </w:rPr>
        <w:tab/>
        <w:t>Paragraph numbers in medium-neutral cases</w:t>
      </w:r>
    </w:p>
    <w:p w14:paraId="0FE41035" w14:textId="77777777" w:rsidR="00F5734E" w:rsidRDefault="00F5734E" w:rsidP="00BA5FCD">
      <w:pPr>
        <w:pStyle w:val="Rule"/>
        <w:ind w:left="0"/>
        <w:rPr>
          <w:rStyle w:val="None"/>
        </w:rPr>
      </w:pPr>
      <w:r>
        <w:rPr>
          <w:rStyle w:val="None"/>
        </w:rPr>
        <w:t xml:space="preserve">Use a paragraph symbol and the paragraph number to </w:t>
      </w:r>
      <w:proofErr w:type="spellStart"/>
      <w:r>
        <w:rPr>
          <w:rStyle w:val="None"/>
        </w:rPr>
        <w:t>pincite</w:t>
      </w:r>
      <w:proofErr w:type="spellEnd"/>
      <w:r>
        <w:rPr>
          <w:rStyle w:val="None"/>
        </w:rPr>
        <w:t xml:space="preserve"> to a case published in medium-neutral format. To refer to a span of paragraphs in the case, use two </w:t>
      </w:r>
      <w:proofErr w:type="gramStart"/>
      <w:r>
        <w:rPr>
          <w:rStyle w:val="None"/>
        </w:rPr>
        <w:t>paragraphs</w:t>
      </w:r>
      <w:proofErr w:type="gramEnd"/>
      <w:r>
        <w:rPr>
          <w:rStyle w:val="None"/>
        </w:rPr>
        <w:t xml:space="preserve"> symbols and numbers indicating the cited span, separated by a hyphen or </w:t>
      </w:r>
      <w:proofErr w:type="spellStart"/>
      <w:r>
        <w:rPr>
          <w:rStyle w:val="None"/>
        </w:rPr>
        <w:t>en</w:t>
      </w:r>
      <w:proofErr w:type="spellEnd"/>
      <w:r>
        <w:rPr>
          <w:rStyle w:val="None"/>
        </w:rPr>
        <w:t xml:space="preserve"> dash.</w:t>
      </w:r>
    </w:p>
    <w:p w14:paraId="3B4E751B" w14:textId="4500E44C" w:rsidR="00F5734E" w:rsidRDefault="00F5734E" w:rsidP="00F734C1">
      <w:pPr>
        <w:pStyle w:val="Example"/>
        <w:ind w:left="720"/>
        <w:rPr>
          <w:rStyle w:val="None"/>
        </w:rPr>
      </w:pPr>
      <w:r>
        <w:rPr>
          <w:rStyle w:val="None"/>
          <w:b/>
          <w:bCs w:val="0"/>
        </w:rPr>
        <w:t>Examples:</w:t>
      </w:r>
    </w:p>
    <w:p w14:paraId="4BEF5AF5" w14:textId="77777777" w:rsidR="00F5734E" w:rsidRDefault="00F5734E" w:rsidP="00F734C1">
      <w:pPr>
        <w:pStyle w:val="Example"/>
        <w:ind w:left="720"/>
      </w:pPr>
      <w:r>
        <w:rPr>
          <w:rStyle w:val="None"/>
          <w:i/>
          <w:iCs/>
        </w:rPr>
        <w:t xml:space="preserve">Couch v. </w:t>
      </w:r>
      <w:proofErr w:type="spellStart"/>
      <w:r>
        <w:rPr>
          <w:rStyle w:val="None"/>
          <w:i/>
          <w:iCs/>
        </w:rPr>
        <w:t>Durrani</w:t>
      </w:r>
      <w:proofErr w:type="spellEnd"/>
      <w:r>
        <w:rPr>
          <w:rStyle w:val="None"/>
        </w:rPr>
        <w:t>, 2021-Ohio-726, ¶ 9 (Ct. App. 2021).</w:t>
      </w:r>
    </w:p>
    <w:p w14:paraId="38815427" w14:textId="77777777" w:rsidR="00F5734E" w:rsidRDefault="00F5734E" w:rsidP="00F734C1">
      <w:pPr>
        <w:pStyle w:val="Example"/>
        <w:ind w:left="720"/>
        <w:rPr>
          <w:rStyle w:val="None"/>
        </w:rPr>
      </w:pPr>
      <w:r>
        <w:rPr>
          <w:rStyle w:val="None"/>
          <w:i/>
          <w:iCs/>
        </w:rPr>
        <w:t xml:space="preserve">Couch v. </w:t>
      </w:r>
      <w:proofErr w:type="spellStart"/>
      <w:r>
        <w:rPr>
          <w:rStyle w:val="None"/>
          <w:i/>
          <w:iCs/>
        </w:rPr>
        <w:t>Durrani</w:t>
      </w:r>
      <w:proofErr w:type="spellEnd"/>
      <w:r>
        <w:rPr>
          <w:rStyle w:val="None"/>
        </w:rPr>
        <w:t>, 2021-Ohio-726, ¶ ¶ 9-15 (Ct. App. 2021).</w:t>
      </w:r>
    </w:p>
    <w:p w14:paraId="54862C44" w14:textId="77777777" w:rsidR="00F5734E" w:rsidRDefault="00F5734E" w:rsidP="00F734C1">
      <w:pPr>
        <w:pStyle w:val="Example"/>
        <w:ind w:left="720"/>
        <w:rPr>
          <w:rStyle w:val="None"/>
        </w:rPr>
      </w:pPr>
      <w:r>
        <w:rPr>
          <w:rStyle w:val="None"/>
          <w:i/>
          <w:iCs/>
        </w:rPr>
        <w:t>Id.</w:t>
      </w:r>
      <w:r>
        <w:rPr>
          <w:rStyle w:val="None"/>
        </w:rPr>
        <w:t xml:space="preserve"> at ¶ 18.</w:t>
      </w:r>
    </w:p>
    <w:p w14:paraId="3A5D0D36" w14:textId="77777777" w:rsidR="00F5734E" w:rsidRDefault="00F5734E" w:rsidP="00F5734E">
      <w:pPr>
        <w:pStyle w:val="Body"/>
        <w:rPr>
          <w:rStyle w:val="None"/>
          <w:i/>
          <w:iCs/>
          <w:lang w:val="en-US"/>
        </w:rPr>
      </w:pPr>
    </w:p>
    <w:p w14:paraId="1ED0A8A9" w14:textId="76C4C606" w:rsidR="00F5734E" w:rsidRDefault="00F5734E" w:rsidP="00616CD0">
      <w:pPr>
        <w:pStyle w:val="Heading5"/>
        <w:rPr>
          <w:rStyle w:val="None"/>
        </w:rPr>
      </w:pPr>
      <w:r>
        <w:rPr>
          <w:rStyle w:val="None"/>
        </w:rPr>
        <w:t>R11.7.4</w:t>
      </w:r>
      <w:r>
        <w:rPr>
          <w:rStyle w:val="None"/>
        </w:rPr>
        <w:tab/>
        <w:t>Citing a footnote</w:t>
      </w:r>
    </w:p>
    <w:p w14:paraId="45E31F48" w14:textId="77777777" w:rsidR="00F5734E" w:rsidRDefault="00F5734E" w:rsidP="00F734C1">
      <w:pPr>
        <w:pStyle w:val="Rule"/>
        <w:ind w:left="0"/>
      </w:pPr>
      <w:r>
        <w:rPr>
          <w:rStyle w:val="None"/>
        </w:rPr>
        <w:t>To cite a footnote, provide a page number followed immediately with a footnote number, using “n.” to show footnote number. There is no space between “n.” and the footnote number.</w:t>
      </w:r>
    </w:p>
    <w:p w14:paraId="3533D65D" w14:textId="39659651" w:rsidR="00F5734E" w:rsidRDefault="00F5734E" w:rsidP="00F734C1">
      <w:pPr>
        <w:pStyle w:val="Example"/>
        <w:ind w:left="720"/>
        <w:rPr>
          <w:rStyle w:val="None"/>
        </w:rPr>
      </w:pPr>
      <w:r>
        <w:rPr>
          <w:rStyle w:val="None"/>
          <w:b/>
          <w:bCs w:val="0"/>
        </w:rPr>
        <w:t>Example:</w:t>
      </w:r>
      <w:r>
        <w:rPr>
          <w:rStyle w:val="None"/>
        </w:rPr>
        <w:t> </w:t>
      </w:r>
      <w:r>
        <w:rPr>
          <w:rStyle w:val="None"/>
        </w:rPr>
        <w:tab/>
      </w:r>
    </w:p>
    <w:p w14:paraId="20B37305" w14:textId="77777777" w:rsidR="00F5734E" w:rsidRDefault="00F5734E" w:rsidP="00F734C1">
      <w:pPr>
        <w:pStyle w:val="Example"/>
        <w:ind w:left="720"/>
        <w:rPr>
          <w:rFonts w:ascii="Georgia" w:hAnsi="Georgia"/>
        </w:rPr>
      </w:pPr>
      <w:r>
        <w:rPr>
          <w:rStyle w:val="None"/>
          <w:i/>
          <w:iCs/>
        </w:rPr>
        <w:t>Cunningham v. State</w:t>
      </w:r>
      <w:r>
        <w:rPr>
          <w:rStyle w:val="None"/>
        </w:rPr>
        <w:t>, 822 S.E.2d 281, 285 n.4 (Ga. 2018) (</w:t>
      </w:r>
      <w:proofErr w:type="spellStart"/>
      <w:r>
        <w:rPr>
          <w:rStyle w:val="None"/>
        </w:rPr>
        <w:t>Hunstein</w:t>
      </w:r>
      <w:proofErr w:type="spellEnd"/>
      <w:r>
        <w:rPr>
          <w:rStyle w:val="None"/>
        </w:rPr>
        <w:t xml:space="preserve">, J.) (“And that’s all she wrote.”) </w:t>
      </w:r>
    </w:p>
    <w:p w14:paraId="1F505A5D" w14:textId="5A6D1811" w:rsidR="00F5734E" w:rsidRDefault="00F5734E" w:rsidP="003E5933">
      <w:pPr>
        <w:pStyle w:val="Heading3"/>
        <w:rPr>
          <w:rStyle w:val="None"/>
          <w:b w:val="0"/>
          <w:bCs w:val="0"/>
          <w:sz w:val="27"/>
          <w:szCs w:val="27"/>
        </w:rPr>
      </w:pPr>
      <w:bookmarkStart w:id="26" w:name="_Toc78928052"/>
      <w:r>
        <w:rPr>
          <w:rStyle w:val="None"/>
          <w:sz w:val="27"/>
          <w:szCs w:val="27"/>
        </w:rPr>
        <w:t>R12</w:t>
      </w:r>
      <w:r w:rsidR="00366383">
        <w:rPr>
          <w:rStyle w:val="None"/>
          <w:sz w:val="27"/>
          <w:szCs w:val="27"/>
        </w:rPr>
        <w:tab/>
      </w:r>
      <w:r>
        <w:rPr>
          <w:rStyle w:val="None"/>
          <w:sz w:val="27"/>
          <w:szCs w:val="27"/>
        </w:rPr>
        <w:t xml:space="preserve">Court </w:t>
      </w:r>
      <w:r w:rsidR="00D57300">
        <w:rPr>
          <w:rStyle w:val="None"/>
          <w:sz w:val="27"/>
          <w:szCs w:val="27"/>
        </w:rPr>
        <w:t xml:space="preserve">and </w:t>
      </w:r>
      <w:r>
        <w:rPr>
          <w:rStyle w:val="None"/>
          <w:sz w:val="27"/>
          <w:szCs w:val="27"/>
        </w:rPr>
        <w:t>Year</w:t>
      </w:r>
      <w:bookmarkEnd w:id="26"/>
    </w:p>
    <w:p w14:paraId="68A76990" w14:textId="10331BDB" w:rsidR="00F5734E" w:rsidRDefault="00F5734E" w:rsidP="00616CD0">
      <w:pPr>
        <w:pStyle w:val="Heading4"/>
      </w:pPr>
      <w:r>
        <w:rPr>
          <w:rStyle w:val="None"/>
        </w:rPr>
        <w:t>R12.1</w:t>
      </w:r>
      <w:r w:rsidR="00366383">
        <w:rPr>
          <w:rStyle w:val="None"/>
        </w:rPr>
        <w:tab/>
      </w:r>
      <w:r w:rsidR="00D57300">
        <w:rPr>
          <w:rStyle w:val="None"/>
        </w:rPr>
        <w:t>Overview of Court and Year</w:t>
      </w:r>
    </w:p>
    <w:p w14:paraId="7989B9F6" w14:textId="148EA2F4" w:rsidR="00F5734E" w:rsidRDefault="00F5734E" w:rsidP="00FA6FB6">
      <w:pPr>
        <w:pStyle w:val="Rule"/>
        <w:ind w:left="0"/>
        <w:rPr>
          <w:rStyle w:val="None"/>
        </w:rPr>
      </w:pPr>
      <w:r>
        <w:rPr>
          <w:rStyle w:val="None"/>
        </w:rPr>
        <w:t xml:space="preserve">Citations should include both the deciding court and the year of decision in parentheses. Use </w:t>
      </w:r>
      <w:r w:rsidRPr="00823846">
        <w:rPr>
          <w:rStyle w:val="Rulereferencecharacterstyle"/>
        </w:rPr>
        <w:t>Table T1</w:t>
      </w:r>
      <w:r>
        <w:rPr>
          <w:rStyle w:val="None"/>
        </w:rPr>
        <w:t xml:space="preserve"> for federal cases and </w:t>
      </w:r>
      <w:r w:rsidRPr="00823846">
        <w:rPr>
          <w:rStyle w:val="Rulereferencecharacterstyle"/>
        </w:rPr>
        <w:t>Table T3</w:t>
      </w:r>
      <w:r>
        <w:rPr>
          <w:rStyle w:val="None"/>
        </w:rPr>
        <w:t xml:space="preserve"> for state cases. </w:t>
      </w:r>
      <w:r w:rsidR="00823846">
        <w:rPr>
          <w:rStyle w:val="None"/>
        </w:rPr>
        <w:t>If</w:t>
      </w:r>
      <w:r>
        <w:rPr>
          <w:rStyle w:val="None"/>
        </w:rPr>
        <w:t xml:space="preserve"> </w:t>
      </w:r>
      <w:r w:rsidR="00823846">
        <w:rPr>
          <w:rStyle w:val="None"/>
        </w:rPr>
        <w:t>these tables</w:t>
      </w:r>
      <w:r>
        <w:rPr>
          <w:rStyle w:val="None"/>
        </w:rPr>
        <w:t xml:space="preserve"> do not provide the needed abbreviation information, construct an abbreviation using </w:t>
      </w:r>
      <w:r w:rsidRPr="00823846">
        <w:rPr>
          <w:rStyle w:val="Rulereferencecharacterstyle"/>
        </w:rPr>
        <w:t>Table T9</w:t>
      </w:r>
      <w:r>
        <w:rPr>
          <w:rStyle w:val="None"/>
        </w:rPr>
        <w:t xml:space="preserve"> and </w:t>
      </w:r>
      <w:r w:rsidR="00823846" w:rsidRPr="00823846">
        <w:rPr>
          <w:rStyle w:val="Rulereferencecharacterstyle"/>
        </w:rPr>
        <w:t xml:space="preserve">Table </w:t>
      </w:r>
      <w:r w:rsidRPr="00823846">
        <w:rPr>
          <w:rStyle w:val="Rulereferencecharacterstyle"/>
        </w:rPr>
        <w:t>T12</w:t>
      </w:r>
      <w:r>
        <w:rPr>
          <w:rStyle w:val="None"/>
        </w:rPr>
        <w:t xml:space="preserve"> for court and geographical abbreviations.</w:t>
      </w:r>
    </w:p>
    <w:p w14:paraId="33B00DDA" w14:textId="77777777" w:rsidR="00F5734E" w:rsidRDefault="00F5734E" w:rsidP="00FA6FB6">
      <w:pPr>
        <w:pStyle w:val="Example"/>
        <w:rPr>
          <w:rStyle w:val="None"/>
          <w:b/>
          <w:bCs w:val="0"/>
        </w:rPr>
      </w:pPr>
      <w:r>
        <w:rPr>
          <w:rStyle w:val="None"/>
          <w:b/>
        </w:rPr>
        <w:t>Examples:</w:t>
      </w:r>
    </w:p>
    <w:p w14:paraId="041024DD" w14:textId="77777777" w:rsidR="00F5734E" w:rsidRDefault="00F5734E" w:rsidP="00FA6FB6">
      <w:pPr>
        <w:pStyle w:val="Example"/>
        <w:rPr>
          <w:rStyle w:val="None"/>
        </w:rPr>
      </w:pPr>
      <w:r>
        <w:rPr>
          <w:rStyle w:val="None"/>
          <w:i/>
          <w:iCs/>
        </w:rPr>
        <w:t xml:space="preserve">Learning Curve Toys, Inc. v. </w:t>
      </w:r>
      <w:proofErr w:type="spellStart"/>
      <w:r>
        <w:rPr>
          <w:rStyle w:val="None"/>
          <w:i/>
          <w:iCs/>
        </w:rPr>
        <w:t>PlayWood</w:t>
      </w:r>
      <w:proofErr w:type="spellEnd"/>
      <w:r>
        <w:rPr>
          <w:rStyle w:val="None"/>
          <w:i/>
          <w:iCs/>
        </w:rPr>
        <w:t xml:space="preserve"> Toys, Inc.</w:t>
      </w:r>
      <w:r>
        <w:rPr>
          <w:rStyle w:val="None"/>
        </w:rPr>
        <w:t>, 342 F.3d 714 (7th Cir. 2003).</w:t>
      </w:r>
    </w:p>
    <w:p w14:paraId="7A62DC64" w14:textId="77777777" w:rsidR="00F5734E" w:rsidRDefault="00F5734E" w:rsidP="00FA6FB6">
      <w:pPr>
        <w:pStyle w:val="Example"/>
        <w:rPr>
          <w:rStyle w:val="None"/>
        </w:rPr>
      </w:pPr>
      <w:r>
        <w:rPr>
          <w:rStyle w:val="None"/>
          <w:i/>
          <w:iCs/>
        </w:rPr>
        <w:t>Mattel, Inc. v. MGA Ent. Inc.</w:t>
      </w:r>
      <w:r>
        <w:rPr>
          <w:rStyle w:val="None"/>
        </w:rPr>
        <w:t>, 782 F. Supp. 2d 911 (C.D. Cal. 2011).</w:t>
      </w:r>
    </w:p>
    <w:p w14:paraId="3DADEBAE" w14:textId="77777777" w:rsidR="00F5734E" w:rsidRDefault="00F5734E" w:rsidP="00FA6FB6">
      <w:pPr>
        <w:pStyle w:val="Example"/>
        <w:rPr>
          <w:rStyle w:val="None"/>
        </w:rPr>
      </w:pPr>
      <w:r>
        <w:rPr>
          <w:rStyle w:val="None"/>
          <w:i/>
          <w:iCs/>
        </w:rPr>
        <w:t xml:space="preserve">Barking Hound </w:t>
      </w:r>
      <w:proofErr w:type="spellStart"/>
      <w:r>
        <w:rPr>
          <w:rStyle w:val="None"/>
          <w:i/>
          <w:iCs/>
        </w:rPr>
        <w:t>Villege</w:t>
      </w:r>
      <w:proofErr w:type="spellEnd"/>
      <w:r>
        <w:rPr>
          <w:rStyle w:val="None"/>
          <w:i/>
          <w:iCs/>
        </w:rPr>
        <w:t xml:space="preserve">, LLC v. </w:t>
      </w:r>
      <w:proofErr w:type="spellStart"/>
      <w:r>
        <w:rPr>
          <w:rStyle w:val="None"/>
          <w:i/>
          <w:iCs/>
        </w:rPr>
        <w:t>Monyak</w:t>
      </w:r>
      <w:proofErr w:type="spellEnd"/>
      <w:r>
        <w:rPr>
          <w:rStyle w:val="None"/>
        </w:rPr>
        <w:t>, 787 S.E.2d 191 (Ga. 2016).</w:t>
      </w:r>
    </w:p>
    <w:p w14:paraId="543735B8" w14:textId="77777777" w:rsidR="00F5734E" w:rsidRDefault="00F5734E" w:rsidP="00FA6FB6">
      <w:pPr>
        <w:pStyle w:val="Example"/>
        <w:rPr>
          <w:rStyle w:val="None"/>
        </w:rPr>
      </w:pPr>
      <w:r>
        <w:rPr>
          <w:rStyle w:val="None"/>
          <w:i/>
          <w:iCs/>
        </w:rPr>
        <w:t>Alexander v. Gen. Acc. Fire &amp; Life Assurance Corp.</w:t>
      </w:r>
      <w:r>
        <w:rPr>
          <w:rStyle w:val="None"/>
        </w:rPr>
        <w:t>, 98 So. 2d 730 (La. Ct. App. 1957).</w:t>
      </w:r>
    </w:p>
    <w:p w14:paraId="6514C6EF" w14:textId="77777777" w:rsidR="00F5734E" w:rsidRDefault="00F5734E" w:rsidP="00F5734E">
      <w:pPr>
        <w:pStyle w:val="Body"/>
        <w:spacing w:before="150" w:after="90"/>
        <w:ind w:left="840"/>
        <w:rPr>
          <w:rStyle w:val="None"/>
          <w:lang w:val="en-US"/>
        </w:rPr>
      </w:pPr>
    </w:p>
    <w:p w14:paraId="6B9D577C" w14:textId="7D7B4FE3" w:rsidR="00F5734E" w:rsidRDefault="00F5734E" w:rsidP="00616CD0">
      <w:pPr>
        <w:pStyle w:val="Heading4"/>
      </w:pPr>
      <w:r>
        <w:rPr>
          <w:rStyle w:val="None"/>
        </w:rPr>
        <w:t xml:space="preserve">R12.2 </w:t>
      </w:r>
      <w:r>
        <w:rPr>
          <w:rStyle w:val="None"/>
        </w:rPr>
        <w:tab/>
        <w:t xml:space="preserve">Court </w:t>
      </w:r>
      <w:r w:rsidR="00832748">
        <w:rPr>
          <w:rStyle w:val="None"/>
        </w:rPr>
        <w:t>A</w:t>
      </w:r>
      <w:r>
        <w:rPr>
          <w:rStyle w:val="None"/>
        </w:rPr>
        <w:t>bbreviations</w:t>
      </w:r>
    </w:p>
    <w:p w14:paraId="345E10FF" w14:textId="255F6318" w:rsidR="00F5734E" w:rsidRDefault="00F5734E" w:rsidP="00832748">
      <w:pPr>
        <w:pStyle w:val="Rule"/>
        <w:ind w:left="0"/>
        <w:rPr>
          <w:rStyle w:val="None"/>
        </w:rPr>
      </w:pPr>
      <w:r>
        <w:rPr>
          <w:rStyle w:val="None"/>
        </w:rPr>
        <w:t>See</w:t>
      </w:r>
      <w:r>
        <w:t xml:space="preserve"> </w:t>
      </w:r>
      <w:r w:rsidRPr="00832748">
        <w:rPr>
          <w:rStyle w:val="Rulereferencecharacterstyle"/>
        </w:rPr>
        <w:t>Table T1</w:t>
      </w:r>
      <w:r>
        <w:rPr>
          <w:rStyle w:val="None"/>
        </w:rPr>
        <w:t xml:space="preserve"> for how to abbreviate the names of all U.S. federal courts. See </w:t>
      </w:r>
      <w:r w:rsidRPr="00832748">
        <w:rPr>
          <w:rStyle w:val="Rulereferencecharacterstyle"/>
        </w:rPr>
        <w:t>Table T3</w:t>
      </w:r>
      <w:r>
        <w:rPr>
          <w:rStyle w:val="None"/>
        </w:rPr>
        <w:t xml:space="preserve"> for how to abbreviate the names of U.S. state courts. </w:t>
      </w:r>
      <w:r w:rsidR="00832748">
        <w:rPr>
          <w:rStyle w:val="None"/>
        </w:rPr>
        <w:t xml:space="preserve">The </w:t>
      </w:r>
      <w:r>
        <w:rPr>
          <w:rStyle w:val="None"/>
        </w:rPr>
        <w:t xml:space="preserve">chart </w:t>
      </w:r>
      <w:r w:rsidR="00832748">
        <w:rPr>
          <w:rStyle w:val="None"/>
        </w:rPr>
        <w:t>here shows</w:t>
      </w:r>
      <w:r>
        <w:rPr>
          <w:rStyle w:val="None"/>
        </w:rPr>
        <w:t xml:space="preserve"> common examples</w:t>
      </w:r>
      <w:r w:rsidR="00832748">
        <w:rPr>
          <w:rStyle w:val="None"/>
        </w:rPr>
        <w:t>.</w:t>
      </w: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931"/>
        <w:gridCol w:w="10270"/>
        <w:gridCol w:w="9114"/>
      </w:tblGrid>
      <w:tr w:rsidR="00F5734E" w14:paraId="241CF54E" w14:textId="77777777" w:rsidTr="00F5734E">
        <w:trPr>
          <w:trHeight w:val="235"/>
          <w:tblHeader/>
        </w:trPr>
        <w:tc>
          <w:tcPr>
            <w:tcW w:w="193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7BEE918" w14:textId="77777777" w:rsidR="00F5734E" w:rsidRDefault="00F5734E">
            <w:pPr>
              <w:pStyle w:val="Body"/>
              <w:spacing w:before="180" w:after="180" w:line="220" w:lineRule="atLeast"/>
            </w:pPr>
            <w:r>
              <w:rPr>
                <w:rStyle w:val="None"/>
                <w:b/>
                <w:bCs/>
                <w:sz w:val="20"/>
                <w:szCs w:val="20"/>
                <w:lang w:val="en-US"/>
              </w:rPr>
              <w:t>Court</w:t>
            </w:r>
          </w:p>
        </w:tc>
        <w:tc>
          <w:tcPr>
            <w:tcW w:w="10270"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12010B1F" w14:textId="77777777" w:rsidR="00F5734E" w:rsidRDefault="00F5734E">
            <w:pPr>
              <w:pStyle w:val="Body"/>
              <w:spacing w:before="180" w:after="180" w:line="220" w:lineRule="atLeast"/>
              <w:rPr>
                <w:lang w:val="en-US"/>
              </w:rPr>
            </w:pPr>
            <w:r>
              <w:rPr>
                <w:rStyle w:val="None"/>
                <w:b/>
                <w:bCs/>
                <w:sz w:val="20"/>
                <w:szCs w:val="20"/>
                <w:lang w:val="en-US"/>
              </w:rPr>
              <w:t>Guidance on Reporter Selection and Court Abbreviation</w:t>
            </w:r>
          </w:p>
        </w:tc>
        <w:tc>
          <w:tcPr>
            <w:tcW w:w="9114"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hideMark/>
          </w:tcPr>
          <w:p w14:paraId="4D147017" w14:textId="77777777" w:rsidR="00F5734E" w:rsidRDefault="00F5734E">
            <w:pPr>
              <w:pStyle w:val="Body"/>
              <w:spacing w:before="180" w:after="180" w:line="220" w:lineRule="atLeast"/>
              <w:rPr>
                <w:lang w:val="en-US"/>
              </w:rPr>
            </w:pPr>
            <w:r>
              <w:rPr>
                <w:rStyle w:val="None"/>
                <w:b/>
                <w:bCs/>
                <w:sz w:val="20"/>
                <w:szCs w:val="20"/>
                <w:lang w:val="en-US"/>
              </w:rPr>
              <w:t>Example</w:t>
            </w:r>
          </w:p>
        </w:tc>
      </w:tr>
      <w:tr w:rsidR="00F5734E" w14:paraId="40ABAD5A" w14:textId="77777777" w:rsidTr="00F5734E">
        <w:trPr>
          <w:trHeight w:val="155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05FB67BD" w14:textId="77777777" w:rsidR="00F5734E" w:rsidRDefault="00F5734E">
            <w:pPr>
              <w:pStyle w:val="Body"/>
              <w:spacing w:line="220" w:lineRule="atLeast"/>
              <w:rPr>
                <w:lang w:val="en-US"/>
              </w:rPr>
            </w:pPr>
            <w:r>
              <w:rPr>
                <w:rStyle w:val="None"/>
                <w:sz w:val="20"/>
                <w:szCs w:val="20"/>
                <w:lang w:val="en-US"/>
              </w:rPr>
              <w:t>United States Supreme Court</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18C76C31" w14:textId="77777777" w:rsidR="00F5734E" w:rsidRDefault="00F5734E">
            <w:pPr>
              <w:pStyle w:val="Body"/>
              <w:spacing w:line="220" w:lineRule="atLeast"/>
              <w:rPr>
                <w:rStyle w:val="None"/>
                <w:sz w:val="20"/>
                <w:szCs w:val="20"/>
              </w:rPr>
            </w:pPr>
            <w:r>
              <w:rPr>
                <w:rStyle w:val="None"/>
                <w:sz w:val="20"/>
                <w:szCs w:val="20"/>
                <w:lang w:val="en-US"/>
              </w:rPr>
              <w:t>Use U.S. if the opinion is published in the United States Reports. </w:t>
            </w:r>
          </w:p>
          <w:p w14:paraId="358E65EC" w14:textId="77777777" w:rsidR="00F5734E" w:rsidRDefault="00F5734E">
            <w:pPr>
              <w:pStyle w:val="Body"/>
              <w:spacing w:line="220" w:lineRule="atLeast"/>
              <w:rPr>
                <w:rStyle w:val="None"/>
                <w:sz w:val="20"/>
                <w:szCs w:val="20"/>
                <w:lang w:val="en-US"/>
              </w:rPr>
            </w:pPr>
          </w:p>
          <w:p w14:paraId="32E8EB92" w14:textId="77777777" w:rsidR="00F5734E" w:rsidRDefault="00F5734E">
            <w:pPr>
              <w:pStyle w:val="Body"/>
              <w:spacing w:line="220" w:lineRule="atLeast"/>
              <w:rPr>
                <w:rStyle w:val="None"/>
                <w:sz w:val="20"/>
                <w:szCs w:val="20"/>
                <w:lang w:val="en-US"/>
              </w:rPr>
            </w:pPr>
            <w:r>
              <w:rPr>
                <w:rStyle w:val="None"/>
                <w:sz w:val="20"/>
                <w:szCs w:val="20"/>
                <w:lang w:val="en-US"/>
              </w:rPr>
              <w:t xml:space="preserve">If not, use S. Ct. </w:t>
            </w:r>
          </w:p>
          <w:p w14:paraId="2CA21BE7" w14:textId="77777777" w:rsidR="00F5734E" w:rsidRDefault="00F5734E">
            <w:pPr>
              <w:pStyle w:val="Body"/>
              <w:spacing w:line="220" w:lineRule="atLeast"/>
              <w:rPr>
                <w:rStyle w:val="None"/>
                <w:sz w:val="20"/>
                <w:szCs w:val="20"/>
                <w:lang w:val="en-US"/>
              </w:rPr>
            </w:pPr>
          </w:p>
          <w:p w14:paraId="62153AEB" w14:textId="77777777" w:rsidR="00F5734E" w:rsidRDefault="00F5734E">
            <w:pPr>
              <w:pStyle w:val="Body"/>
              <w:spacing w:line="220" w:lineRule="atLeast"/>
            </w:pPr>
            <w:r>
              <w:rPr>
                <w:rStyle w:val="None"/>
                <w:sz w:val="20"/>
                <w:szCs w:val="20"/>
                <w:lang w:val="en-US"/>
              </w:rPr>
              <w:t>Refer to Table T1 for additional options if U.S. and S. Ct. do not apply.</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3822694" w14:textId="77777777" w:rsidR="00F5734E" w:rsidRDefault="00F5734E">
            <w:pPr>
              <w:pStyle w:val="Body"/>
              <w:spacing w:line="220" w:lineRule="atLeast"/>
              <w:rPr>
                <w:rStyle w:val="None"/>
              </w:rPr>
            </w:pPr>
            <w:r>
              <w:rPr>
                <w:rStyle w:val="None"/>
                <w:i/>
                <w:iCs/>
                <w:sz w:val="20"/>
                <w:szCs w:val="20"/>
                <w:lang w:val="en-US"/>
              </w:rPr>
              <w:t>Two Pesos, Inc. v. Taco Cabana, Inc.</w:t>
            </w:r>
            <w:r>
              <w:rPr>
                <w:rStyle w:val="None"/>
                <w:sz w:val="20"/>
                <w:szCs w:val="20"/>
                <w:lang w:val="en-US"/>
              </w:rPr>
              <w:t>, 505 U.S. 763 (1992).</w:t>
            </w:r>
          </w:p>
          <w:p w14:paraId="130EFA79" w14:textId="77777777" w:rsidR="00F5734E" w:rsidRDefault="00F5734E">
            <w:pPr>
              <w:pStyle w:val="Body"/>
              <w:spacing w:line="220" w:lineRule="atLeast"/>
            </w:pPr>
            <w:r>
              <w:rPr>
                <w:rStyle w:val="None"/>
                <w:i/>
                <w:iCs/>
                <w:sz w:val="20"/>
                <w:szCs w:val="20"/>
                <w:lang w:val="en-US"/>
              </w:rPr>
              <w:t>Google LLC v. Oracle Am., Inc.</w:t>
            </w:r>
            <w:r>
              <w:rPr>
                <w:rStyle w:val="None"/>
                <w:sz w:val="20"/>
                <w:szCs w:val="20"/>
                <w:lang w:val="en-US"/>
              </w:rPr>
              <w:t>, 141 S. Ct. 1183 (2021).</w:t>
            </w:r>
          </w:p>
        </w:tc>
      </w:tr>
      <w:tr w:rsidR="00F5734E" w14:paraId="1F3F0053"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52634C8" w14:textId="77777777" w:rsidR="00F5734E" w:rsidRDefault="00F5734E">
            <w:pPr>
              <w:pStyle w:val="Body"/>
              <w:spacing w:line="220" w:lineRule="atLeast"/>
              <w:rPr>
                <w:lang w:val="en-US"/>
              </w:rPr>
            </w:pPr>
            <w:r>
              <w:rPr>
                <w:rStyle w:val="None"/>
                <w:sz w:val="20"/>
                <w:szCs w:val="20"/>
                <w:lang w:val="en-US"/>
              </w:rPr>
              <w:t>United States Courts of Appeals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75C3A363" w14:textId="77777777" w:rsidR="00F5734E" w:rsidRDefault="00F5734E">
            <w:pPr>
              <w:pStyle w:val="Body"/>
              <w:spacing w:line="220" w:lineRule="atLeast"/>
              <w:rPr>
                <w:lang w:val="en-US"/>
              </w:rPr>
            </w:pPr>
            <w:r>
              <w:rPr>
                <w:rStyle w:val="None"/>
                <w:sz w:val="20"/>
                <w:szCs w:val="20"/>
                <w:lang w:val="en-US"/>
              </w:rPr>
              <w:t>Either F., F.2d, F.3d, or F.4th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6D5FF8C9" w14:textId="77777777" w:rsidR="00F5734E" w:rsidRDefault="00F5734E">
            <w:pPr>
              <w:pStyle w:val="Body"/>
              <w:spacing w:line="220" w:lineRule="atLeast"/>
              <w:rPr>
                <w:rStyle w:val="None"/>
                <w:sz w:val="20"/>
                <w:szCs w:val="20"/>
              </w:rPr>
            </w:pPr>
            <w:r>
              <w:rPr>
                <w:rStyle w:val="None"/>
                <w:i/>
                <w:iCs/>
                <w:sz w:val="20"/>
                <w:szCs w:val="20"/>
                <w:lang w:val="en-US"/>
              </w:rPr>
              <w:t>Batman v. Commissioner</w:t>
            </w:r>
            <w:r>
              <w:rPr>
                <w:rStyle w:val="None"/>
                <w:sz w:val="20"/>
                <w:szCs w:val="20"/>
                <w:lang w:val="en-US"/>
              </w:rPr>
              <w:t>, 189 F.2d 107 (5th Cir. 1951).</w:t>
            </w:r>
          </w:p>
          <w:p w14:paraId="15D81F8C" w14:textId="77777777" w:rsidR="00F5734E" w:rsidRDefault="00F5734E">
            <w:pPr>
              <w:pStyle w:val="Body"/>
              <w:spacing w:line="220" w:lineRule="atLeast"/>
            </w:pPr>
            <w:r>
              <w:rPr>
                <w:rStyle w:val="None"/>
                <w:i/>
                <w:iCs/>
                <w:sz w:val="20"/>
                <w:szCs w:val="20"/>
                <w:lang w:val="en-US"/>
              </w:rPr>
              <w:t>Nance v. United States</w:t>
            </w:r>
            <w:r>
              <w:rPr>
                <w:rStyle w:val="None"/>
                <w:sz w:val="20"/>
                <w:szCs w:val="20"/>
                <w:lang w:val="en-US"/>
              </w:rPr>
              <w:t>, 299 F.2d 122, 124 (D.C. Cir. 1962) (“How do you know it was me, when I had a handkerchief over my face?”).</w:t>
            </w:r>
          </w:p>
        </w:tc>
      </w:tr>
      <w:tr w:rsidR="00F5734E" w14:paraId="7234CEE8" w14:textId="77777777" w:rsidTr="00F5734E">
        <w:trPr>
          <w:trHeight w:val="133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4EFC280C" w14:textId="77777777" w:rsidR="00F5734E" w:rsidRDefault="00F5734E">
            <w:pPr>
              <w:pStyle w:val="Body"/>
              <w:spacing w:line="220" w:lineRule="atLeast"/>
              <w:rPr>
                <w:lang w:val="en-US"/>
              </w:rPr>
            </w:pPr>
            <w:r>
              <w:rPr>
                <w:rStyle w:val="None"/>
                <w:sz w:val="20"/>
                <w:szCs w:val="20"/>
                <w:lang w:val="en-US"/>
              </w:rPr>
              <w:t>United States District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3A994188" w14:textId="77777777" w:rsidR="00F5734E" w:rsidRDefault="00F5734E">
            <w:pPr>
              <w:pStyle w:val="Body"/>
              <w:spacing w:line="220" w:lineRule="atLeast"/>
              <w:rPr>
                <w:lang w:val="en-US"/>
              </w:rPr>
            </w:pPr>
            <w:r>
              <w:rPr>
                <w:rStyle w:val="None"/>
                <w:sz w:val="20"/>
                <w:szCs w:val="20"/>
                <w:lang w:val="en-US"/>
              </w:rPr>
              <w:t>Either F. Supp. or F. Supp. 2d depending on the decision.</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2473CAD6" w14:textId="77777777" w:rsidR="00F5734E" w:rsidRDefault="00F5734E">
            <w:pPr>
              <w:pStyle w:val="Body"/>
              <w:spacing w:line="220" w:lineRule="atLeast"/>
              <w:rPr>
                <w:rStyle w:val="None"/>
                <w:sz w:val="20"/>
                <w:szCs w:val="20"/>
              </w:rPr>
            </w:pPr>
            <w:proofErr w:type="spellStart"/>
            <w:r>
              <w:rPr>
                <w:rStyle w:val="None"/>
                <w:i/>
                <w:iCs/>
                <w:sz w:val="20"/>
                <w:szCs w:val="20"/>
                <w:lang w:val="en-US"/>
              </w:rPr>
              <w:t>Frigaliment</w:t>
            </w:r>
            <w:proofErr w:type="spellEnd"/>
            <w:r>
              <w:rPr>
                <w:rStyle w:val="None"/>
                <w:i/>
                <w:iCs/>
                <w:sz w:val="20"/>
                <w:szCs w:val="20"/>
                <w:lang w:val="en-US"/>
              </w:rPr>
              <w:t xml:space="preserve"> Importing Co. v. B.N.S. Int’l Sales Corp.</w:t>
            </w:r>
            <w:r>
              <w:rPr>
                <w:rStyle w:val="None"/>
                <w:sz w:val="20"/>
                <w:szCs w:val="20"/>
                <w:lang w:val="en-US"/>
              </w:rPr>
              <w:t>, 190 F. Supp. 116, 117 (S.D.N.Y. 1960).</w:t>
            </w:r>
          </w:p>
          <w:p w14:paraId="093931B6" w14:textId="77777777" w:rsidR="00F5734E" w:rsidRDefault="00F5734E">
            <w:pPr>
              <w:pStyle w:val="Body"/>
              <w:spacing w:line="220" w:lineRule="atLeast"/>
            </w:pPr>
            <w:r>
              <w:rPr>
                <w:rStyle w:val="None"/>
                <w:i/>
                <w:iCs/>
                <w:sz w:val="20"/>
                <w:szCs w:val="20"/>
                <w:lang w:val="en-US"/>
              </w:rPr>
              <w:t>Cartier v. Aaron Faber Inc.</w:t>
            </w:r>
            <w:r>
              <w:rPr>
                <w:rStyle w:val="None"/>
                <w:sz w:val="20"/>
                <w:szCs w:val="20"/>
                <w:lang w:val="en-US"/>
              </w:rPr>
              <w:t>, 512 F. Supp. 2d 165 (S.D.N.Y. 2007).</w:t>
            </w:r>
          </w:p>
        </w:tc>
      </w:tr>
      <w:tr w:rsidR="00F5734E" w14:paraId="03ACC4D2" w14:textId="77777777" w:rsidTr="00F5734E">
        <w:trPr>
          <w:trHeight w:val="199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EF29888" w14:textId="77777777" w:rsidR="00F5734E" w:rsidRDefault="00F5734E">
            <w:pPr>
              <w:pStyle w:val="Body"/>
              <w:spacing w:line="220" w:lineRule="atLeast"/>
              <w:rPr>
                <w:lang w:val="en-US"/>
              </w:rPr>
            </w:pPr>
            <w:r>
              <w:rPr>
                <w:rStyle w:val="None"/>
                <w:sz w:val="20"/>
                <w:szCs w:val="20"/>
                <w:lang w:val="en-US"/>
              </w:rPr>
              <w:t>State High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6BD29C27"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sits, if the opinion appears there. If not, cite to the state’s official reporter, as listed in Table T3. The state’s preferred official reporter may be a public domain (i.e., medium neutral) citation. </w:t>
            </w:r>
          </w:p>
          <w:p w14:paraId="09BD8306" w14:textId="77777777" w:rsidR="00F5734E" w:rsidRDefault="00F5734E">
            <w:pPr>
              <w:pStyle w:val="Body"/>
              <w:spacing w:line="220" w:lineRule="atLeast"/>
              <w:rPr>
                <w:rStyle w:val="None"/>
                <w:sz w:val="20"/>
                <w:szCs w:val="20"/>
                <w:lang w:val="en-US"/>
              </w:rPr>
            </w:pPr>
            <w:r>
              <w:rPr>
                <w:rStyle w:val="None"/>
                <w:i/>
                <w:iCs/>
                <w:sz w:val="20"/>
                <w:szCs w:val="20"/>
                <w:lang w:val="en-US"/>
              </w:rPr>
              <w:t>See</w:t>
            </w:r>
            <w:r>
              <w:rPr>
                <w:rStyle w:val="None"/>
                <w:sz w:val="20"/>
                <w:szCs w:val="20"/>
                <w:lang w:val="en-US"/>
              </w:rPr>
              <w:t xml:space="preserve"> Table T3.</w:t>
            </w:r>
          </w:p>
          <w:p w14:paraId="46584496" w14:textId="77777777" w:rsidR="00F5734E" w:rsidRDefault="00F5734E">
            <w:pPr>
              <w:pStyle w:val="Body"/>
              <w:spacing w:line="220" w:lineRule="atLeast"/>
            </w:pPr>
            <w:r>
              <w:rPr>
                <w:rStyle w:val="None"/>
                <w:sz w:val="20"/>
                <w:szCs w:val="20"/>
                <w:lang w:val="en-US"/>
              </w:rPr>
              <w:t xml:space="preserve"> </w:t>
            </w: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hideMark/>
          </w:tcPr>
          <w:p w14:paraId="434C0C4D" w14:textId="77777777" w:rsidR="00F5734E" w:rsidRDefault="00F5734E">
            <w:pPr>
              <w:pStyle w:val="Body"/>
              <w:spacing w:line="220" w:lineRule="atLeast"/>
              <w:rPr>
                <w:rStyle w:val="None"/>
              </w:rPr>
            </w:pPr>
            <w:r>
              <w:rPr>
                <w:rStyle w:val="None"/>
                <w:i/>
                <w:iCs/>
                <w:sz w:val="20"/>
                <w:szCs w:val="20"/>
                <w:lang w:val="en-US"/>
              </w:rPr>
              <w:t>Terrible v. Terrible</w:t>
            </w:r>
            <w:r>
              <w:rPr>
                <w:rStyle w:val="None"/>
                <w:sz w:val="20"/>
                <w:szCs w:val="20"/>
                <w:lang w:val="en-US"/>
              </w:rPr>
              <w:t>, 534 P.2d 919 (Nev. 1975).</w:t>
            </w:r>
          </w:p>
          <w:p w14:paraId="5780CFB2" w14:textId="77777777" w:rsidR="00F5734E" w:rsidRDefault="00F5734E">
            <w:pPr>
              <w:pStyle w:val="Body"/>
              <w:spacing w:line="220" w:lineRule="atLeast"/>
            </w:pPr>
            <w:r>
              <w:rPr>
                <w:rStyle w:val="None"/>
                <w:i/>
                <w:iCs/>
                <w:sz w:val="20"/>
                <w:szCs w:val="20"/>
                <w:lang w:val="en-US"/>
              </w:rPr>
              <w:t>State v. One 1970 2-Door Sedan Rambler</w:t>
            </w:r>
            <w:r>
              <w:rPr>
                <w:rStyle w:val="None"/>
                <w:sz w:val="20"/>
                <w:szCs w:val="20"/>
                <w:lang w:val="en-US"/>
              </w:rPr>
              <w:t>, 136 N.W. 59 (Neb. 1974).</w:t>
            </w:r>
          </w:p>
        </w:tc>
      </w:tr>
      <w:tr w:rsidR="00F5734E" w14:paraId="4D7253C0" w14:textId="77777777" w:rsidTr="00F5734E">
        <w:trPr>
          <w:trHeight w:val="2215"/>
        </w:trPr>
        <w:tc>
          <w:tcPr>
            <w:tcW w:w="19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hideMark/>
          </w:tcPr>
          <w:p w14:paraId="16076803" w14:textId="77777777" w:rsidR="00F5734E" w:rsidRDefault="00F5734E">
            <w:pPr>
              <w:pStyle w:val="Body"/>
              <w:spacing w:line="220" w:lineRule="atLeast"/>
              <w:rPr>
                <w:lang w:val="en-US"/>
              </w:rPr>
            </w:pPr>
            <w:r>
              <w:rPr>
                <w:rStyle w:val="None"/>
                <w:sz w:val="20"/>
                <w:szCs w:val="20"/>
                <w:lang w:val="en-US"/>
              </w:rPr>
              <w:t>Other State Courts</w:t>
            </w:r>
          </w:p>
        </w:tc>
        <w:tc>
          <w:tcPr>
            <w:tcW w:w="1027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0" w:type="dxa"/>
              <w:left w:w="80" w:type="dxa"/>
              <w:bottom w:w="80" w:type="dxa"/>
              <w:right w:w="80" w:type="dxa"/>
            </w:tcMar>
          </w:tcPr>
          <w:p w14:paraId="352DE5A6" w14:textId="77777777" w:rsidR="00F5734E" w:rsidRDefault="00F5734E">
            <w:pPr>
              <w:pStyle w:val="Body"/>
              <w:spacing w:line="220" w:lineRule="atLeast"/>
              <w:rPr>
                <w:rStyle w:val="None"/>
                <w:sz w:val="20"/>
                <w:szCs w:val="20"/>
              </w:rPr>
            </w:pPr>
            <w:r>
              <w:rPr>
                <w:rStyle w:val="None"/>
                <w:sz w:val="20"/>
                <w:szCs w:val="20"/>
                <w:lang w:val="en-US"/>
              </w:rPr>
              <w:t xml:space="preserve">Cite to the regional reporter for the region in which the court sits, if the opinion appears there. If not, cite to the state’s official reporter in Table T3. The state’s preferred official reporter may be a medium-neutral citation. </w:t>
            </w:r>
            <w:r>
              <w:rPr>
                <w:rStyle w:val="None"/>
                <w:i/>
                <w:iCs/>
                <w:sz w:val="20"/>
                <w:szCs w:val="20"/>
                <w:lang w:val="en-US"/>
              </w:rPr>
              <w:t>See</w:t>
            </w:r>
            <w:r>
              <w:rPr>
                <w:rStyle w:val="None"/>
                <w:sz w:val="20"/>
                <w:szCs w:val="20"/>
                <w:lang w:val="en-US"/>
              </w:rPr>
              <w:t xml:space="preserve"> Table T3. Use Tables T9 and T12 to construct an abbreviation if not contained in Tables T1 and T3.</w:t>
            </w:r>
          </w:p>
          <w:p w14:paraId="3CCFF1BD" w14:textId="77777777" w:rsidR="00F5734E" w:rsidRDefault="00F5734E">
            <w:pPr>
              <w:pStyle w:val="Body"/>
              <w:spacing w:line="220" w:lineRule="atLeast"/>
              <w:rPr>
                <w:rStyle w:val="None"/>
                <w:sz w:val="20"/>
                <w:szCs w:val="20"/>
                <w:lang w:val="en-US"/>
              </w:rPr>
            </w:pPr>
          </w:p>
          <w:p w14:paraId="1079B0BC" w14:textId="77777777" w:rsidR="00F5734E" w:rsidRDefault="00F5734E">
            <w:pPr>
              <w:pStyle w:val="Body"/>
              <w:spacing w:line="220" w:lineRule="atLeast"/>
              <w:rPr>
                <w:rStyle w:val="None"/>
                <w:sz w:val="20"/>
                <w:szCs w:val="20"/>
                <w:lang w:val="en-US"/>
              </w:rPr>
            </w:pPr>
          </w:p>
          <w:p w14:paraId="277DE44E" w14:textId="77777777" w:rsidR="00F5734E" w:rsidRDefault="00F5734E">
            <w:pPr>
              <w:pStyle w:val="Body"/>
              <w:spacing w:line="220" w:lineRule="atLeast"/>
            </w:pPr>
          </w:p>
        </w:tc>
        <w:tc>
          <w:tcPr>
            <w:tcW w:w="91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3AC4D2B" w14:textId="77777777" w:rsidR="00F5734E" w:rsidRDefault="00F5734E">
            <w:pPr>
              <w:pStyle w:val="Body"/>
              <w:spacing w:line="220" w:lineRule="atLeast"/>
              <w:rPr>
                <w:rStyle w:val="None"/>
              </w:rPr>
            </w:pPr>
            <w:r>
              <w:rPr>
                <w:rStyle w:val="None"/>
                <w:i/>
                <w:iCs/>
                <w:sz w:val="20"/>
                <w:szCs w:val="20"/>
                <w:lang w:val="en-US"/>
              </w:rPr>
              <w:t>Brown v. Swindell</w:t>
            </w:r>
            <w:r>
              <w:rPr>
                <w:rStyle w:val="None"/>
                <w:sz w:val="20"/>
                <w:szCs w:val="20"/>
                <w:lang w:val="en-US"/>
              </w:rPr>
              <w:t>, 198 So. 2d 432, 434 (La. Ct. App. 1967).</w:t>
            </w:r>
          </w:p>
          <w:p w14:paraId="24193361" w14:textId="77777777" w:rsidR="00F5734E" w:rsidRDefault="00F5734E">
            <w:pPr>
              <w:pStyle w:val="Body"/>
              <w:spacing w:line="220" w:lineRule="atLeast"/>
              <w:rPr>
                <w:rStyle w:val="None"/>
                <w:sz w:val="20"/>
                <w:szCs w:val="20"/>
                <w:lang w:val="en-US"/>
              </w:rPr>
            </w:pPr>
            <w:r>
              <w:rPr>
                <w:rStyle w:val="None"/>
                <w:i/>
                <w:iCs/>
                <w:sz w:val="20"/>
                <w:szCs w:val="20"/>
                <w:lang w:val="en-US"/>
              </w:rPr>
              <w:t>State v. Stroud</w:t>
            </w:r>
            <w:r>
              <w:rPr>
                <w:rStyle w:val="None"/>
                <w:sz w:val="20"/>
                <w:szCs w:val="20"/>
                <w:lang w:val="en-US"/>
              </w:rPr>
              <w:t>, 30 Wash. App. 392 (1981).</w:t>
            </w:r>
          </w:p>
          <w:p w14:paraId="75D4D206" w14:textId="77777777" w:rsidR="00F5734E" w:rsidRDefault="00F5734E">
            <w:pPr>
              <w:pStyle w:val="Body"/>
              <w:spacing w:line="220" w:lineRule="atLeast"/>
              <w:rPr>
                <w:rStyle w:val="None"/>
                <w:sz w:val="20"/>
                <w:szCs w:val="20"/>
                <w:lang w:val="en-US"/>
              </w:rPr>
            </w:pPr>
            <w:r>
              <w:rPr>
                <w:rStyle w:val="None"/>
                <w:i/>
                <w:iCs/>
                <w:sz w:val="20"/>
                <w:szCs w:val="20"/>
                <w:lang w:val="en-US"/>
              </w:rPr>
              <w:t>State v. Russell</w:t>
            </w:r>
            <w:r>
              <w:rPr>
                <w:rStyle w:val="None"/>
                <w:sz w:val="20"/>
                <w:szCs w:val="20"/>
                <w:lang w:val="en-US"/>
              </w:rPr>
              <w:t>, 2020-Ohio-5108 (Ohio Ct. App. 2020).</w:t>
            </w:r>
          </w:p>
          <w:p w14:paraId="008A1C75" w14:textId="77777777" w:rsidR="00F5734E" w:rsidRDefault="00F5734E">
            <w:pPr>
              <w:pStyle w:val="Body"/>
              <w:spacing w:line="256" w:lineRule="auto"/>
            </w:pPr>
          </w:p>
        </w:tc>
      </w:tr>
    </w:tbl>
    <w:p w14:paraId="3603BCC7" w14:textId="46B35EE5" w:rsidR="00F5734E" w:rsidRDefault="00F5734E" w:rsidP="00F5734E">
      <w:pPr>
        <w:pStyle w:val="Body"/>
        <w:widowControl w:val="0"/>
        <w:rPr>
          <w:rStyle w:val="None"/>
        </w:rPr>
      </w:pPr>
    </w:p>
    <w:p w14:paraId="0C4EF746" w14:textId="7811EB97" w:rsidR="009A702D" w:rsidRDefault="009A702D" w:rsidP="00616CD0">
      <w:pPr>
        <w:pStyle w:val="Heading5"/>
        <w:rPr>
          <w:rStyle w:val="None"/>
        </w:rPr>
      </w:pPr>
      <w:r>
        <w:rPr>
          <w:rStyle w:val="None"/>
        </w:rPr>
        <w:t>R12.3</w:t>
      </w:r>
      <w:r>
        <w:rPr>
          <w:rStyle w:val="None"/>
        </w:rPr>
        <w:tab/>
        <w:t>Intermediate appellate departments or divisions</w:t>
      </w:r>
    </w:p>
    <w:p w14:paraId="174FC344" w14:textId="6A02C9F0" w:rsidR="009A702D" w:rsidRDefault="009A702D" w:rsidP="009A702D"/>
    <w:p w14:paraId="0809EBE9" w14:textId="22B86579" w:rsidR="009A702D" w:rsidRPr="009A702D" w:rsidRDefault="009A702D" w:rsidP="00616CD0">
      <w:pPr>
        <w:pStyle w:val="Heading5"/>
      </w:pPr>
      <w:r>
        <w:t>R12.3.1</w:t>
      </w:r>
      <w:r>
        <w:tab/>
      </w:r>
      <w:r w:rsidR="00436A39">
        <w:rPr>
          <w:rStyle w:val="None"/>
        </w:rPr>
        <w:t>General rule of omission</w:t>
      </w:r>
    </w:p>
    <w:p w14:paraId="4C70E0F7" w14:textId="77777777" w:rsidR="009A702D" w:rsidRPr="0027661F" w:rsidRDefault="009A702D" w:rsidP="009A702D">
      <w:pPr>
        <w:pStyle w:val="Rule"/>
        <w:ind w:left="0"/>
        <w:rPr>
          <w:rStyle w:val="None"/>
        </w:rPr>
      </w:pPr>
      <w:r w:rsidRPr="0027661F">
        <w:rPr>
          <w:rStyle w:val="None"/>
        </w:rPr>
        <w:t>In general, do not indicate the departments or divisions of intermediate appellate courts.</w:t>
      </w:r>
    </w:p>
    <w:p w14:paraId="217347D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Correct Example:</w:t>
      </w:r>
    </w:p>
    <w:p w14:paraId="5E97A9FE" w14:textId="77777777" w:rsidR="009A702D" w:rsidRPr="0027661F" w:rsidRDefault="009A702D" w:rsidP="009A702D">
      <w:pPr>
        <w:pStyle w:val="Example"/>
        <w:rPr>
          <w:rStyle w:val="None"/>
          <w:rFonts w:ascii="Georgia" w:hAnsi="Georgia"/>
          <w:b/>
          <w:bCs w:val="0"/>
        </w:rPr>
      </w:pPr>
    </w:p>
    <w:p w14:paraId="7B615986"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 xml:space="preserve">Hamel v. Emp. Sec. </w:t>
      </w:r>
      <w:proofErr w:type="spellStart"/>
      <w:r w:rsidRPr="0027661F">
        <w:rPr>
          <w:rFonts w:ascii="Georgia" w:hAnsi="Georgia"/>
          <w:i/>
          <w:iCs/>
          <w:color w:val="212121"/>
          <w:bdr w:val="none" w:sz="0" w:space="0" w:color="auto" w:frame="1"/>
          <w:shd w:val="clear" w:color="auto" w:fill="FFFFFF"/>
        </w:rPr>
        <w:t>Dep't</w:t>
      </w:r>
      <w:proofErr w:type="spellEnd"/>
      <w:r w:rsidRPr="0027661F">
        <w:rPr>
          <w:rFonts w:ascii="Georgia" w:hAnsi="Georgia"/>
          <w:color w:val="212121"/>
          <w:shd w:val="clear" w:color="auto" w:fill="FFFFFF"/>
        </w:rPr>
        <w:t>, 966 P.2d 1282 (Wash. Ct. App. 1998).</w:t>
      </w:r>
    </w:p>
    <w:p w14:paraId="60B46B3B" w14:textId="77777777" w:rsidR="009A702D" w:rsidRPr="0027661F" w:rsidRDefault="009A702D" w:rsidP="009A702D">
      <w:pPr>
        <w:pStyle w:val="Example"/>
        <w:rPr>
          <w:rStyle w:val="None"/>
          <w:rFonts w:ascii="Georgia" w:hAnsi="Georgia"/>
          <w:b/>
          <w:bCs w:val="0"/>
        </w:rPr>
      </w:pPr>
    </w:p>
    <w:p w14:paraId="04829286" w14:textId="77777777" w:rsidR="009A702D" w:rsidRPr="0027661F" w:rsidRDefault="009A702D" w:rsidP="009A702D">
      <w:pPr>
        <w:pStyle w:val="Example"/>
        <w:rPr>
          <w:rStyle w:val="None"/>
          <w:rFonts w:ascii="Georgia" w:hAnsi="Georgia"/>
          <w:b/>
          <w:bCs w:val="0"/>
        </w:rPr>
      </w:pPr>
      <w:r w:rsidRPr="0027661F">
        <w:rPr>
          <w:rStyle w:val="None"/>
          <w:rFonts w:ascii="Georgia" w:hAnsi="Georgia"/>
          <w:b/>
          <w:bCs w:val="0"/>
        </w:rPr>
        <w:t>Incorrect Example:</w:t>
      </w:r>
    </w:p>
    <w:p w14:paraId="203BDB39" w14:textId="77777777" w:rsidR="009A702D" w:rsidRPr="0027661F" w:rsidRDefault="009A702D" w:rsidP="009A702D">
      <w:pPr>
        <w:pStyle w:val="Example"/>
        <w:rPr>
          <w:rStyle w:val="None"/>
          <w:rFonts w:ascii="Georgia" w:hAnsi="Georgia"/>
          <w:b/>
          <w:bCs w:val="0"/>
        </w:rPr>
      </w:pPr>
    </w:p>
    <w:p w14:paraId="3355EA8E" w14:textId="77777777" w:rsidR="009A702D" w:rsidRPr="0027661F" w:rsidRDefault="009A702D" w:rsidP="009A702D">
      <w:pPr>
        <w:pStyle w:val="Example"/>
        <w:rPr>
          <w:rFonts w:ascii="Georgia" w:hAnsi="Georgia"/>
        </w:rPr>
      </w:pPr>
      <w:r w:rsidRPr="0027661F">
        <w:rPr>
          <w:rFonts w:ascii="Georgia" w:hAnsi="Georgia"/>
          <w:i/>
          <w:iCs/>
          <w:color w:val="212121"/>
          <w:bdr w:val="none" w:sz="0" w:space="0" w:color="auto" w:frame="1"/>
          <w:shd w:val="clear" w:color="auto" w:fill="FFFFFF"/>
        </w:rPr>
        <w:t xml:space="preserve">Hamel v. Emp. Sec. </w:t>
      </w:r>
      <w:proofErr w:type="spellStart"/>
      <w:r w:rsidRPr="0027661F">
        <w:rPr>
          <w:rFonts w:ascii="Georgia" w:hAnsi="Georgia"/>
          <w:i/>
          <w:iCs/>
          <w:color w:val="212121"/>
          <w:bdr w:val="none" w:sz="0" w:space="0" w:color="auto" w:frame="1"/>
          <w:shd w:val="clear" w:color="auto" w:fill="FFFFFF"/>
        </w:rPr>
        <w:t>Dep't</w:t>
      </w:r>
      <w:proofErr w:type="spellEnd"/>
      <w:r w:rsidRPr="0027661F">
        <w:rPr>
          <w:rFonts w:ascii="Georgia" w:hAnsi="Georgia"/>
          <w:color w:val="212121"/>
          <w:shd w:val="clear" w:color="auto" w:fill="FFFFFF"/>
        </w:rPr>
        <w:t>, 966 P.2d 1282 (Wash. Ct. App., Div. 2 1998).</w:t>
      </w:r>
    </w:p>
    <w:p w14:paraId="0214230E" w14:textId="77777777" w:rsidR="009A702D" w:rsidRDefault="009A702D" w:rsidP="009A702D">
      <w:pPr>
        <w:pStyle w:val="Rule"/>
        <w:ind w:left="0"/>
        <w:rPr>
          <w:rStyle w:val="None"/>
        </w:rPr>
      </w:pPr>
    </w:p>
    <w:p w14:paraId="59917EEA" w14:textId="14A9224D" w:rsidR="009A702D" w:rsidRDefault="009A702D" w:rsidP="00616CD0">
      <w:pPr>
        <w:pStyle w:val="Heading5"/>
        <w:rPr>
          <w:rStyle w:val="None"/>
        </w:rPr>
      </w:pPr>
      <w:r>
        <w:rPr>
          <w:rStyle w:val="None"/>
        </w:rPr>
        <w:t>R12.</w:t>
      </w:r>
      <w:r w:rsidR="00BE43D8">
        <w:rPr>
          <w:rStyle w:val="None"/>
        </w:rPr>
        <w:t>3.2</w:t>
      </w:r>
      <w:r w:rsidR="00BE43D8">
        <w:rPr>
          <w:rStyle w:val="None"/>
        </w:rPr>
        <w:tab/>
      </w:r>
      <w:r w:rsidR="00436A39">
        <w:rPr>
          <w:rStyle w:val="None"/>
        </w:rPr>
        <w:t xml:space="preserve">Exceptions for including intermediate appellate department or division </w:t>
      </w:r>
      <w:r w:rsidR="004A5BD7">
        <w:rPr>
          <w:rStyle w:val="None"/>
        </w:rPr>
        <w:t xml:space="preserve"> </w:t>
      </w:r>
    </w:p>
    <w:p w14:paraId="3DBEC501" w14:textId="2EEF8850" w:rsidR="009A702D" w:rsidRDefault="009A702D" w:rsidP="00DC07EC">
      <w:pPr>
        <w:pStyle w:val="Rule"/>
        <w:ind w:left="0"/>
        <w:rPr>
          <w:rStyle w:val="None"/>
        </w:rPr>
      </w:pPr>
      <w:r>
        <w:rPr>
          <w:rStyle w:val="None"/>
        </w:rPr>
        <w:t>Where intermediate appellate departments or divisions are relevant to the point being made</w:t>
      </w:r>
      <w:r w:rsidR="00436A39">
        <w:rPr>
          <w:rStyle w:val="None"/>
        </w:rPr>
        <w:t xml:space="preserve"> in the text</w:t>
      </w:r>
      <w:r>
        <w:rPr>
          <w:rStyle w:val="None"/>
        </w:rPr>
        <w:t xml:space="preserve">, or where local the court rules require citations </w:t>
      </w:r>
      <w:r w:rsidR="00DC07EC">
        <w:rPr>
          <w:rStyle w:val="None"/>
        </w:rPr>
        <w:t>to include this information</w:t>
      </w:r>
      <w:r>
        <w:rPr>
          <w:rStyle w:val="None"/>
        </w:rPr>
        <w:t xml:space="preserve">. See </w:t>
      </w:r>
      <w:r w:rsidRPr="00DC07EC">
        <w:rPr>
          <w:rStyle w:val="Rulereferencecharacterstyle"/>
        </w:rPr>
        <w:t>Table T3</w:t>
      </w:r>
      <w:r>
        <w:rPr>
          <w:rStyle w:val="None"/>
        </w:rPr>
        <w:t xml:space="preserve"> for more information on </w:t>
      </w:r>
      <w:r w:rsidR="00DC07EC">
        <w:rPr>
          <w:rStyle w:val="None"/>
        </w:rPr>
        <w:t>state</w:t>
      </w:r>
      <w:r w:rsidR="009264C7">
        <w:rPr>
          <w:rStyle w:val="None"/>
        </w:rPr>
        <w:t xml:space="preserve"> jurisdictions</w:t>
      </w:r>
      <w:r w:rsidR="00DC07EC">
        <w:rPr>
          <w:rStyle w:val="None"/>
        </w:rPr>
        <w:t xml:space="preserve"> such as Florida and Texas where this information is </w:t>
      </w:r>
      <w:r w:rsidR="009264C7">
        <w:rPr>
          <w:rStyle w:val="None"/>
        </w:rPr>
        <w:t>required.</w:t>
      </w:r>
    </w:p>
    <w:p w14:paraId="6A4C4DBB" w14:textId="77777777" w:rsidR="009A702D" w:rsidRDefault="009A702D" w:rsidP="00F5734E">
      <w:pPr>
        <w:pStyle w:val="Body"/>
        <w:widowControl w:val="0"/>
        <w:rPr>
          <w:rStyle w:val="None"/>
        </w:rPr>
      </w:pPr>
    </w:p>
    <w:p w14:paraId="486DDCEF" w14:textId="77777777" w:rsidR="00F5734E" w:rsidRDefault="00F5734E" w:rsidP="00832748">
      <w:pPr>
        <w:pStyle w:val="InklingTitle"/>
        <w:rPr>
          <w:rStyle w:val="None"/>
          <w:lang w:val="en-US"/>
        </w:rPr>
      </w:pPr>
      <w:r>
        <w:rPr>
          <w:rStyle w:val="None"/>
          <w:color w:val="4B0082"/>
          <w:lang w:val="en-US"/>
        </w:rPr>
        <w:t>Indigo Inkling</w:t>
      </w:r>
    </w:p>
    <w:p w14:paraId="39C190F8" w14:textId="242301B3" w:rsidR="00F5734E" w:rsidRDefault="001B360B" w:rsidP="00832748">
      <w:pPr>
        <w:pStyle w:val="Inkling"/>
        <w:rPr>
          <w:rStyle w:val="None"/>
          <w:lang w:val="en-US"/>
        </w:rPr>
      </w:pPr>
      <w:r>
        <w:rPr>
          <w:rStyle w:val="None"/>
          <w:lang w:val="en-US"/>
        </w:rPr>
        <w:t xml:space="preserve">Court abbreviations in case citations convey crucial information. For example, a case citing “N.Y.” refers to the highest court in the state of New York—the New York Court of Appeals. But “N.Y. Sup. Ct.” is the proper abbreviation for the New York Supreme Court—which some will be surprised to know is the name of the trial-level court in the state of New York, not the state high court. </w:t>
      </w:r>
      <w:proofErr w:type="gramStart"/>
      <w:r>
        <w:rPr>
          <w:rStyle w:val="None"/>
          <w:lang w:val="en-US"/>
        </w:rPr>
        <w:t>Generally</w:t>
      </w:r>
      <w:proofErr w:type="gramEnd"/>
      <w:r>
        <w:rPr>
          <w:rStyle w:val="None"/>
          <w:lang w:val="en-US"/>
        </w:rPr>
        <w:t xml:space="preserve"> see</w:t>
      </w:r>
      <w:r w:rsidR="00F5734E">
        <w:rPr>
          <w:rStyle w:val="None"/>
          <w:lang w:val="en-US"/>
        </w:rPr>
        <w:t xml:space="preserve"> </w:t>
      </w:r>
      <w:r w:rsidR="00F5734E" w:rsidRPr="00832748">
        <w:rPr>
          <w:rStyle w:val="Rulereferencecharacterstyle"/>
        </w:rPr>
        <w:t>Table T12</w:t>
      </w:r>
      <w:r w:rsidR="00F5734E">
        <w:rPr>
          <w:rStyle w:val="None"/>
          <w:lang w:val="en-US"/>
        </w:rPr>
        <w:t xml:space="preserve"> for the correct abbreviation for each state</w:t>
      </w:r>
      <w:r>
        <w:rPr>
          <w:rStyle w:val="None"/>
          <w:lang w:val="en-US"/>
        </w:rPr>
        <w:t xml:space="preserve">; and specifically see </w:t>
      </w:r>
      <w:r w:rsidR="00F5734E" w:rsidRPr="001B360B">
        <w:rPr>
          <w:rStyle w:val="Rulereferencecharacterstyle"/>
        </w:rPr>
        <w:t>Table T3</w:t>
      </w:r>
      <w:r w:rsidR="00F5734E">
        <w:rPr>
          <w:rStyle w:val="None"/>
          <w:lang w:val="en-US"/>
        </w:rPr>
        <w:t xml:space="preserve"> </w:t>
      </w:r>
      <w:r>
        <w:rPr>
          <w:rStyle w:val="None"/>
          <w:lang w:val="en-US"/>
        </w:rPr>
        <w:t xml:space="preserve">and </w:t>
      </w:r>
      <w:r w:rsidR="00F5734E">
        <w:rPr>
          <w:rStyle w:val="None"/>
          <w:lang w:val="en-US"/>
        </w:rPr>
        <w:t>official state-court website</w:t>
      </w:r>
      <w:r>
        <w:rPr>
          <w:rStyle w:val="None"/>
          <w:lang w:val="en-US"/>
        </w:rPr>
        <w:t>s</w:t>
      </w:r>
      <w:r w:rsidR="00F5734E">
        <w:rPr>
          <w:rStyle w:val="None"/>
          <w:lang w:val="en-US"/>
        </w:rPr>
        <w:t xml:space="preserve"> to confirm the name and level of each court</w:t>
      </w:r>
      <w:r>
        <w:rPr>
          <w:rStyle w:val="None"/>
          <w:lang w:val="en-US"/>
        </w:rPr>
        <w:t xml:space="preserve">. Finally, refer to </w:t>
      </w:r>
      <w:r w:rsidR="00F5734E" w:rsidRPr="001B360B">
        <w:rPr>
          <w:rStyle w:val="Rulereferencecharacterstyle"/>
        </w:rPr>
        <w:t>Table T9</w:t>
      </w:r>
      <w:r w:rsidR="00F5734E">
        <w:rPr>
          <w:rStyle w:val="None"/>
          <w:lang w:val="en-US"/>
        </w:rPr>
        <w:t xml:space="preserve"> for general court abbreviations. </w:t>
      </w:r>
    </w:p>
    <w:p w14:paraId="657BDDA3" w14:textId="77777777" w:rsidR="000A2C8E" w:rsidRDefault="000A2C8E" w:rsidP="00832748">
      <w:pPr>
        <w:pStyle w:val="Inkling"/>
        <w:rPr>
          <w:rStyle w:val="None"/>
          <w:color w:val="000000" w:themeColor="text1"/>
          <w:lang w:val="en-US"/>
        </w:rPr>
      </w:pPr>
    </w:p>
    <w:p w14:paraId="60202D82" w14:textId="13B25234" w:rsidR="00F5734E" w:rsidRDefault="00F5734E" w:rsidP="00616CD0">
      <w:pPr>
        <w:pStyle w:val="Heading4"/>
        <w:rPr>
          <w:rStyle w:val="None"/>
        </w:rPr>
      </w:pPr>
      <w:r>
        <w:rPr>
          <w:rStyle w:val="None"/>
        </w:rPr>
        <w:t>R12.3</w:t>
      </w:r>
      <w:r>
        <w:rPr>
          <w:rStyle w:val="None"/>
        </w:rPr>
        <w:tab/>
      </w:r>
      <w:r w:rsidR="00366383">
        <w:rPr>
          <w:rStyle w:val="None"/>
        </w:rPr>
        <w:tab/>
      </w:r>
      <w:r>
        <w:rPr>
          <w:rStyle w:val="None"/>
        </w:rPr>
        <w:t>Duplicative Court and Year Information</w:t>
      </w:r>
    </w:p>
    <w:p w14:paraId="4D7EC571" w14:textId="77777777" w:rsidR="00F5734E" w:rsidRDefault="00F5734E" w:rsidP="00616CD0">
      <w:pPr>
        <w:pStyle w:val="Heading5"/>
        <w:rPr>
          <w:rStyle w:val="None"/>
        </w:rPr>
      </w:pPr>
      <w:r>
        <w:rPr>
          <w:rStyle w:val="None"/>
        </w:rPr>
        <w:t>R12.3.1</w:t>
      </w:r>
      <w:r>
        <w:rPr>
          <w:rStyle w:val="None"/>
        </w:rPr>
        <w:tab/>
        <w:t>Court indicated by reporter</w:t>
      </w:r>
    </w:p>
    <w:p w14:paraId="13696B80" w14:textId="77777777" w:rsidR="00F5734E" w:rsidRDefault="00F5734E" w:rsidP="00823846">
      <w:pPr>
        <w:pStyle w:val="Rule"/>
        <w:ind w:left="0"/>
        <w:rPr>
          <w:rStyle w:val="None"/>
        </w:rPr>
      </w:pPr>
      <w:r>
        <w:rPr>
          <w:rStyle w:val="None"/>
        </w:rPr>
        <w:t>If the identity of the court is clearly and unambiguously indicated by the reporter’s name, do not include the court in the parenthetical information with the year. When writing to a court and governed by local rules requiring parallel citations, the court’s identity may be indicated by required parallel citation information.</w:t>
      </w:r>
    </w:p>
    <w:p w14:paraId="4E4DD31C" w14:textId="24971AC4" w:rsidR="00F5734E" w:rsidRDefault="00F5734E" w:rsidP="00823846">
      <w:pPr>
        <w:pStyle w:val="Example"/>
        <w:rPr>
          <w:rStyle w:val="None"/>
          <w:b/>
          <w:bCs w:val="0"/>
          <w:i/>
          <w:iCs/>
        </w:rPr>
      </w:pPr>
      <w:r>
        <w:rPr>
          <w:rStyle w:val="None"/>
          <w:b/>
        </w:rPr>
        <w:t>Examples:</w:t>
      </w:r>
    </w:p>
    <w:p w14:paraId="1AA8A933" w14:textId="77777777" w:rsidR="00F5734E" w:rsidRDefault="00F5734E" w:rsidP="00823846">
      <w:pPr>
        <w:pStyle w:val="Example"/>
        <w:rPr>
          <w:rStyle w:val="None"/>
        </w:rPr>
      </w:pPr>
      <w:r>
        <w:rPr>
          <w:rStyle w:val="None"/>
          <w:i/>
          <w:iCs/>
        </w:rPr>
        <w:t xml:space="preserve">Kewanee Oil Corp. v. </w:t>
      </w:r>
      <w:proofErr w:type="spellStart"/>
      <w:r>
        <w:rPr>
          <w:rStyle w:val="None"/>
          <w:i/>
          <w:iCs/>
        </w:rPr>
        <w:t>Bicron</w:t>
      </w:r>
      <w:proofErr w:type="spellEnd"/>
      <w:r>
        <w:rPr>
          <w:rStyle w:val="None"/>
          <w:i/>
          <w:iCs/>
        </w:rPr>
        <w:t xml:space="preserve"> Co.</w:t>
      </w:r>
      <w:r>
        <w:rPr>
          <w:rStyle w:val="None"/>
        </w:rPr>
        <w:t>, 416 U.S. 470 (1974).</w:t>
      </w:r>
    </w:p>
    <w:p w14:paraId="536FBCB4" w14:textId="77777777" w:rsidR="00F5734E" w:rsidRDefault="00F5734E" w:rsidP="00823846">
      <w:pPr>
        <w:pStyle w:val="Example"/>
        <w:rPr>
          <w:rStyle w:val="None"/>
        </w:rPr>
      </w:pPr>
      <w:r>
        <w:rPr>
          <w:rStyle w:val="None"/>
          <w:i/>
          <w:iCs/>
        </w:rPr>
        <w:t>Wexler v. Greenberg</w:t>
      </w:r>
      <w:r>
        <w:rPr>
          <w:rStyle w:val="None"/>
        </w:rPr>
        <w:t>, 399 Pa. 569, 160 A.2d 430 (1960).</w:t>
      </w:r>
    </w:p>
    <w:p w14:paraId="00A7218E" w14:textId="77777777" w:rsidR="00F5734E" w:rsidRDefault="00F5734E" w:rsidP="00616CD0">
      <w:pPr>
        <w:pStyle w:val="Heading5"/>
        <w:rPr>
          <w:rStyle w:val="None"/>
        </w:rPr>
      </w:pPr>
      <w:r>
        <w:rPr>
          <w:rStyle w:val="None"/>
        </w:rPr>
        <w:t>R12.3.2</w:t>
      </w:r>
      <w:r>
        <w:rPr>
          <w:rStyle w:val="None"/>
        </w:rPr>
        <w:tab/>
        <w:t>Year indicated in medium-neutral citation</w:t>
      </w:r>
    </w:p>
    <w:p w14:paraId="26BF0819" w14:textId="77777777" w:rsidR="00F5734E" w:rsidRDefault="00F5734E" w:rsidP="00823846">
      <w:pPr>
        <w:pStyle w:val="Rule"/>
        <w:ind w:left="0"/>
        <w:rPr>
          <w:rStyle w:val="None"/>
        </w:rPr>
      </w:pPr>
      <w:r>
        <w:rPr>
          <w:rStyle w:val="None"/>
        </w:rPr>
        <w:t xml:space="preserve">When using a medium-neutral citation format (alone or in a parallel citation), if the year of the decision is clearly and unambiguously indicated by the citation format, do not duplicate the year in the parenthetical information. </w:t>
      </w:r>
    </w:p>
    <w:p w14:paraId="09A673D0" w14:textId="31CBE436" w:rsidR="00F5734E" w:rsidRDefault="00F5734E" w:rsidP="00823846">
      <w:pPr>
        <w:pStyle w:val="Example"/>
        <w:rPr>
          <w:rStyle w:val="None"/>
          <w:b/>
          <w:bCs w:val="0"/>
        </w:rPr>
      </w:pPr>
      <w:r>
        <w:rPr>
          <w:rStyle w:val="None"/>
          <w:b/>
        </w:rPr>
        <w:t>Examples:</w:t>
      </w:r>
    </w:p>
    <w:p w14:paraId="51B5B18A" w14:textId="77777777" w:rsidR="00F5734E" w:rsidRDefault="00F5734E" w:rsidP="00823846">
      <w:pPr>
        <w:pStyle w:val="Example"/>
        <w:rPr>
          <w:rStyle w:val="None"/>
        </w:rPr>
      </w:pPr>
      <w:r>
        <w:rPr>
          <w:rStyle w:val="None"/>
          <w:i/>
          <w:iCs/>
        </w:rPr>
        <w:t>Water &amp; Energy Sys. Tech., Inc. v. Keil</w:t>
      </w:r>
      <w:r>
        <w:rPr>
          <w:rStyle w:val="None"/>
        </w:rPr>
        <w:t>,</w:t>
      </w:r>
      <w:r>
        <w:rPr>
          <w:rStyle w:val="None"/>
          <w:i/>
          <w:iCs/>
        </w:rPr>
        <w:t xml:space="preserve"> </w:t>
      </w:r>
      <w:r>
        <w:rPr>
          <w:rStyle w:val="None"/>
        </w:rPr>
        <w:t>1999 UT 16, 979 P.2d 829.</w:t>
      </w:r>
    </w:p>
    <w:p w14:paraId="4268DB74" w14:textId="77777777" w:rsidR="00F5734E" w:rsidRDefault="00F5734E" w:rsidP="00823846">
      <w:pPr>
        <w:pStyle w:val="Example"/>
        <w:rPr>
          <w:rStyle w:val="None"/>
        </w:rPr>
      </w:pPr>
      <w:proofErr w:type="spellStart"/>
      <w:r>
        <w:rPr>
          <w:rStyle w:val="None"/>
          <w:i/>
          <w:iCs/>
        </w:rPr>
        <w:t>Failor</w:t>
      </w:r>
      <w:proofErr w:type="spellEnd"/>
      <w:r>
        <w:rPr>
          <w:rStyle w:val="None"/>
          <w:i/>
          <w:iCs/>
        </w:rPr>
        <w:t xml:space="preserve"> v. </w:t>
      </w:r>
      <w:proofErr w:type="spellStart"/>
      <w:r>
        <w:rPr>
          <w:rStyle w:val="None"/>
          <w:i/>
          <w:iCs/>
        </w:rPr>
        <w:t>Megadyne</w:t>
      </w:r>
      <w:proofErr w:type="spellEnd"/>
      <w:r>
        <w:rPr>
          <w:rStyle w:val="None"/>
          <w:i/>
          <w:iCs/>
        </w:rPr>
        <w:t xml:space="preserve"> Med. Prods., Inc.</w:t>
      </w:r>
      <w:r>
        <w:rPr>
          <w:rStyle w:val="None"/>
        </w:rPr>
        <w:t>, 2009 UT App. 179, 213 P.3d 899.</w:t>
      </w:r>
    </w:p>
    <w:p w14:paraId="4BB7CAE8" w14:textId="77777777" w:rsidR="00F5734E" w:rsidRDefault="00F5734E" w:rsidP="00F5734E">
      <w:pPr>
        <w:pStyle w:val="Body"/>
        <w:spacing w:line="320" w:lineRule="atLeast"/>
        <w:rPr>
          <w:rStyle w:val="None"/>
          <w:lang w:val="en-US"/>
        </w:rPr>
      </w:pPr>
    </w:p>
    <w:p w14:paraId="64EFF0FC" w14:textId="77777777" w:rsidR="00F5734E" w:rsidRDefault="00F5734E" w:rsidP="00616CD0">
      <w:pPr>
        <w:pStyle w:val="Heading4"/>
        <w:rPr>
          <w:rStyle w:val="None"/>
        </w:rPr>
      </w:pPr>
      <w:r>
        <w:rPr>
          <w:rStyle w:val="None"/>
        </w:rPr>
        <w:t xml:space="preserve">R12.4 </w:t>
      </w:r>
      <w:r>
        <w:rPr>
          <w:rStyle w:val="None"/>
        </w:rPr>
        <w:tab/>
      </w:r>
      <w:r>
        <w:rPr>
          <w:rStyle w:val="None"/>
        </w:rPr>
        <w:tab/>
        <w:t>Special Note on Pending and Unreported or Unpublished Cases</w:t>
      </w:r>
    </w:p>
    <w:p w14:paraId="765DE504" w14:textId="77777777" w:rsidR="00E35F1F" w:rsidRDefault="00F5734E" w:rsidP="000325F3">
      <w:pPr>
        <w:pStyle w:val="Rule"/>
        <w:ind w:left="0"/>
      </w:pPr>
      <w:r w:rsidRPr="000325F3">
        <w:t>Some opinions are so new and pending that they have not yet been assigned to reporters.</w:t>
      </w:r>
      <w:r w:rsidR="00E35F1F">
        <w:t xml:space="preserve"> These early opinions are referred to as “slip opinions,” presumably because they are (or historically, were) rendered on slips of paper rather than in printed bound volumes.</w:t>
      </w:r>
      <w:r w:rsidRPr="000325F3">
        <w:t xml:space="preserve"> </w:t>
      </w:r>
    </w:p>
    <w:p w14:paraId="63FCD10E" w14:textId="327FAF38" w:rsidR="00F5734E" w:rsidRPr="000325F3" w:rsidRDefault="00F5734E" w:rsidP="000325F3">
      <w:pPr>
        <w:pStyle w:val="Rule"/>
        <w:ind w:left="0"/>
      </w:pPr>
      <w:r w:rsidRPr="000325F3">
        <w:t>Some opinions are designated “</w:t>
      </w:r>
      <w:r w:rsidR="00E35F1F">
        <w:t>not for publication</w:t>
      </w:r>
      <w:r w:rsidRPr="000325F3">
        <w:t xml:space="preserve">” by the issuing court, and will never be assigned an </w:t>
      </w:r>
      <w:r w:rsidR="00E35F1F">
        <w:t>official reporter citation</w:t>
      </w:r>
      <w:r w:rsidRPr="000325F3">
        <w:t>. Pending and unreported cases generally can be found in one of the following three source below.</w:t>
      </w:r>
    </w:p>
    <w:p w14:paraId="74ECFA4C" w14:textId="77777777" w:rsidR="00F5734E" w:rsidRDefault="00F5734E" w:rsidP="00616CD0">
      <w:pPr>
        <w:pStyle w:val="Heading5"/>
        <w:rPr>
          <w:rStyle w:val="None"/>
        </w:rPr>
      </w:pPr>
      <w:r>
        <w:rPr>
          <w:rStyle w:val="None"/>
        </w:rPr>
        <w:t>R12.4.1</w:t>
      </w:r>
      <w:r>
        <w:rPr>
          <w:rStyle w:val="None"/>
        </w:rPr>
        <w:tab/>
        <w:t>Pending cases in</w:t>
      </w:r>
      <w:r w:rsidRPr="00372F9D">
        <w:rPr>
          <w:rStyle w:val="None"/>
        </w:rPr>
        <w:t xml:space="preserve"> </w:t>
      </w:r>
      <w:r>
        <w:rPr>
          <w:rStyle w:val="None"/>
        </w:rPr>
        <w:t xml:space="preserve">LEXIS and Westlaw or </w:t>
      </w:r>
      <w:proofErr w:type="gramStart"/>
      <w:r>
        <w:rPr>
          <w:rStyle w:val="None"/>
        </w:rPr>
        <w:t>other</w:t>
      </w:r>
      <w:proofErr w:type="gramEnd"/>
      <w:r>
        <w:rPr>
          <w:rStyle w:val="None"/>
        </w:rPr>
        <w:t xml:space="preserve"> commercial database </w:t>
      </w:r>
    </w:p>
    <w:p w14:paraId="424B2B3F" w14:textId="66B24BDA" w:rsidR="00F5734E" w:rsidRDefault="00F5734E" w:rsidP="00871FA4">
      <w:pPr>
        <w:pStyle w:val="Rule"/>
        <w:ind w:left="0"/>
        <w:rPr>
          <w:rStyle w:val="None"/>
        </w:rPr>
      </w:pPr>
      <w:r>
        <w:rPr>
          <w:rStyle w:val="None"/>
        </w:rPr>
        <w:t xml:space="preserve">Citations to these electronic databases are similar to regular citations, </w:t>
      </w:r>
      <w:r w:rsidR="00B86837">
        <w:rPr>
          <w:rStyle w:val="None"/>
        </w:rPr>
        <w:t xml:space="preserve">using the database code from LEXIS or Westlaw </w:t>
      </w:r>
      <w:r w:rsidR="00871FA4">
        <w:rPr>
          <w:rStyle w:val="None"/>
        </w:rPr>
        <w:t>as a substitute for the (non-existent) reporter citation. Pending-case citations have</w:t>
      </w:r>
      <w:r w:rsidR="000325F3">
        <w:rPr>
          <w:rStyle w:val="None"/>
        </w:rPr>
        <w:t xml:space="preserve"> two additional components:</w:t>
      </w:r>
      <w:r>
        <w:rPr>
          <w:rStyle w:val="None"/>
        </w:rPr>
        <w:t xml:space="preserve"> (a) </w:t>
      </w:r>
      <w:r w:rsidR="00B86837">
        <w:rPr>
          <w:rStyle w:val="None"/>
        </w:rPr>
        <w:t>add the</w:t>
      </w:r>
      <w:r>
        <w:rPr>
          <w:rStyle w:val="None"/>
        </w:rPr>
        <w:t xml:space="preserve"> docket number</w:t>
      </w:r>
      <w:r w:rsidR="00B86837">
        <w:rPr>
          <w:rStyle w:val="None"/>
        </w:rPr>
        <w:t xml:space="preserve"> </w:t>
      </w:r>
      <w:r w:rsidR="00871FA4">
        <w:rPr>
          <w:rStyle w:val="None"/>
        </w:rPr>
        <w:t>before the database code</w:t>
      </w:r>
      <w:r>
        <w:rPr>
          <w:rStyle w:val="None"/>
        </w:rPr>
        <w:t>, and (b) include the full</w:t>
      </w:r>
      <w:r w:rsidR="00871FA4">
        <w:rPr>
          <w:rStyle w:val="None"/>
        </w:rPr>
        <w:t xml:space="preserve"> calendar</w:t>
      </w:r>
      <w:r>
        <w:rPr>
          <w:rStyle w:val="None"/>
        </w:rPr>
        <w:t xml:space="preserve"> date of the decision in the following parenthetical, not just the year.</w:t>
      </w:r>
      <w:r w:rsidR="00871FA4">
        <w:rPr>
          <w:rStyle w:val="None"/>
        </w:rPr>
        <w:t xml:space="preserve"> </w:t>
      </w:r>
      <w:proofErr w:type="spellStart"/>
      <w:r w:rsidR="00871FA4">
        <w:rPr>
          <w:rStyle w:val="None"/>
        </w:rPr>
        <w:t>Pincites</w:t>
      </w:r>
      <w:proofErr w:type="spellEnd"/>
      <w:r w:rsidR="00871FA4">
        <w:rPr>
          <w:rStyle w:val="None"/>
        </w:rPr>
        <w:t xml:space="preserve"> are indicated with “at” and a * attached to the page number.</w:t>
      </w:r>
    </w:p>
    <w:p w14:paraId="58C6F09E" w14:textId="77777777" w:rsidR="00F5734E" w:rsidRDefault="00F5734E" w:rsidP="00871FA4">
      <w:pPr>
        <w:pStyle w:val="Rule"/>
        <w:ind w:left="0"/>
        <w:rPr>
          <w:rStyle w:val="None"/>
        </w:rPr>
      </w:pPr>
      <w:r>
        <w:rPr>
          <w:rStyle w:val="None"/>
        </w:rPr>
        <w:t>Citations to these electronic databases should be formatted as follows: </w:t>
      </w:r>
      <w:r>
        <w:rPr>
          <w:rStyle w:val="None"/>
          <w:rFonts w:ascii="Monaco" w:hAnsi="Monaco"/>
          <w:color w:val="4B0082"/>
        </w:rPr>
        <w:t>&lt;Case Name&gt;</w:t>
      </w:r>
      <w:r>
        <w:rPr>
          <w:rStyle w:val="None"/>
        </w:rPr>
        <w:t>, </w:t>
      </w:r>
      <w:r>
        <w:rPr>
          <w:rStyle w:val="None"/>
          <w:rFonts w:ascii="Monaco" w:hAnsi="Monaco"/>
          <w:color w:val="4B0082"/>
        </w:rPr>
        <w:t>&lt;case docket number&gt;</w:t>
      </w:r>
      <w:r>
        <w:rPr>
          <w:rStyle w:val="None"/>
        </w:rPr>
        <w:t>, </w:t>
      </w:r>
      <w:r>
        <w:rPr>
          <w:rStyle w:val="None"/>
          <w:rFonts w:ascii="Monaco" w:hAnsi="Monaco"/>
          <w:color w:val="4B0082"/>
        </w:rPr>
        <w:t>&lt;database identifier and electronic report number&gt;</w:t>
      </w:r>
      <w:r>
        <w:rPr>
          <w:rStyle w:val="None"/>
        </w:rPr>
        <w:t>, at *</w:t>
      </w:r>
      <w:r>
        <w:rPr>
          <w:rStyle w:val="None"/>
          <w:rFonts w:ascii="Monaco" w:hAnsi="Monaco"/>
          <w:color w:val="4B0082"/>
        </w:rPr>
        <w:t>&lt;star page number&gt;</w:t>
      </w:r>
      <w:r>
        <w:rPr>
          <w:rStyle w:val="None"/>
        </w:rPr>
        <w:t> </w:t>
      </w:r>
      <w:proofErr w:type="gramStart"/>
      <w:r>
        <w:rPr>
          <w:rStyle w:val="None"/>
          <w:rFonts w:ascii="Monaco" w:hAnsi="Monaco"/>
          <w:color w:val="4B0082"/>
        </w:rPr>
        <w:t>&lt;(</w:t>
      </w:r>
      <w:proofErr w:type="gramEnd"/>
      <w:r>
        <w:rPr>
          <w:rStyle w:val="None"/>
          <w:rFonts w:ascii="Monaco" w:hAnsi="Monaco"/>
          <w:color w:val="4B0082"/>
        </w:rPr>
        <w:t>court, full date)&gt;</w:t>
      </w:r>
      <w:r>
        <w:rPr>
          <w:rStyle w:val="None"/>
        </w:rPr>
        <w:t>.</w:t>
      </w:r>
    </w:p>
    <w:p w14:paraId="6309CA58" w14:textId="77777777" w:rsidR="00F5734E" w:rsidRDefault="00F5734E" w:rsidP="00871FA4">
      <w:pPr>
        <w:pStyle w:val="Example"/>
        <w:rPr>
          <w:rStyle w:val="None"/>
          <w:rFonts w:ascii="Georgia" w:hAnsi="Georgia"/>
        </w:rPr>
      </w:pPr>
      <w:r>
        <w:rPr>
          <w:rStyle w:val="None"/>
          <w:b/>
        </w:rPr>
        <w:t>Example:</w:t>
      </w:r>
      <w:r>
        <w:rPr>
          <w:rStyle w:val="None"/>
        </w:rPr>
        <w:t> </w:t>
      </w:r>
    </w:p>
    <w:p w14:paraId="09A46FDC" w14:textId="62C57A7B" w:rsidR="00F5734E" w:rsidRDefault="00F5734E" w:rsidP="00871FA4">
      <w:pPr>
        <w:pStyle w:val="Example"/>
        <w:rPr>
          <w:rStyle w:val="None"/>
        </w:rPr>
      </w:pPr>
      <w:r>
        <w:rPr>
          <w:rStyle w:val="None"/>
          <w:i/>
          <w:iCs/>
        </w:rPr>
        <w:t>Yates v. United States</w:t>
      </w:r>
      <w:r>
        <w:rPr>
          <w:rStyle w:val="None"/>
        </w:rPr>
        <w:t>, No. 13–7451, 2015 U.S. LEXIS 1503, at *40 (Feb. 25, 2015)</w:t>
      </w:r>
      <w:r w:rsidR="00871FA4">
        <w:rPr>
          <w:rStyle w:val="None"/>
        </w:rPr>
        <w:t>.</w:t>
      </w:r>
      <w:r>
        <w:rPr>
          <w:rStyle w:val="None"/>
        </w:rPr>
        <w:t xml:space="preserve"> </w:t>
      </w:r>
    </w:p>
    <w:p w14:paraId="0463EEE4" w14:textId="77777777" w:rsidR="00F5734E" w:rsidRDefault="00F5734E" w:rsidP="00871FA4">
      <w:pPr>
        <w:pStyle w:val="Example"/>
        <w:rPr>
          <w:rStyle w:val="None"/>
        </w:rPr>
      </w:pPr>
      <w:r>
        <w:rPr>
          <w:rStyle w:val="None"/>
          <w:b/>
        </w:rPr>
        <w:t>Example:</w:t>
      </w:r>
      <w:r>
        <w:rPr>
          <w:rStyle w:val="None"/>
        </w:rPr>
        <w:t> </w:t>
      </w:r>
    </w:p>
    <w:p w14:paraId="08D05B80" w14:textId="72B4324C" w:rsidR="00F5734E" w:rsidRDefault="00F5734E" w:rsidP="00871FA4">
      <w:pPr>
        <w:pStyle w:val="Example"/>
        <w:rPr>
          <w:rStyle w:val="None"/>
        </w:rPr>
      </w:pPr>
      <w:r>
        <w:rPr>
          <w:rStyle w:val="None"/>
          <w:i/>
          <w:iCs/>
        </w:rPr>
        <w:t>State v. Green</w:t>
      </w:r>
      <w:r>
        <w:rPr>
          <w:rStyle w:val="None"/>
        </w:rPr>
        <w:t>, No. 2012AP1475–CR, 2013 WL 5811261, at *7 (Wis. Ct. App. Oct. 30, 2013)</w:t>
      </w:r>
      <w:r w:rsidR="00871FA4">
        <w:rPr>
          <w:rStyle w:val="None"/>
        </w:rPr>
        <w:t>.</w:t>
      </w:r>
      <w:r>
        <w:rPr>
          <w:rStyle w:val="None"/>
        </w:rPr>
        <w:t xml:space="preserve"> </w:t>
      </w:r>
    </w:p>
    <w:p w14:paraId="05FA7FA7" w14:textId="77777777" w:rsidR="00E35F1F" w:rsidRDefault="00E35F1F" w:rsidP="00871FA4">
      <w:pPr>
        <w:pStyle w:val="Example"/>
        <w:rPr>
          <w:rFonts w:ascii="Georgia" w:hAnsi="Georgia"/>
        </w:rPr>
      </w:pPr>
    </w:p>
    <w:p w14:paraId="3C52F998" w14:textId="4074931D" w:rsidR="00F5734E" w:rsidRDefault="00F5734E" w:rsidP="00616CD0">
      <w:pPr>
        <w:pStyle w:val="Heading5"/>
        <w:rPr>
          <w:rStyle w:val="None"/>
        </w:rPr>
      </w:pPr>
      <w:r>
        <w:rPr>
          <w:rStyle w:val="None"/>
        </w:rPr>
        <w:t>R12.4.2</w:t>
      </w:r>
      <w:r>
        <w:rPr>
          <w:rStyle w:val="None"/>
        </w:rPr>
        <w:tab/>
        <w:t>Opinions only available online, but not in a</w:t>
      </w:r>
      <w:r w:rsidR="0074298C">
        <w:rPr>
          <w:rStyle w:val="None"/>
        </w:rPr>
        <w:t xml:space="preserve"> commercial </w:t>
      </w:r>
      <w:r>
        <w:rPr>
          <w:rStyle w:val="None"/>
        </w:rPr>
        <w:t>database</w:t>
      </w:r>
    </w:p>
    <w:p w14:paraId="6DDE752D" w14:textId="77777777" w:rsidR="00BC43C3" w:rsidRDefault="00F5734E" w:rsidP="0074298C">
      <w:pPr>
        <w:pStyle w:val="Rule"/>
        <w:ind w:left="0"/>
        <w:rPr>
          <w:rStyle w:val="None"/>
        </w:rPr>
      </w:pPr>
      <w:r>
        <w:rPr>
          <w:rStyle w:val="None"/>
        </w:rPr>
        <w:t xml:space="preserve">Some cases, particularly ones that are </w:t>
      </w:r>
      <w:r w:rsidR="0074298C">
        <w:rPr>
          <w:rStyle w:val="None"/>
        </w:rPr>
        <w:t xml:space="preserve">immediately </w:t>
      </w:r>
      <w:r>
        <w:rPr>
          <w:rStyle w:val="None"/>
        </w:rPr>
        <w:t>pending, may initially be accessed only through a court’s website. If so, include the exact docket number or numbers, as well as the URL.</w:t>
      </w:r>
      <w:r w:rsidR="00E064A1">
        <w:rPr>
          <w:rStyle w:val="None"/>
        </w:rPr>
        <w:t xml:space="preserve"> </w:t>
      </w:r>
    </w:p>
    <w:p w14:paraId="563E099E" w14:textId="5701DEC6" w:rsidR="00F5734E" w:rsidRDefault="00E064A1" w:rsidP="0074298C">
      <w:pPr>
        <w:pStyle w:val="Rule"/>
        <w:ind w:left="0"/>
      </w:pPr>
      <w:r>
        <w:rPr>
          <w:rStyle w:val="None"/>
        </w:rPr>
        <w:t xml:space="preserve">Do not underline the </w:t>
      </w:r>
      <w:r w:rsidR="00BC43C3">
        <w:rPr>
          <w:rStyle w:val="None"/>
        </w:rPr>
        <w:t xml:space="preserve">URL or create a </w:t>
      </w:r>
      <w:r>
        <w:rPr>
          <w:rStyle w:val="None"/>
        </w:rPr>
        <w:t>hyperlink</w:t>
      </w:r>
      <w:r w:rsidR="00AF4F48">
        <w:rPr>
          <w:rStyle w:val="None"/>
        </w:rPr>
        <w:t>. Remove the link if needed for formatting</w:t>
      </w:r>
      <w:r w:rsidR="00BE1C23">
        <w:rPr>
          <w:rStyle w:val="None"/>
        </w:rPr>
        <w:t>, as</w:t>
      </w:r>
      <w:r w:rsidR="00AF4F48">
        <w:rPr>
          <w:rStyle w:val="None"/>
        </w:rPr>
        <w:t xml:space="preserve"> working hyperlinks are not a part of the Uniform System of Citation.</w:t>
      </w:r>
      <w:r w:rsidR="00BC43C3">
        <w:rPr>
          <w:rStyle w:val="None"/>
        </w:rPr>
        <w:t xml:space="preserve"> (This rule may need to be honored more in the breach, </w:t>
      </w:r>
      <w:r w:rsidR="00AC21D1">
        <w:rPr>
          <w:rStyle w:val="None"/>
        </w:rPr>
        <w:t>at the writer’s discretion. Understand that a blue underlined hyperlink is not compliant with the Uniform System of Citation but might be more appreciated in context.</w:t>
      </w:r>
      <w:r w:rsidR="00BC43C3">
        <w:rPr>
          <w:rStyle w:val="None"/>
        </w:rPr>
        <w:t>)</w:t>
      </w:r>
    </w:p>
    <w:p w14:paraId="2503E497" w14:textId="77777777" w:rsidR="00F5734E" w:rsidRDefault="00F5734E" w:rsidP="00D0245A">
      <w:pPr>
        <w:pStyle w:val="Example"/>
        <w:rPr>
          <w:rFonts w:ascii="Georgia" w:hAnsi="Georgia"/>
        </w:rPr>
      </w:pPr>
      <w:r>
        <w:rPr>
          <w:rStyle w:val="None"/>
          <w:b/>
        </w:rPr>
        <w:t xml:space="preserve">Example: </w:t>
      </w:r>
    </w:p>
    <w:p w14:paraId="216547CE" w14:textId="77777777" w:rsidR="00F5734E" w:rsidRPr="00D0245A" w:rsidRDefault="00F5734E" w:rsidP="00D0245A">
      <w:pPr>
        <w:pStyle w:val="Example"/>
        <w:rPr>
          <w:rStyle w:val="None"/>
        </w:rPr>
      </w:pPr>
      <w:r w:rsidRPr="00D0245A">
        <w:rPr>
          <w:rStyle w:val="None"/>
          <w:i/>
          <w:iCs/>
        </w:rPr>
        <w:t xml:space="preserve">Macy’s Inc. v. Martha Stewart Living </w:t>
      </w:r>
      <w:proofErr w:type="spellStart"/>
      <w:r w:rsidRPr="00D0245A">
        <w:rPr>
          <w:rStyle w:val="None"/>
          <w:i/>
          <w:iCs/>
        </w:rPr>
        <w:t>Omnimedia</w:t>
      </w:r>
      <w:proofErr w:type="spellEnd"/>
      <w:r w:rsidRPr="00D0245A">
        <w:rPr>
          <w:rStyle w:val="None"/>
          <w:i/>
          <w:iCs/>
        </w:rPr>
        <w:t>, Inc.</w:t>
      </w:r>
      <w:r w:rsidRPr="00D0245A">
        <w:rPr>
          <w:rStyle w:val="None"/>
        </w:rPr>
        <w:t>, No. 1728, slip op. at 1 (N.Y. App. Div. Feb. 26, 2015), </w:t>
      </w:r>
      <w:hyperlink r:id="rId9" w:history="1">
        <w:r w:rsidRPr="00D0245A">
          <w:rPr>
            <w:rStyle w:val="Hyperlink5"/>
            <w:u w:val="none"/>
          </w:rPr>
          <w:t>http://www.nycourts.gov/reporter/3dseries/2015/2015_01728.htm</w:t>
        </w:r>
      </w:hyperlink>
      <w:r w:rsidRPr="00D0245A">
        <w:rPr>
          <w:rStyle w:val="None"/>
        </w:rPr>
        <w:t>.</w:t>
      </w:r>
    </w:p>
    <w:p w14:paraId="05256F14" w14:textId="77777777" w:rsidR="00150CE4" w:rsidRDefault="00150CE4" w:rsidP="00D20E29">
      <w:pPr>
        <w:pStyle w:val="InklingTitle"/>
      </w:pPr>
      <w:r>
        <w:t>Indigo Inkling</w:t>
      </w:r>
    </w:p>
    <w:p w14:paraId="65E6E443" w14:textId="742B6EA7" w:rsidR="00D0245A" w:rsidRDefault="00150CE4" w:rsidP="003A580A">
      <w:pPr>
        <w:pStyle w:val="Inkling"/>
        <w:rPr>
          <w:rStyle w:val="None"/>
          <w:lang w:val="en-US"/>
        </w:rPr>
      </w:pPr>
      <w:r>
        <w:t xml:space="preserve">Pending case citations can change day to day, at least if you are strictly following the Uniform System of Citation. The example </w:t>
      </w:r>
      <w:r w:rsidR="00D20E29">
        <w:t>provided in</w:t>
      </w:r>
      <w:r>
        <w:t xml:space="preserve"> </w:t>
      </w:r>
      <w:r w:rsidRPr="00D20E29">
        <w:rPr>
          <w:rStyle w:val="Rulereferencecharacterstyle"/>
        </w:rPr>
        <w:t>Rule 12.4.2</w:t>
      </w:r>
      <w:r>
        <w:t xml:space="preserve"> would be </w:t>
      </w:r>
      <w:r>
        <w:rPr>
          <w:rStyle w:val="None"/>
          <w:lang w:val="en-US"/>
        </w:rPr>
        <w:t>valid for a citation created late in the evening on February 26, 2015, or the next day—in other words, before this case was distributed to research platforms and published in various reporters</w:t>
      </w:r>
      <w:r w:rsidR="00BE1C23">
        <w:rPr>
          <w:rStyle w:val="None"/>
          <w:lang w:val="en-US"/>
        </w:rPr>
        <w:t xml:space="preserve">. Once </w:t>
      </w:r>
      <w:proofErr w:type="spellStart"/>
      <w:r w:rsidR="00BF3C3B">
        <w:rPr>
          <w:rStyle w:val="None"/>
          <w:lang w:val="en-US"/>
        </w:rPr>
        <w:t>o</w:t>
      </w:r>
      <w:r>
        <w:rPr>
          <w:rStyle w:val="None"/>
          <w:lang w:val="en-US"/>
        </w:rPr>
        <w:t>nce</w:t>
      </w:r>
      <w:proofErr w:type="spellEnd"/>
      <w:r>
        <w:rPr>
          <w:rStyle w:val="None"/>
          <w:lang w:val="en-US"/>
        </w:rPr>
        <w:t xml:space="preserve"> a case becomes available on a commercial database, use that citation in the legal citation to comply with the Uniform System of Citation.</w:t>
      </w:r>
      <w:r w:rsidR="00D20E29">
        <w:rPr>
          <w:rStyle w:val="None"/>
          <w:lang w:val="en-US"/>
        </w:rPr>
        <w:t xml:space="preserve"> </w:t>
      </w:r>
      <w:r w:rsidR="00BF3C3B">
        <w:rPr>
          <w:rStyle w:val="None"/>
          <w:lang w:val="en-US"/>
        </w:rPr>
        <w:t xml:space="preserve">(We note that this </w:t>
      </w:r>
      <w:r w:rsidR="00D20E29">
        <w:rPr>
          <w:rStyle w:val="None"/>
          <w:lang w:val="en-US"/>
        </w:rPr>
        <w:t xml:space="preserve">would make the citation </w:t>
      </w:r>
      <w:r w:rsidR="00BF3C3B">
        <w:rPr>
          <w:rStyle w:val="None"/>
          <w:lang w:val="en-US"/>
        </w:rPr>
        <w:t xml:space="preserve">arguably </w:t>
      </w:r>
      <w:r w:rsidR="00D20E29">
        <w:rPr>
          <w:rStyle w:val="None"/>
          <w:lang w:val="en-US"/>
        </w:rPr>
        <w:t>more accessible to lawyers and court staff with access to commercial databases, but less available to the general public</w:t>
      </w:r>
      <w:r w:rsidR="00147019">
        <w:rPr>
          <w:rStyle w:val="None"/>
          <w:lang w:val="en-US"/>
        </w:rPr>
        <w:t xml:space="preserve"> lacking such premium access</w:t>
      </w:r>
      <w:r w:rsidR="00D20E29">
        <w:rPr>
          <w:rStyle w:val="None"/>
          <w:lang w:val="en-US"/>
        </w:rPr>
        <w:t>.</w:t>
      </w:r>
      <w:r w:rsidR="003A580A">
        <w:rPr>
          <w:rStyle w:val="None"/>
          <w:lang w:val="en-US"/>
        </w:rPr>
        <w:t xml:space="preserve">) </w:t>
      </w:r>
    </w:p>
    <w:p w14:paraId="7245EFEA" w14:textId="77777777" w:rsidR="00D0245A" w:rsidRDefault="00D0245A" w:rsidP="003A580A">
      <w:pPr>
        <w:pStyle w:val="Inkling"/>
        <w:rPr>
          <w:rStyle w:val="None"/>
          <w:lang w:val="en-US"/>
        </w:rPr>
      </w:pPr>
    </w:p>
    <w:p w14:paraId="24A13440" w14:textId="65CFDC5E" w:rsidR="00150CE4" w:rsidRPr="003A580A" w:rsidRDefault="003A580A" w:rsidP="003A580A">
      <w:pPr>
        <w:pStyle w:val="Inkling"/>
      </w:pPr>
      <w:r>
        <w:rPr>
          <w:rStyle w:val="None"/>
          <w:lang w:val="en-US"/>
        </w:rPr>
        <w:t>And then, if that case is formally “reported” by the court and assigned a reporter designation, both of these citations would become incorrect and superseded by the standard citation to the volume, reporter, and page.</w:t>
      </w:r>
      <w:r w:rsidR="0067151B">
        <w:rPr>
          <w:rStyle w:val="None"/>
          <w:lang w:val="en-US"/>
        </w:rPr>
        <w:t xml:space="preserve"> Even that official citation might change years later, </w:t>
      </w:r>
      <w:r>
        <w:rPr>
          <w:rStyle w:val="None"/>
          <w:lang w:val="en-US"/>
        </w:rPr>
        <w:t xml:space="preserve">if that case were overruled or otherwise </w:t>
      </w:r>
      <w:r w:rsidR="0067151B">
        <w:rPr>
          <w:rStyle w:val="None"/>
          <w:lang w:val="en-US"/>
        </w:rPr>
        <w:t xml:space="preserve">subsequently negated, requiring negative history to be appended under </w:t>
      </w:r>
      <w:r w:rsidR="0067151B" w:rsidRPr="0067151B">
        <w:rPr>
          <w:rStyle w:val="Rulereferencecharacterstyle"/>
        </w:rPr>
        <w:t>Rule R14</w:t>
      </w:r>
      <w:r w:rsidR="0067151B">
        <w:rPr>
          <w:rStyle w:val="None"/>
          <w:lang w:val="en-US"/>
        </w:rPr>
        <w:t>.</w:t>
      </w:r>
      <w:r w:rsidR="008C28EB">
        <w:rPr>
          <w:rStyle w:val="None"/>
          <w:lang w:val="en-US"/>
        </w:rPr>
        <w:t xml:space="preserve"> Two key principles to boil all this down are: (1) cite the most authoritative source available to you at the moment you create the citation; and (2) cite “good law” or protect your reader by indicating a required caveat about whatever you are citing.</w:t>
      </w:r>
    </w:p>
    <w:p w14:paraId="582C7C66" w14:textId="77777777" w:rsidR="00F5734E" w:rsidRDefault="00F5734E" w:rsidP="00F5734E">
      <w:pPr>
        <w:pStyle w:val="Body"/>
        <w:spacing w:line="320" w:lineRule="atLeast"/>
        <w:rPr>
          <w:rStyle w:val="None"/>
        </w:rPr>
      </w:pPr>
    </w:p>
    <w:p w14:paraId="3DAD496B" w14:textId="77777777" w:rsidR="00F5734E" w:rsidRDefault="00F5734E" w:rsidP="00F5734E">
      <w:pPr>
        <w:pStyle w:val="Body"/>
        <w:spacing w:line="320" w:lineRule="atLeast"/>
        <w:rPr>
          <w:rStyle w:val="None"/>
          <w:lang w:val="en-US"/>
        </w:rPr>
      </w:pPr>
    </w:p>
    <w:p w14:paraId="3BE66B15" w14:textId="716FF95B" w:rsidR="00F5734E" w:rsidRDefault="00F5734E" w:rsidP="003E5933">
      <w:pPr>
        <w:pStyle w:val="Heading3"/>
        <w:rPr>
          <w:rStyle w:val="None"/>
          <w:b w:val="0"/>
          <w:bCs w:val="0"/>
          <w:sz w:val="27"/>
          <w:szCs w:val="27"/>
        </w:rPr>
      </w:pPr>
      <w:bookmarkStart w:id="27" w:name="_Toc78928053"/>
      <w:r>
        <w:rPr>
          <w:rStyle w:val="None"/>
          <w:sz w:val="27"/>
          <w:szCs w:val="27"/>
        </w:rPr>
        <w:t>R13</w:t>
      </w:r>
      <w:r w:rsidR="00366383">
        <w:rPr>
          <w:rStyle w:val="None"/>
          <w:sz w:val="27"/>
          <w:szCs w:val="27"/>
        </w:rPr>
        <w:tab/>
      </w:r>
      <w:r>
        <w:rPr>
          <w:rStyle w:val="None"/>
          <w:sz w:val="27"/>
          <w:szCs w:val="27"/>
        </w:rPr>
        <w:t>Weight of Authority and Explanatory Parenthetical</w:t>
      </w:r>
      <w:bookmarkEnd w:id="27"/>
    </w:p>
    <w:p w14:paraId="11A6DCF9" w14:textId="77777777" w:rsidR="00F5734E" w:rsidRDefault="00F5734E" w:rsidP="00616CD0">
      <w:pPr>
        <w:pStyle w:val="Heading4"/>
      </w:pPr>
      <w:r>
        <w:rPr>
          <w:rStyle w:val="None"/>
        </w:rPr>
        <w:t xml:space="preserve">R13.1 </w:t>
      </w:r>
      <w:r>
        <w:rPr>
          <w:rStyle w:val="None"/>
        </w:rPr>
        <w:tab/>
        <w:t>Parenthetical for Weight of Authority</w:t>
      </w:r>
    </w:p>
    <w:p w14:paraId="4977F5DA" w14:textId="77777777" w:rsidR="00F5734E" w:rsidRPr="00AC21D1" w:rsidRDefault="00F5734E" w:rsidP="00AC21D1">
      <w:pPr>
        <w:pStyle w:val="Rule"/>
        <w:ind w:left="0"/>
        <w:rPr>
          <w:rStyle w:val="None"/>
        </w:rPr>
      </w:pPr>
      <w:r w:rsidRPr="00AC21D1">
        <w:rPr>
          <w:rStyle w:val="None"/>
        </w:rPr>
        <w:t>To highlight information regarding the weight of the cited authority (such as for concurring and dissenting opinions), insert an additional parenthetical after the date parenthetical. Remember to separate the parentheticals with a space.</w:t>
      </w:r>
    </w:p>
    <w:p w14:paraId="1A1F8B48" w14:textId="77777777" w:rsidR="00F5734E" w:rsidRPr="00AC21D1" w:rsidRDefault="00F5734E" w:rsidP="00AC21D1">
      <w:pPr>
        <w:pStyle w:val="Example"/>
        <w:rPr>
          <w:rStyle w:val="None"/>
          <w:b/>
          <w:bCs w:val="0"/>
        </w:rPr>
      </w:pPr>
      <w:r w:rsidRPr="00AC21D1">
        <w:rPr>
          <w:rStyle w:val="None"/>
          <w:b/>
          <w:bCs w:val="0"/>
        </w:rPr>
        <w:t>Examples:</w:t>
      </w:r>
    </w:p>
    <w:p w14:paraId="472F0FE3" w14:textId="77777777" w:rsidR="00F5734E" w:rsidRPr="00AC21D1" w:rsidRDefault="00F5734E" w:rsidP="00AC21D1">
      <w:pPr>
        <w:pStyle w:val="Example"/>
      </w:pPr>
      <w:r w:rsidRPr="00AC21D1">
        <w:rPr>
          <w:rStyle w:val="None"/>
          <w:i/>
          <w:iCs/>
        </w:rPr>
        <w:t>United States v. Leggett</w:t>
      </w:r>
      <w:r w:rsidRPr="00AC21D1">
        <w:rPr>
          <w:rStyle w:val="None"/>
        </w:rPr>
        <w:t>, 23 F.3d 409 (6th Cir. 1994) (unpublished table decision).</w:t>
      </w:r>
    </w:p>
    <w:p w14:paraId="73816349" w14:textId="77777777" w:rsidR="00F5734E" w:rsidRPr="00AC21D1" w:rsidRDefault="00F5734E" w:rsidP="00AC21D1">
      <w:pPr>
        <w:pStyle w:val="Example"/>
      </w:pPr>
      <w:r w:rsidRPr="00AC21D1">
        <w:rPr>
          <w:rStyle w:val="None"/>
          <w:i/>
          <w:iCs/>
        </w:rPr>
        <w:t>Ward v. Rock Against Racism</w:t>
      </w:r>
      <w:r w:rsidRPr="00AC21D1">
        <w:rPr>
          <w:rStyle w:val="None"/>
        </w:rPr>
        <w:t>, 491 U.S. 781 (1989) (Marshall, J., dissenting).</w:t>
      </w:r>
    </w:p>
    <w:p w14:paraId="45CACFF8" w14:textId="77777777" w:rsidR="00F5734E" w:rsidRPr="00AC21D1" w:rsidRDefault="00F5734E" w:rsidP="00AC21D1">
      <w:pPr>
        <w:pStyle w:val="Example"/>
      </w:pPr>
      <w:r w:rsidRPr="00AC21D1">
        <w:rPr>
          <w:rStyle w:val="None"/>
          <w:i/>
          <w:iCs/>
        </w:rPr>
        <w:t>Harris v. State</w:t>
      </w:r>
      <w:r w:rsidRPr="00AC21D1">
        <w:rPr>
          <w:rStyle w:val="None"/>
        </w:rPr>
        <w:t xml:space="preserve">, 887 S.W.2d 514 (Ark. 1994) (per </w:t>
      </w:r>
      <w:proofErr w:type="spellStart"/>
      <w:r w:rsidRPr="00AC21D1">
        <w:rPr>
          <w:rStyle w:val="None"/>
        </w:rPr>
        <w:t>curiam</w:t>
      </w:r>
      <w:proofErr w:type="spellEnd"/>
      <w:r w:rsidRPr="00AC21D1">
        <w:rPr>
          <w:rStyle w:val="None"/>
        </w:rPr>
        <w:t>).</w:t>
      </w:r>
    </w:p>
    <w:p w14:paraId="10993F07" w14:textId="2F497C65" w:rsidR="00F5734E" w:rsidRPr="00AC21D1" w:rsidRDefault="00F5734E" w:rsidP="00AC21D1">
      <w:pPr>
        <w:pStyle w:val="Example"/>
      </w:pPr>
      <w:proofErr w:type="spellStart"/>
      <w:r w:rsidRPr="00AC21D1">
        <w:rPr>
          <w:rStyle w:val="None"/>
          <w:i/>
          <w:iCs/>
        </w:rPr>
        <w:t>Dep’t</w:t>
      </w:r>
      <w:proofErr w:type="spellEnd"/>
      <w:r w:rsidRPr="00AC21D1">
        <w:rPr>
          <w:rStyle w:val="None"/>
          <w:i/>
          <w:iCs/>
        </w:rPr>
        <w:t xml:space="preserve"> of Revenue v. James B. Beam Distilling Co.</w:t>
      </w:r>
      <w:r w:rsidRPr="00AC21D1">
        <w:rPr>
          <w:rStyle w:val="None"/>
        </w:rPr>
        <w:t>, 377 U.S. 341, 349 (1964) (7–2 decision) (Black, J., dissenting)</w:t>
      </w:r>
      <w:r w:rsidR="00604A58" w:rsidRPr="00AC21D1">
        <w:rPr>
          <w:rStyle w:val="None"/>
        </w:rPr>
        <w:t>.</w:t>
      </w:r>
      <w:r w:rsidRPr="00AC21D1">
        <w:rPr>
          <w:rStyle w:val="None"/>
        </w:rPr>
        <w:t xml:space="preserve"> </w:t>
      </w:r>
    </w:p>
    <w:p w14:paraId="6213B287" w14:textId="77777777" w:rsidR="00F5734E" w:rsidRDefault="00F5734E" w:rsidP="00616CD0">
      <w:pPr>
        <w:pStyle w:val="Heading4"/>
      </w:pPr>
      <w:r>
        <w:rPr>
          <w:rStyle w:val="None"/>
        </w:rPr>
        <w:t>R13.2</w:t>
      </w:r>
      <w:r>
        <w:rPr>
          <w:rStyle w:val="None"/>
        </w:rPr>
        <w:tab/>
      </w:r>
      <w:r>
        <w:rPr>
          <w:rStyle w:val="None"/>
        </w:rPr>
        <w:tab/>
      </w:r>
      <w:r>
        <w:rPr>
          <w:rStyle w:val="None"/>
        </w:rPr>
        <w:tab/>
        <w:t>Optional Explanatory Parenthetical</w:t>
      </w:r>
    </w:p>
    <w:p w14:paraId="28B4CDB8" w14:textId="77777777" w:rsidR="00F5734E" w:rsidRDefault="00F5734E" w:rsidP="00AC21D1">
      <w:pPr>
        <w:pStyle w:val="Rule"/>
        <w:ind w:left="0"/>
        <w:rPr>
          <w:rStyle w:val="None"/>
        </w:rPr>
      </w:pPr>
      <w:r>
        <w:rPr>
          <w:rStyle w:val="None"/>
        </w:rPr>
        <w:t xml:space="preserve">To provide a supporting partial quotation or to explain the proposition for which the case stands, insert an explanatory parenthetical. See </w:t>
      </w:r>
      <w:r w:rsidRPr="00222D7C">
        <w:rPr>
          <w:rStyle w:val="Rulereferencecharacterstyle"/>
        </w:rPr>
        <w:t>Rule R10</w:t>
      </w:r>
      <w:r>
        <w:rPr>
          <w:rStyle w:val="None"/>
        </w:rPr>
        <w:t xml:space="preserve"> on the order of explanatory parentheticals with other parenthetical material and subsequent history.</w:t>
      </w:r>
    </w:p>
    <w:p w14:paraId="3B44DC2B" w14:textId="77777777" w:rsidR="00F5734E" w:rsidRDefault="00F5734E" w:rsidP="00AC21D1">
      <w:pPr>
        <w:pStyle w:val="Example"/>
        <w:rPr>
          <w:rStyle w:val="None"/>
        </w:rPr>
      </w:pPr>
      <w:r>
        <w:rPr>
          <w:rStyle w:val="None"/>
          <w:b/>
        </w:rPr>
        <w:t>Examples:</w:t>
      </w:r>
    </w:p>
    <w:p w14:paraId="5BBF2CAB" w14:textId="77777777" w:rsidR="00F5734E" w:rsidRDefault="00F5734E" w:rsidP="00AC21D1">
      <w:pPr>
        <w:pStyle w:val="Example"/>
        <w:rPr>
          <w:rFonts w:ascii="Georgia" w:hAnsi="Georgia"/>
        </w:rPr>
      </w:pPr>
      <w:proofErr w:type="spellStart"/>
      <w:r>
        <w:rPr>
          <w:rStyle w:val="None"/>
          <w:i/>
          <w:iCs/>
        </w:rPr>
        <w:t>Stambovsky</w:t>
      </w:r>
      <w:proofErr w:type="spellEnd"/>
      <w:r>
        <w:rPr>
          <w:rStyle w:val="None"/>
          <w:i/>
          <w:iCs/>
        </w:rPr>
        <w:t xml:space="preserve"> v. Ackley</w:t>
      </w:r>
      <w:r>
        <w:rPr>
          <w:rStyle w:val="None"/>
        </w:rPr>
        <w:t>, 572 N.Y.S.2d 672, 674 (App. Div. 1991) (“[A]s a matter of law, the house is haunted.”).</w:t>
      </w:r>
    </w:p>
    <w:p w14:paraId="50218E29" w14:textId="77777777" w:rsidR="00F5734E" w:rsidRDefault="00F5734E" w:rsidP="00AC21D1">
      <w:pPr>
        <w:pStyle w:val="Example"/>
        <w:rPr>
          <w:rStyle w:val="None"/>
        </w:rPr>
      </w:pPr>
      <w:r>
        <w:rPr>
          <w:rStyle w:val="None"/>
          <w:i/>
          <w:iCs/>
        </w:rPr>
        <w:t xml:space="preserve">People v. </w:t>
      </w:r>
      <w:proofErr w:type="spellStart"/>
      <w:r>
        <w:rPr>
          <w:rStyle w:val="None"/>
          <w:i/>
          <w:iCs/>
        </w:rPr>
        <w:t>Foranyic</w:t>
      </w:r>
      <w:proofErr w:type="spellEnd"/>
      <w:r>
        <w:rPr>
          <w:rStyle w:val="None"/>
        </w:rPr>
        <w:t xml:space="preserve">, 74 Cal. </w:t>
      </w:r>
      <w:proofErr w:type="spellStart"/>
      <w:r>
        <w:rPr>
          <w:rStyle w:val="None"/>
        </w:rPr>
        <w:t>Rptr</w:t>
      </w:r>
      <w:proofErr w:type="spellEnd"/>
      <w:r>
        <w:rPr>
          <w:rStyle w:val="None"/>
        </w:rPr>
        <w:t>. 2d 804, 807 (Ct. App. 1998) (holding that police have probable cause to detain someone they see riding a bike at 3 a.m., carrying an axe).</w:t>
      </w:r>
    </w:p>
    <w:p w14:paraId="3257A645" w14:textId="77777777" w:rsidR="00F5734E" w:rsidRDefault="00F5734E" w:rsidP="00AC21D1">
      <w:pPr>
        <w:pStyle w:val="Example"/>
        <w:rPr>
          <w:rStyle w:val="None"/>
        </w:rPr>
      </w:pPr>
      <w:proofErr w:type="spellStart"/>
      <w:r>
        <w:rPr>
          <w:rStyle w:val="None"/>
          <w:i/>
          <w:iCs/>
        </w:rPr>
        <w:t>Dep’t</w:t>
      </w:r>
      <w:proofErr w:type="spellEnd"/>
      <w:r>
        <w:rPr>
          <w:rStyle w:val="None"/>
          <w:i/>
          <w:iCs/>
        </w:rPr>
        <w:t xml:space="preserve"> of Revenue v. James B. Beam Distilling Co.</w:t>
      </w:r>
      <w:r>
        <w:rPr>
          <w:rStyle w:val="None"/>
        </w:rPr>
        <w:t>, 377 U.S. 341, 349 (1964) (7–2 decision) (Black, J., dissenting) (disagreeing with Justice Goldberg as to the relative merits of bourbon and scotch).</w:t>
      </w:r>
    </w:p>
    <w:p w14:paraId="679263B4" w14:textId="77777777" w:rsidR="00F5734E" w:rsidRDefault="00F5734E" w:rsidP="00AC21D1">
      <w:pPr>
        <w:pStyle w:val="Example"/>
        <w:rPr>
          <w:rStyle w:val="None"/>
        </w:rPr>
      </w:pPr>
    </w:p>
    <w:p w14:paraId="7607EAE5" w14:textId="77777777" w:rsidR="00F5734E" w:rsidRDefault="00F5734E" w:rsidP="00F5734E">
      <w:pPr>
        <w:pStyle w:val="Body"/>
        <w:tabs>
          <w:tab w:val="left" w:pos="1440"/>
        </w:tabs>
        <w:spacing w:before="150" w:after="90"/>
        <w:ind w:left="1080"/>
        <w:rPr>
          <w:rFonts w:ascii="Georgia" w:hAnsi="Georgia"/>
        </w:rPr>
      </w:pPr>
    </w:p>
    <w:p w14:paraId="28CB52B9" w14:textId="148B1420" w:rsidR="00F5734E" w:rsidRPr="007D1359" w:rsidRDefault="00F5734E" w:rsidP="003E5933">
      <w:pPr>
        <w:pStyle w:val="Heading3"/>
        <w:rPr>
          <w:rStyle w:val="None"/>
          <w:b w:val="0"/>
          <w:bCs w:val="0"/>
          <w:sz w:val="27"/>
          <w:szCs w:val="27"/>
        </w:rPr>
      </w:pPr>
      <w:bookmarkStart w:id="28" w:name="_Toc78928054"/>
      <w:r w:rsidRPr="007D1359">
        <w:rPr>
          <w:rStyle w:val="None"/>
          <w:sz w:val="27"/>
          <w:szCs w:val="27"/>
        </w:rPr>
        <w:t>R14</w:t>
      </w:r>
      <w:r w:rsidR="00366383" w:rsidRPr="007D1359">
        <w:rPr>
          <w:rStyle w:val="None"/>
          <w:sz w:val="27"/>
          <w:szCs w:val="27"/>
        </w:rPr>
        <w:tab/>
      </w:r>
      <w:r w:rsidRPr="007D1359">
        <w:rPr>
          <w:rStyle w:val="None"/>
          <w:sz w:val="27"/>
          <w:szCs w:val="27"/>
        </w:rPr>
        <w:t>History of the Case</w:t>
      </w:r>
      <w:bookmarkEnd w:id="28"/>
    </w:p>
    <w:p w14:paraId="2323614F" w14:textId="77777777" w:rsidR="00FA343C" w:rsidRPr="00FA343C" w:rsidRDefault="00FA343C" w:rsidP="00FA343C"/>
    <w:p w14:paraId="4AF19EE6" w14:textId="7689E501" w:rsidR="00F5734E" w:rsidRDefault="00F5734E" w:rsidP="00616CD0">
      <w:pPr>
        <w:pStyle w:val="Heading4"/>
        <w:rPr>
          <w:rStyle w:val="None"/>
        </w:rPr>
      </w:pPr>
      <w:r>
        <w:rPr>
          <w:rStyle w:val="None"/>
        </w:rPr>
        <w:t>R14.1</w:t>
      </w:r>
      <w:r w:rsidR="00366383">
        <w:rPr>
          <w:rStyle w:val="None"/>
        </w:rPr>
        <w:tab/>
      </w:r>
      <w:r>
        <w:rPr>
          <w:rStyle w:val="None"/>
        </w:rPr>
        <w:t xml:space="preserve"> Subsequent History</w:t>
      </w:r>
    </w:p>
    <w:p w14:paraId="3269C688" w14:textId="77777777" w:rsidR="00F5734E" w:rsidRPr="003367D7" w:rsidRDefault="00F5734E" w:rsidP="003367D7">
      <w:pPr>
        <w:pStyle w:val="Rule"/>
        <w:ind w:left="0"/>
        <w:rPr>
          <w:rStyle w:val="None"/>
        </w:rPr>
      </w:pPr>
      <w:r w:rsidRPr="003367D7">
        <w:rPr>
          <w:rStyle w:val="None"/>
        </w:rPr>
        <w:t>When citing a case, include the subsequent history of the case, subject to several exceptions. Refer to </w:t>
      </w:r>
      <w:r w:rsidRPr="003367D7">
        <w:t xml:space="preserve">Table T14 </w:t>
      </w:r>
      <w:r w:rsidRPr="003367D7">
        <w:rPr>
          <w:rStyle w:val="None"/>
        </w:rPr>
        <w:t>for how to abbreviate explanatory phrases when introducing case history. Italicize the explanatory phrase.</w:t>
      </w:r>
    </w:p>
    <w:p w14:paraId="1EF2153E" w14:textId="77777777" w:rsidR="00F5734E" w:rsidRDefault="00F5734E" w:rsidP="00F5734E">
      <w:pPr>
        <w:pStyle w:val="Body"/>
        <w:rPr>
          <w:rStyle w:val="None"/>
          <w:b/>
          <w:bCs/>
          <w:smallCaps/>
          <w:color w:val="4B0082"/>
          <w:lang w:val="en-US"/>
        </w:rPr>
      </w:pPr>
    </w:p>
    <w:p w14:paraId="4825AA17" w14:textId="77777777" w:rsidR="00F5734E" w:rsidRDefault="00F5734E" w:rsidP="003367D7">
      <w:pPr>
        <w:pStyle w:val="InklingTitle"/>
        <w:rPr>
          <w:rStyle w:val="None"/>
          <w:lang w:val="en-US"/>
        </w:rPr>
      </w:pPr>
      <w:r>
        <w:rPr>
          <w:rStyle w:val="None"/>
          <w:color w:val="4B0082"/>
          <w:lang w:val="en-US"/>
        </w:rPr>
        <w:t>Indigo Inkling</w:t>
      </w:r>
    </w:p>
    <w:p w14:paraId="67FB0188" w14:textId="77777777" w:rsidR="00F5734E" w:rsidRDefault="00F5734E" w:rsidP="003367D7">
      <w:pPr>
        <w:pStyle w:val="Inkling"/>
        <w:rPr>
          <w:rStyle w:val="None"/>
          <w:lang w:val="en-US"/>
        </w:rPr>
      </w:pPr>
      <w:r>
        <w:rPr>
          <w:rStyle w:val="None"/>
          <w:lang w:val="en-US"/>
        </w:rPr>
        <w:t xml:space="preserve">The United States is a common law system, where court decisions play an important role in defining what the law is. To figure out the difference between good law and bad law, we have to look at the case’s subsequent history to make sure it was not vacated or reversed on the point being relied upon in a cited assertion. These types of important subsequent history are required by the Uniform System of Citation. On the other hand, some subsequent history is generally unimportant and should be omitted from the citation. Examples include the denial of a motion for reconsideration, or the denial of a petition for certiorari in a case decided more than two years ago. See </w:t>
      </w:r>
      <w:r w:rsidRPr="003367D7">
        <w:rPr>
          <w:rStyle w:val="Rulereferencecharacterstyle"/>
        </w:rPr>
        <w:t>Table T3</w:t>
      </w:r>
      <w:r>
        <w:rPr>
          <w:rStyle w:val="None"/>
          <w:lang w:val="en-US"/>
        </w:rPr>
        <w:t xml:space="preserve"> for some state-specific variations, and of course follow local practice and local court rules on subsequent history.</w:t>
      </w:r>
    </w:p>
    <w:p w14:paraId="23769BB2" w14:textId="77777777" w:rsidR="00F5734E" w:rsidRDefault="00F5734E" w:rsidP="003367D7">
      <w:pPr>
        <w:pStyle w:val="Inkling"/>
        <w:rPr>
          <w:rStyle w:val="None"/>
          <w:lang w:val="en-US"/>
        </w:rPr>
      </w:pPr>
    </w:p>
    <w:p w14:paraId="183FB49D" w14:textId="77777777" w:rsidR="00F5734E" w:rsidRDefault="00F5734E" w:rsidP="003367D7">
      <w:pPr>
        <w:pStyle w:val="Inkling"/>
        <w:rPr>
          <w:rStyle w:val="None"/>
          <w:lang w:val="en-US"/>
        </w:rPr>
      </w:pPr>
      <w:r>
        <w:rPr>
          <w:rStyle w:val="None"/>
          <w:lang w:val="en-US"/>
        </w:rPr>
        <w:t>Note that subsequent history is the history of that particular case in litigation. If a different case (unrelated parties but a similar legal issue) later overrules an older case’s holding, that case is no longer good law for that point—but subsequent history is not involved in the citation. This is but one example of how legal citation overlaps with legal analysis itself. If a writer is citing a case that was later overruled, the writer should not simply polish the citation’s mandatory subsequent history, but rather re-consider why to cite that “bad law” in the first place.</w:t>
      </w:r>
    </w:p>
    <w:p w14:paraId="5F00A04F" w14:textId="77777777" w:rsidR="00F5734E" w:rsidRDefault="00F5734E" w:rsidP="00616CD0">
      <w:pPr>
        <w:pStyle w:val="Heading4"/>
        <w:rPr>
          <w:rStyle w:val="None"/>
        </w:rPr>
      </w:pPr>
      <w:r>
        <w:rPr>
          <w:rStyle w:val="None"/>
        </w:rPr>
        <w:t>R14.2</w:t>
      </w:r>
      <w:r>
        <w:rPr>
          <w:rStyle w:val="None"/>
        </w:rPr>
        <w:tab/>
        <w:t>Required Explanatory Phrases</w:t>
      </w:r>
    </w:p>
    <w:p w14:paraId="55483FD9" w14:textId="15E97CB5" w:rsidR="00266500" w:rsidRDefault="00266500" w:rsidP="00A4239A">
      <w:pPr>
        <w:pStyle w:val="Rule"/>
        <w:ind w:left="0"/>
        <w:rPr>
          <w:rStyle w:val="None"/>
        </w:rPr>
      </w:pPr>
      <w:r>
        <w:rPr>
          <w:rStyle w:val="None"/>
        </w:rPr>
        <w:t xml:space="preserve">Include subsequent history when </w:t>
      </w:r>
      <w:r w:rsidR="00030943">
        <w:rPr>
          <w:rStyle w:val="None"/>
        </w:rPr>
        <w:t>necess</w:t>
      </w:r>
      <w:r w:rsidR="00516A4C">
        <w:rPr>
          <w:rStyle w:val="None"/>
        </w:rPr>
        <w:t>ary to protect credibility or clarify the weight of authority for the statement</w:t>
      </w:r>
      <w:r w:rsidR="00A76812">
        <w:rPr>
          <w:rStyle w:val="None"/>
        </w:rPr>
        <w:t xml:space="preserve"> the citation supports. This includes most subsequent history except denials of </w:t>
      </w:r>
      <w:proofErr w:type="spellStart"/>
      <w:r w:rsidR="00A76812">
        <w:rPr>
          <w:rStyle w:val="None"/>
        </w:rPr>
        <w:t>rehearings</w:t>
      </w:r>
      <w:proofErr w:type="spellEnd"/>
      <w:r w:rsidR="00A76812">
        <w:rPr>
          <w:rStyle w:val="None"/>
        </w:rPr>
        <w:t xml:space="preserve"> or discretionary appeals. This also includes history on remand (which, by its nature, advances the litigation but does not change the law issued from a higher court on appeal), unless relevant to the point being made.</w:t>
      </w:r>
    </w:p>
    <w:p w14:paraId="2520AD2A" w14:textId="2BB14E88" w:rsidR="00030943" w:rsidRDefault="00030943" w:rsidP="00616CD0">
      <w:pPr>
        <w:pStyle w:val="Heading5"/>
        <w:rPr>
          <w:rStyle w:val="None"/>
        </w:rPr>
      </w:pPr>
      <w:r>
        <w:rPr>
          <w:rStyle w:val="None"/>
        </w:rPr>
        <w:t>R14.2.1</w:t>
      </w:r>
      <w:r>
        <w:rPr>
          <w:rStyle w:val="None"/>
        </w:rPr>
        <w:tab/>
        <w:t>Direct subsequent history of the litigation</w:t>
      </w:r>
    </w:p>
    <w:p w14:paraId="3612D629" w14:textId="559EE280" w:rsidR="00F5734E" w:rsidRDefault="00F5734E" w:rsidP="00A4239A">
      <w:pPr>
        <w:pStyle w:val="Rule"/>
        <w:ind w:left="0"/>
        <w:rPr>
          <w:rStyle w:val="None"/>
        </w:rPr>
      </w:pPr>
      <w:r w:rsidRPr="00E1618B">
        <w:rPr>
          <w:rStyle w:val="None"/>
        </w:rPr>
        <w:t xml:space="preserve">Always </w:t>
      </w:r>
      <w:r w:rsidR="003A0688">
        <w:rPr>
          <w:rStyle w:val="None"/>
        </w:rPr>
        <w:t>incorporate</w:t>
      </w:r>
      <w:r w:rsidRPr="00E1618B">
        <w:rPr>
          <w:rStyle w:val="None"/>
        </w:rPr>
        <w:t xml:space="preserve"> the following explanatory phrases when applicable, </w:t>
      </w:r>
      <w:r w:rsidR="003A0688">
        <w:rPr>
          <w:rStyle w:val="None"/>
        </w:rPr>
        <w:t>italicized, followed by</w:t>
      </w:r>
      <w:r w:rsidR="000D5864">
        <w:rPr>
          <w:rStyle w:val="None"/>
        </w:rPr>
        <w:t xml:space="preserve"> a comma and</w:t>
      </w:r>
      <w:r w:rsidR="003A0688">
        <w:rPr>
          <w:rStyle w:val="None"/>
        </w:rPr>
        <w:t xml:space="preserve"> the citation information for the subsequent history</w:t>
      </w:r>
      <w:r w:rsidR="00A4239A">
        <w:rPr>
          <w:rStyle w:val="None"/>
        </w:rPr>
        <w:t>.</w:t>
      </w:r>
      <w:r w:rsidR="00266500">
        <w:rPr>
          <w:rStyle w:val="None"/>
        </w:rPr>
        <w:t xml:space="preserve"> </w:t>
      </w:r>
      <w:r w:rsidR="00644066">
        <w:rPr>
          <w:rStyle w:val="None"/>
        </w:rPr>
        <w:t xml:space="preserve">Include other subsequent history commensurate with this list, to indicate the weight of authority and </w:t>
      </w:r>
      <w:r w:rsidR="00ED5BE6">
        <w:rPr>
          <w:rStyle w:val="None"/>
        </w:rPr>
        <w:t>whether the primary case being cited is good law for all or any points.</w:t>
      </w:r>
    </w:p>
    <w:p w14:paraId="78831A7A" w14:textId="77777777" w:rsidR="00644066" w:rsidRPr="00E1618B" w:rsidRDefault="00644066" w:rsidP="00A4239A">
      <w:pPr>
        <w:pStyle w:val="Rule"/>
        <w:ind w:left="0"/>
        <w:rPr>
          <w:rStyle w:val="None"/>
        </w:rPr>
      </w:pPr>
    </w:p>
    <w:tbl>
      <w:tblPr>
        <w:tblStyle w:val="TableGrid"/>
        <w:tblW w:w="0" w:type="auto"/>
        <w:tblInd w:w="840" w:type="dxa"/>
        <w:tblLook w:val="04A0" w:firstRow="1" w:lastRow="0" w:firstColumn="1" w:lastColumn="0" w:noHBand="0" w:noVBand="1"/>
      </w:tblPr>
      <w:tblGrid>
        <w:gridCol w:w="4405"/>
        <w:gridCol w:w="4331"/>
      </w:tblGrid>
      <w:tr w:rsidR="00C2218F" w14:paraId="00843C6F" w14:textId="77777777" w:rsidTr="00C2218F">
        <w:tc>
          <w:tcPr>
            <w:tcW w:w="9576" w:type="dxa"/>
            <w:gridSpan w:val="2"/>
          </w:tcPr>
          <w:p w14:paraId="4714B583" w14:textId="15F8A80E" w:rsidR="00C2218F" w:rsidRPr="00C2218F" w:rsidRDefault="00C2218F" w:rsidP="00C2218F">
            <w:pPr>
              <w:pStyle w:val="Rule"/>
              <w:pBdr>
                <w:top w:val="none" w:sz="0" w:space="0" w:color="auto"/>
                <w:left w:val="none" w:sz="0" w:space="0" w:color="auto"/>
                <w:bottom w:val="none" w:sz="0" w:space="0" w:color="auto"/>
                <w:right w:val="none" w:sz="0" w:space="0" w:color="auto"/>
                <w:between w:val="none" w:sz="0" w:space="0" w:color="auto"/>
                <w:bar w:val="none" w:sz="0" w:color="auto"/>
              </w:pBdr>
              <w:ind w:left="0"/>
              <w:jc w:val="center"/>
              <w:rPr>
                <w:rStyle w:val="None"/>
                <w:b/>
                <w:bCs/>
              </w:rPr>
            </w:pPr>
            <w:r w:rsidRPr="00C2218F">
              <w:rPr>
                <w:rStyle w:val="None"/>
                <w:b/>
                <w:bCs/>
              </w:rPr>
              <w:t xml:space="preserve">Required </w:t>
            </w:r>
            <w:r>
              <w:rPr>
                <w:rStyle w:val="None"/>
                <w:b/>
                <w:bCs/>
              </w:rPr>
              <w:t>Su</w:t>
            </w:r>
            <w:r w:rsidRPr="00C2218F">
              <w:rPr>
                <w:rStyle w:val="None"/>
                <w:b/>
                <w:bCs/>
              </w:rPr>
              <w:t xml:space="preserve">bsequent </w:t>
            </w:r>
            <w:r>
              <w:rPr>
                <w:rStyle w:val="None"/>
                <w:b/>
                <w:bCs/>
              </w:rPr>
              <w:t>H</w:t>
            </w:r>
            <w:r w:rsidRPr="00C2218F">
              <w:rPr>
                <w:rStyle w:val="None"/>
                <w:b/>
                <w:bCs/>
              </w:rPr>
              <w:t>istory</w:t>
            </w:r>
          </w:p>
        </w:tc>
      </w:tr>
      <w:tr w:rsidR="00136CD8" w14:paraId="1EA2655D" w14:textId="77777777" w:rsidTr="00C2218F">
        <w:tc>
          <w:tcPr>
            <w:tcW w:w="4788" w:type="dxa"/>
          </w:tcPr>
          <w:p w14:paraId="6C0F19A1" w14:textId="249A944D" w:rsidR="00136CD8" w:rsidRPr="00C2218F" w:rsidRDefault="00C2218F" w:rsidP="00C2218F">
            <w:pPr>
              <w:pStyle w:val="Rule"/>
              <w:rPr>
                <w:rStyle w:val="None"/>
                <w:i/>
                <w:iCs/>
              </w:rPr>
            </w:pPr>
            <w:r w:rsidRPr="00136CD8">
              <w:rPr>
                <w:rStyle w:val="None"/>
                <w:i/>
                <w:iCs/>
              </w:rPr>
              <w:t>aff’d</w:t>
            </w:r>
          </w:p>
        </w:tc>
        <w:tc>
          <w:tcPr>
            <w:tcW w:w="4788" w:type="dxa"/>
          </w:tcPr>
          <w:p w14:paraId="1A57353F" w14:textId="36884E4E" w:rsidR="00136CD8"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affirmed by a higher court in the same litigation</w:t>
            </w:r>
            <w:r w:rsidR="003A0688">
              <w:rPr>
                <w:rStyle w:val="None"/>
              </w:rPr>
              <w:t>.</w:t>
            </w:r>
          </w:p>
        </w:tc>
      </w:tr>
      <w:tr w:rsidR="00C2218F" w14:paraId="5F82A698" w14:textId="77777777" w:rsidTr="00C2218F">
        <w:tc>
          <w:tcPr>
            <w:tcW w:w="4788" w:type="dxa"/>
          </w:tcPr>
          <w:p w14:paraId="513D9053" w14:textId="0201CE95" w:rsidR="00C2218F" w:rsidRPr="00136CD8" w:rsidRDefault="00C2218F" w:rsidP="00C2218F">
            <w:pPr>
              <w:pStyle w:val="Rule"/>
              <w:rPr>
                <w:rStyle w:val="None"/>
                <w:i/>
                <w:iCs/>
              </w:rPr>
            </w:pPr>
            <w:r w:rsidRPr="00136CD8">
              <w:rPr>
                <w:rStyle w:val="None"/>
                <w:i/>
                <w:iCs/>
              </w:rPr>
              <w:t>cert. granted</w:t>
            </w:r>
          </w:p>
        </w:tc>
        <w:tc>
          <w:tcPr>
            <w:tcW w:w="4788" w:type="dxa"/>
          </w:tcPr>
          <w:p w14:paraId="41D690ED" w14:textId="2630C893"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is subject to a pending petition for certiorari that the higher court has granted</w:t>
            </w:r>
            <w:r w:rsidR="003A0688">
              <w:rPr>
                <w:rStyle w:val="None"/>
              </w:rPr>
              <w:t>.</w:t>
            </w:r>
          </w:p>
        </w:tc>
      </w:tr>
      <w:tr w:rsidR="00C2218F" w14:paraId="21C2DCE7" w14:textId="77777777" w:rsidTr="00C2218F">
        <w:tc>
          <w:tcPr>
            <w:tcW w:w="4788" w:type="dxa"/>
          </w:tcPr>
          <w:p w14:paraId="25CB71B8" w14:textId="1D7B5C5D" w:rsidR="00C2218F" w:rsidRPr="00136CD8" w:rsidRDefault="00C2218F" w:rsidP="00C2218F">
            <w:pPr>
              <w:pStyle w:val="Rule"/>
              <w:rPr>
                <w:rStyle w:val="None"/>
                <w:i/>
                <w:iCs/>
              </w:rPr>
            </w:pPr>
            <w:proofErr w:type="spellStart"/>
            <w:r w:rsidRPr="00136CD8">
              <w:rPr>
                <w:rStyle w:val="None"/>
                <w:i/>
                <w:iCs/>
              </w:rPr>
              <w:t>rev’d</w:t>
            </w:r>
            <w:proofErr w:type="spellEnd"/>
          </w:p>
        </w:tc>
        <w:tc>
          <w:tcPr>
            <w:tcW w:w="4788" w:type="dxa"/>
          </w:tcPr>
          <w:p w14:paraId="08D6568C" w14:textId="06952280" w:rsidR="00C2218F" w:rsidRPr="00E82704"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has been reversed</w:t>
            </w:r>
            <w:r w:rsidR="003A0688">
              <w:rPr>
                <w:rStyle w:val="None"/>
              </w:rPr>
              <w:t>.</w:t>
            </w:r>
            <w:r w:rsidR="00E82704">
              <w:rPr>
                <w:rStyle w:val="None"/>
              </w:rPr>
              <w:t xml:space="preserve"> Note this subsequent history can be combined with </w:t>
            </w:r>
            <w:proofErr w:type="spellStart"/>
            <w:r w:rsidR="00E82704">
              <w:rPr>
                <w:rStyle w:val="None"/>
                <w:i/>
                <w:iCs/>
              </w:rPr>
              <w:t>rev’d</w:t>
            </w:r>
            <w:proofErr w:type="spellEnd"/>
            <w:r w:rsidR="00E82704">
              <w:rPr>
                <w:rStyle w:val="None"/>
                <w:i/>
                <w:iCs/>
              </w:rPr>
              <w:t xml:space="preserve"> </w:t>
            </w:r>
            <w:proofErr w:type="spellStart"/>
            <w:r w:rsidR="00E82704">
              <w:rPr>
                <w:rStyle w:val="None"/>
                <w:i/>
                <w:iCs/>
              </w:rPr>
              <w:t>en</w:t>
            </w:r>
            <w:proofErr w:type="spellEnd"/>
            <w:r w:rsidR="00E82704">
              <w:rPr>
                <w:rStyle w:val="None"/>
                <w:i/>
                <w:iCs/>
              </w:rPr>
              <w:t xml:space="preserve"> banc</w:t>
            </w:r>
            <w:r w:rsidR="00E82704">
              <w:rPr>
                <w:rStyle w:val="None"/>
              </w:rPr>
              <w:t xml:space="preserve"> where applicable.</w:t>
            </w:r>
          </w:p>
        </w:tc>
      </w:tr>
      <w:tr w:rsidR="00C2218F" w14:paraId="1BE0CC44" w14:textId="77777777" w:rsidTr="00C2218F">
        <w:tc>
          <w:tcPr>
            <w:tcW w:w="4788" w:type="dxa"/>
          </w:tcPr>
          <w:p w14:paraId="466337FF" w14:textId="24833BE4" w:rsidR="00C2218F" w:rsidRPr="00136CD8" w:rsidRDefault="00C2218F" w:rsidP="00C2218F">
            <w:pPr>
              <w:pStyle w:val="Rule"/>
              <w:rPr>
                <w:rStyle w:val="None"/>
                <w:i/>
                <w:iCs/>
              </w:rPr>
            </w:pPr>
            <w:proofErr w:type="spellStart"/>
            <w:r w:rsidRPr="00136CD8">
              <w:rPr>
                <w:rStyle w:val="None"/>
                <w:i/>
                <w:iCs/>
              </w:rPr>
              <w:t>rev’d</w:t>
            </w:r>
            <w:proofErr w:type="spellEnd"/>
            <w:r w:rsidRPr="00136CD8">
              <w:rPr>
                <w:rStyle w:val="None"/>
                <w:i/>
                <w:iCs/>
              </w:rPr>
              <w:t xml:space="preserve"> on other grounds</w:t>
            </w:r>
          </w:p>
        </w:tc>
        <w:tc>
          <w:tcPr>
            <w:tcW w:w="4788" w:type="dxa"/>
          </w:tcPr>
          <w:p w14:paraId="6768004F" w14:textId="59A47DA5" w:rsidR="00C2218F" w:rsidRDefault="00C2218F"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has been reversed on a different ground other than the one for which it is being cited</w:t>
            </w:r>
            <w:r w:rsidR="003A0688">
              <w:rPr>
                <w:rStyle w:val="None"/>
              </w:rPr>
              <w:t>.</w:t>
            </w:r>
          </w:p>
        </w:tc>
      </w:tr>
      <w:tr w:rsidR="00E1618B" w14:paraId="21D05AAC" w14:textId="77777777" w:rsidTr="00C2218F">
        <w:tc>
          <w:tcPr>
            <w:tcW w:w="4788" w:type="dxa"/>
          </w:tcPr>
          <w:p w14:paraId="25477153" w14:textId="77777777" w:rsidR="003A0688" w:rsidRDefault="00E1618B" w:rsidP="00C2218F">
            <w:pPr>
              <w:pStyle w:val="Rule"/>
              <w:rPr>
                <w:rStyle w:val="None"/>
                <w:i/>
                <w:iCs/>
              </w:rPr>
            </w:pPr>
            <w:r>
              <w:rPr>
                <w:rStyle w:val="None"/>
                <w:i/>
                <w:iCs/>
              </w:rPr>
              <w:t>cert. denied</w:t>
            </w:r>
            <w:r w:rsidR="00065C55">
              <w:rPr>
                <w:rStyle w:val="None"/>
                <w:i/>
                <w:iCs/>
              </w:rPr>
              <w:t xml:space="preserve"> </w:t>
            </w:r>
          </w:p>
          <w:p w14:paraId="05F48554" w14:textId="38F0D945" w:rsidR="00E1618B" w:rsidRPr="00065C55" w:rsidRDefault="00065C55" w:rsidP="00C2218F">
            <w:pPr>
              <w:pStyle w:val="Rule"/>
              <w:rPr>
                <w:rStyle w:val="None"/>
              </w:rPr>
            </w:pPr>
            <w:r>
              <w:rPr>
                <w:rStyle w:val="None"/>
              </w:rPr>
              <w:t>(</w:t>
            </w:r>
            <w:proofErr w:type="gramStart"/>
            <w:r w:rsidR="003A0688">
              <w:rPr>
                <w:rStyle w:val="None"/>
              </w:rPr>
              <w:t>only</w:t>
            </w:r>
            <w:proofErr w:type="gramEnd"/>
            <w:r w:rsidR="003A0688">
              <w:rPr>
                <w:rStyle w:val="None"/>
              </w:rPr>
              <w:t xml:space="preserve"> </w:t>
            </w:r>
            <w:r>
              <w:rPr>
                <w:rStyle w:val="None"/>
              </w:rPr>
              <w:t>when citing a case decided less than two years ago</w:t>
            </w:r>
            <w:r w:rsidR="00A4239A">
              <w:rPr>
                <w:rStyle w:val="None"/>
              </w:rPr>
              <w:t>, to show finality or for a specific point</w:t>
            </w:r>
            <w:r>
              <w:rPr>
                <w:rStyle w:val="None"/>
              </w:rPr>
              <w:t>)</w:t>
            </w:r>
          </w:p>
        </w:tc>
        <w:tc>
          <w:tcPr>
            <w:tcW w:w="4788" w:type="dxa"/>
          </w:tcPr>
          <w:p w14:paraId="10AB9719" w14:textId="1675149C" w:rsidR="00E1618B" w:rsidRDefault="00065C55"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potentially subject to a petition for certiorari, which was in fact filed but denied (thus showing this case’s finality)</w:t>
            </w:r>
            <w:r w:rsidR="003A0688">
              <w:rPr>
                <w:rStyle w:val="None"/>
              </w:rPr>
              <w:t>.</w:t>
            </w:r>
          </w:p>
        </w:tc>
      </w:tr>
      <w:tr w:rsidR="00A76812" w14:paraId="716333B3" w14:textId="77777777" w:rsidTr="00C2218F">
        <w:tc>
          <w:tcPr>
            <w:tcW w:w="4788" w:type="dxa"/>
          </w:tcPr>
          <w:p w14:paraId="5F19D695" w14:textId="77777777" w:rsidR="00A76812" w:rsidRDefault="00A76812" w:rsidP="00C2218F">
            <w:pPr>
              <w:pStyle w:val="Rule"/>
              <w:rPr>
                <w:rStyle w:val="None"/>
                <w:i/>
                <w:iCs/>
              </w:rPr>
            </w:pPr>
            <w:r>
              <w:rPr>
                <w:rStyle w:val="None"/>
                <w:i/>
                <w:iCs/>
              </w:rPr>
              <w:t>vacated</w:t>
            </w:r>
          </w:p>
          <w:p w14:paraId="085CE5CE" w14:textId="0F0189EF" w:rsidR="00644066" w:rsidRDefault="00644066" w:rsidP="00C2218F">
            <w:pPr>
              <w:pStyle w:val="Rule"/>
              <w:rPr>
                <w:rStyle w:val="None"/>
                <w:i/>
                <w:iCs/>
              </w:rPr>
            </w:pPr>
            <w:r>
              <w:rPr>
                <w:rStyle w:val="None"/>
                <w:i/>
                <w:iCs/>
              </w:rPr>
              <w:t>vacated as moot</w:t>
            </w:r>
          </w:p>
        </w:tc>
        <w:tc>
          <w:tcPr>
            <w:tcW w:w="4788" w:type="dxa"/>
          </w:tcPr>
          <w:p w14:paraId="6EE8BB38" w14:textId="38BC10C0" w:rsidR="00A76812" w:rsidRDefault="00A76812" w:rsidP="003367D7">
            <w:pPr>
              <w:pStyle w:val="Rule"/>
              <w:pBdr>
                <w:top w:val="none" w:sz="0" w:space="0" w:color="auto"/>
                <w:left w:val="none" w:sz="0" w:space="0" w:color="auto"/>
                <w:bottom w:val="none" w:sz="0" w:space="0" w:color="auto"/>
                <w:right w:val="none" w:sz="0" w:space="0" w:color="auto"/>
                <w:between w:val="none" w:sz="0" w:space="0" w:color="auto"/>
                <w:bar w:val="none" w:sz="0" w:color="auto"/>
              </w:pBdr>
              <w:ind w:left="0"/>
              <w:rPr>
                <w:rStyle w:val="None"/>
              </w:rPr>
            </w:pPr>
            <w:r>
              <w:rPr>
                <w:rStyle w:val="None"/>
              </w:rPr>
              <w:t>Case was vacated and is no longer good law.</w:t>
            </w:r>
            <w:r w:rsidR="00644066">
              <w:rPr>
                <w:rStyle w:val="None"/>
              </w:rPr>
              <w:t xml:space="preserve"> Use </w:t>
            </w:r>
            <w:r w:rsidR="00644066" w:rsidRPr="00644066">
              <w:rPr>
                <w:rStyle w:val="None"/>
                <w:i/>
                <w:iCs/>
              </w:rPr>
              <w:t>vacated as moot</w:t>
            </w:r>
            <w:r w:rsidR="00644066">
              <w:rPr>
                <w:rStyle w:val="None"/>
              </w:rPr>
              <w:t xml:space="preserve"> where the court so indicates.</w:t>
            </w:r>
            <w:r>
              <w:rPr>
                <w:rStyle w:val="None"/>
              </w:rPr>
              <w:t xml:space="preserve"> </w:t>
            </w:r>
          </w:p>
        </w:tc>
      </w:tr>
    </w:tbl>
    <w:p w14:paraId="04140D08" w14:textId="1044927F" w:rsidR="00136CD8" w:rsidRDefault="00136CD8" w:rsidP="003367D7">
      <w:pPr>
        <w:pStyle w:val="Rule"/>
        <w:rPr>
          <w:rStyle w:val="None"/>
        </w:rPr>
      </w:pPr>
    </w:p>
    <w:p w14:paraId="746D87F5" w14:textId="71C10CC7" w:rsidR="00F5734E" w:rsidRPr="00F009ED" w:rsidRDefault="00F5734E" w:rsidP="00F009ED">
      <w:pPr>
        <w:pStyle w:val="Example"/>
        <w:rPr>
          <w:rStyle w:val="None"/>
          <w:b/>
          <w:bCs w:val="0"/>
        </w:rPr>
      </w:pPr>
      <w:r w:rsidRPr="00F009ED">
        <w:rPr>
          <w:rStyle w:val="None"/>
          <w:b/>
          <w:bCs w:val="0"/>
        </w:rPr>
        <w:t>Examples:</w:t>
      </w:r>
    </w:p>
    <w:p w14:paraId="59F2FFDD" w14:textId="287CE1E8" w:rsidR="00F5734E" w:rsidRPr="00755409" w:rsidRDefault="00F5734E" w:rsidP="00755409">
      <w:pPr>
        <w:pStyle w:val="Example"/>
        <w:rPr>
          <w:rStyle w:val="None"/>
        </w:rPr>
      </w:pPr>
      <w:r w:rsidRPr="00755409">
        <w:rPr>
          <w:rStyle w:val="None"/>
          <w:i/>
          <w:iCs/>
        </w:rPr>
        <w:t>In re Verizon Internet Servs., Inc.</w:t>
      </w:r>
      <w:r w:rsidRPr="00755409">
        <w:rPr>
          <w:rStyle w:val="None"/>
        </w:rPr>
        <w:t>, 257 F. Supp. 2d 244 (D.D.C. 2003), </w:t>
      </w:r>
      <w:proofErr w:type="spellStart"/>
      <w:r w:rsidRPr="00755409">
        <w:rPr>
          <w:rStyle w:val="None"/>
          <w:i/>
          <w:iCs/>
        </w:rPr>
        <w:t>rev’d</w:t>
      </w:r>
      <w:proofErr w:type="spellEnd"/>
      <w:r w:rsidRPr="00755409">
        <w:rPr>
          <w:rStyle w:val="None"/>
          <w:i/>
          <w:iCs/>
        </w:rPr>
        <w:t xml:space="preserve"> on other grounds</w:t>
      </w:r>
      <w:r w:rsidRPr="00755409">
        <w:rPr>
          <w:rStyle w:val="None"/>
        </w:rPr>
        <w:t>, </w:t>
      </w:r>
      <w:r w:rsidRPr="00755409">
        <w:rPr>
          <w:rStyle w:val="None"/>
          <w:i/>
          <w:iCs/>
        </w:rPr>
        <w:t xml:space="preserve">Recording Indus. </w:t>
      </w:r>
      <w:proofErr w:type="spellStart"/>
      <w:r w:rsidRPr="00755409">
        <w:rPr>
          <w:rStyle w:val="None"/>
          <w:i/>
          <w:iCs/>
        </w:rPr>
        <w:t>Ass’n</w:t>
      </w:r>
      <w:proofErr w:type="spellEnd"/>
      <w:r w:rsidRPr="00755409">
        <w:rPr>
          <w:rStyle w:val="None"/>
          <w:i/>
          <w:iCs/>
        </w:rPr>
        <w:t xml:space="preserve"> of Am., Inc. v. Verizon Internet Servs., Inc.</w:t>
      </w:r>
      <w:r w:rsidRPr="00755409">
        <w:rPr>
          <w:rStyle w:val="None"/>
        </w:rPr>
        <w:t xml:space="preserve">, 351 F.3d 1229 (D.C. Cir. 2003). </w:t>
      </w:r>
    </w:p>
    <w:p w14:paraId="5A4EA4A4" w14:textId="4057203F" w:rsidR="00F5734E" w:rsidRPr="00755409" w:rsidRDefault="00F009ED" w:rsidP="00755409">
      <w:pPr>
        <w:pStyle w:val="Example"/>
        <w:rPr>
          <w:rStyle w:val="None"/>
        </w:rPr>
      </w:pPr>
      <w:r w:rsidRPr="00755409">
        <w:rPr>
          <w:rStyle w:val="None"/>
        </w:rPr>
        <w:t>—</w:t>
      </w:r>
      <w:r w:rsidR="00F5734E" w:rsidRPr="00755409">
        <w:rPr>
          <w:rStyle w:val="None"/>
        </w:rPr>
        <w:t>Note: This subsequent history is always required because the primary case being cited has been reversed</w:t>
      </w:r>
      <w:r w:rsidR="000D5864" w:rsidRPr="00755409">
        <w:rPr>
          <w:rStyle w:val="None"/>
        </w:rPr>
        <w:t xml:space="preserve"> on at least one basis</w:t>
      </w:r>
      <w:r w:rsidR="00F5734E" w:rsidRPr="00755409">
        <w:rPr>
          <w:rStyle w:val="None"/>
        </w:rPr>
        <w:t>.</w:t>
      </w:r>
    </w:p>
    <w:p w14:paraId="160EFBE0" w14:textId="77777777" w:rsidR="00F5734E" w:rsidRPr="00755409" w:rsidRDefault="00F5734E" w:rsidP="00755409">
      <w:pPr>
        <w:pStyle w:val="Example"/>
        <w:rPr>
          <w:rStyle w:val="None"/>
        </w:rPr>
      </w:pPr>
    </w:p>
    <w:p w14:paraId="57E1811D" w14:textId="77777777" w:rsidR="00F5734E" w:rsidRPr="00755409" w:rsidRDefault="00F5734E" w:rsidP="00755409">
      <w:pPr>
        <w:pStyle w:val="Example"/>
        <w:rPr>
          <w:rStyle w:val="None"/>
        </w:rPr>
      </w:pPr>
      <w:r w:rsidRPr="00755409">
        <w:rPr>
          <w:rStyle w:val="None"/>
          <w:i/>
          <w:iCs/>
        </w:rPr>
        <w:t>B.L. v. Mahanoy Area Sch. Dist.</w:t>
      </w:r>
      <w:r w:rsidRPr="00755409">
        <w:rPr>
          <w:rStyle w:val="None"/>
        </w:rPr>
        <w:t xml:space="preserve">, 964 F.3d 170 (3d Cir. 2020), </w:t>
      </w:r>
      <w:r w:rsidRPr="00755409">
        <w:rPr>
          <w:rStyle w:val="None"/>
          <w:i/>
          <w:iCs/>
        </w:rPr>
        <w:t>cert. granted</w:t>
      </w:r>
      <w:r w:rsidRPr="00755409">
        <w:rPr>
          <w:rStyle w:val="None"/>
        </w:rPr>
        <w:t xml:space="preserve">, No. 20-255 (Jan. 8, 2021). </w:t>
      </w:r>
    </w:p>
    <w:p w14:paraId="01230CFB" w14:textId="6237E72E" w:rsidR="00F5734E" w:rsidRPr="00755409" w:rsidRDefault="00F009ED" w:rsidP="00755409">
      <w:pPr>
        <w:pStyle w:val="Example"/>
        <w:rPr>
          <w:rStyle w:val="None"/>
        </w:rPr>
      </w:pPr>
      <w:r w:rsidRPr="00755409">
        <w:rPr>
          <w:rStyle w:val="None"/>
        </w:rPr>
        <w:t>—</w:t>
      </w:r>
      <w:r w:rsidR="00F5734E" w:rsidRPr="00755409">
        <w:rPr>
          <w:rStyle w:val="None"/>
        </w:rPr>
        <w:t>Note: This would be an appropriate citation while the Supreme Court’s decision and opinion remained pending. After the opinion, it is unlikely that this citation would be needed since the Supreme Court opinion itself is the final authority.</w:t>
      </w:r>
      <w:r w:rsidR="00A811EF" w:rsidRPr="00755409">
        <w:rPr>
          <w:rStyle w:val="None"/>
        </w:rPr>
        <w:t xml:space="preserve"> The citation for cert. granted could replace the docket number with a Lexis or Westlaw database code referring directly to the grant of certiorari.</w:t>
      </w:r>
    </w:p>
    <w:p w14:paraId="17CFA945" w14:textId="77777777" w:rsidR="00F009ED" w:rsidRPr="00755409" w:rsidRDefault="00F009ED" w:rsidP="00755409">
      <w:pPr>
        <w:pStyle w:val="Example"/>
      </w:pPr>
    </w:p>
    <w:p w14:paraId="38B5ABB0" w14:textId="77777777" w:rsidR="00F5734E" w:rsidRPr="00755409" w:rsidRDefault="00F5734E" w:rsidP="00755409">
      <w:pPr>
        <w:pStyle w:val="Example"/>
        <w:rPr>
          <w:rStyle w:val="None"/>
        </w:rPr>
      </w:pPr>
      <w:r w:rsidRPr="00755409">
        <w:rPr>
          <w:rStyle w:val="None"/>
        </w:rPr>
        <w:t xml:space="preserve">The district court’s decision withstood all layers of federal-appellate review. </w:t>
      </w:r>
      <w:r w:rsidRPr="00755409">
        <w:rPr>
          <w:rStyle w:val="None"/>
          <w:i/>
          <w:iCs/>
        </w:rPr>
        <w:t xml:space="preserve">Energy &amp; Env't Legal Inst. v. </w:t>
      </w:r>
      <w:proofErr w:type="spellStart"/>
      <w:r w:rsidRPr="00755409">
        <w:rPr>
          <w:rStyle w:val="None"/>
          <w:i/>
          <w:iCs/>
        </w:rPr>
        <w:t>Epel</w:t>
      </w:r>
      <w:proofErr w:type="spellEnd"/>
      <w:r w:rsidRPr="00755409">
        <w:rPr>
          <w:rStyle w:val="None"/>
        </w:rPr>
        <w:t>, 43 F. Supp. 3d 1171 (D. Colo. 2014), </w:t>
      </w:r>
      <w:r w:rsidRPr="00755409">
        <w:rPr>
          <w:rStyle w:val="None"/>
          <w:i/>
          <w:iCs/>
        </w:rPr>
        <w:t>aff’d</w:t>
      </w:r>
      <w:r w:rsidRPr="00755409">
        <w:rPr>
          <w:rStyle w:val="None"/>
        </w:rPr>
        <w:t>, 793 F.3d 1169 (10th Cir. 2015), </w:t>
      </w:r>
      <w:r w:rsidRPr="00755409">
        <w:rPr>
          <w:rStyle w:val="None"/>
          <w:i/>
          <w:iCs/>
        </w:rPr>
        <w:t>cert. denied</w:t>
      </w:r>
      <w:r w:rsidRPr="00755409">
        <w:rPr>
          <w:rStyle w:val="None"/>
        </w:rPr>
        <w:t xml:space="preserve">, 577 U.S. 1043 (2015). </w:t>
      </w:r>
    </w:p>
    <w:p w14:paraId="2C8842C0" w14:textId="2A04C455" w:rsidR="00F5734E" w:rsidRDefault="00F009ED" w:rsidP="00755409">
      <w:pPr>
        <w:pStyle w:val="Example"/>
        <w:rPr>
          <w:rStyle w:val="None"/>
        </w:rPr>
      </w:pPr>
      <w:r w:rsidRPr="00755409">
        <w:rPr>
          <w:rStyle w:val="None"/>
        </w:rPr>
        <w:t>—</w:t>
      </w:r>
      <w:r w:rsidR="00F5734E" w:rsidRPr="00755409">
        <w:rPr>
          <w:rStyle w:val="None"/>
        </w:rPr>
        <w:t>Note: This denial of certiorari is included because it is integral to the sentence’s claim</w:t>
      </w:r>
      <w:r w:rsidR="000D5864" w:rsidRPr="00755409">
        <w:rPr>
          <w:rStyle w:val="None"/>
        </w:rPr>
        <w:t xml:space="preserve">. This denial of certiorari </w:t>
      </w:r>
      <w:r w:rsidR="00F5734E" w:rsidRPr="00755409">
        <w:rPr>
          <w:rStyle w:val="None"/>
        </w:rPr>
        <w:t>would be appropriate even after the two-year period for including denial of petitions for certiorari had expired.</w:t>
      </w:r>
    </w:p>
    <w:p w14:paraId="13ECB511" w14:textId="77777777" w:rsidR="00755409" w:rsidRPr="00755409" w:rsidRDefault="00755409" w:rsidP="00755409">
      <w:pPr>
        <w:pStyle w:val="Example"/>
        <w:rPr>
          <w:rStyle w:val="None"/>
        </w:rPr>
      </w:pPr>
    </w:p>
    <w:p w14:paraId="41A22F2F" w14:textId="1FCC24FE" w:rsidR="00030943" w:rsidRDefault="00030943" w:rsidP="00616CD0">
      <w:pPr>
        <w:pStyle w:val="Heading5"/>
        <w:rPr>
          <w:rStyle w:val="None"/>
        </w:rPr>
      </w:pPr>
      <w:r>
        <w:rPr>
          <w:rStyle w:val="None"/>
        </w:rPr>
        <w:t>R14.2.2</w:t>
      </w:r>
      <w:r>
        <w:rPr>
          <w:rStyle w:val="None"/>
        </w:rPr>
        <w:tab/>
        <w:t>Indirect subsequent history</w:t>
      </w:r>
      <w:r w:rsidR="00ED5BE6">
        <w:rPr>
          <w:rStyle w:val="None"/>
        </w:rPr>
        <w:t xml:space="preserve"> and legislative or constitutional subsequent history</w:t>
      </w:r>
    </w:p>
    <w:p w14:paraId="3E1AAA7B" w14:textId="76DEE08C" w:rsidR="00BC36D8" w:rsidRDefault="00030943" w:rsidP="00755409">
      <w:pPr>
        <w:pStyle w:val="Rule"/>
        <w:ind w:left="0"/>
        <w:rPr>
          <w:rStyle w:val="None"/>
        </w:rPr>
      </w:pPr>
      <w:r>
        <w:rPr>
          <w:rStyle w:val="None"/>
        </w:rPr>
        <w:t>Include indirect history from other subsequent litigations</w:t>
      </w:r>
      <w:r w:rsidR="004449CB">
        <w:rPr>
          <w:rStyle w:val="None"/>
        </w:rPr>
        <w:t xml:space="preserve"> or </w:t>
      </w:r>
      <w:r>
        <w:rPr>
          <w:rStyle w:val="None"/>
        </w:rPr>
        <w:t>collateral litigatio</w:t>
      </w:r>
      <w:r w:rsidR="004449CB">
        <w:rPr>
          <w:rStyle w:val="None"/>
        </w:rPr>
        <w:t>n</w:t>
      </w:r>
      <w:r w:rsidR="00755409">
        <w:rPr>
          <w:rStyle w:val="None"/>
        </w:rPr>
        <w:t>,</w:t>
      </w:r>
      <w:r w:rsidR="004449CB">
        <w:rPr>
          <w:rStyle w:val="None"/>
        </w:rPr>
        <w:t xml:space="preserve"> when </w:t>
      </w:r>
      <w:r>
        <w:rPr>
          <w:rStyle w:val="None"/>
        </w:rPr>
        <w:t>the indirect his</w:t>
      </w:r>
      <w:r w:rsidR="00516A4C">
        <w:rPr>
          <w:rStyle w:val="None"/>
        </w:rPr>
        <w:t>tory is directly negative or necessary for the point being made.</w:t>
      </w:r>
      <w:r w:rsidR="00BC36D8">
        <w:rPr>
          <w:rStyle w:val="None"/>
        </w:rPr>
        <w:t xml:space="preserve"> The clearest example is </w:t>
      </w:r>
      <w:r w:rsidR="00BC36D8">
        <w:rPr>
          <w:rStyle w:val="None"/>
          <w:i/>
          <w:iCs/>
        </w:rPr>
        <w:t>overruled by</w:t>
      </w:r>
      <w:r w:rsidR="00BC36D8">
        <w:rPr>
          <w:rStyle w:val="None"/>
        </w:rPr>
        <w:t xml:space="preserve"> &lt;x&gt;.</w:t>
      </w:r>
      <w:r w:rsidR="004449CB">
        <w:rPr>
          <w:rStyle w:val="None"/>
        </w:rPr>
        <w:t xml:space="preserve"> </w:t>
      </w:r>
    </w:p>
    <w:p w14:paraId="0A83FC40" w14:textId="5122C634" w:rsidR="00030943" w:rsidRDefault="004449CB" w:rsidP="00755409">
      <w:pPr>
        <w:pStyle w:val="Rule"/>
        <w:ind w:left="0"/>
        <w:rPr>
          <w:rStyle w:val="None"/>
        </w:rPr>
      </w:pPr>
      <w:r>
        <w:rPr>
          <w:rStyle w:val="None"/>
        </w:rPr>
        <w:t xml:space="preserve">Include subsequent history when a case is superseded by statute or by a constitutional amendment. </w:t>
      </w:r>
      <w:r w:rsidR="00711E25">
        <w:rPr>
          <w:rStyle w:val="None"/>
        </w:rPr>
        <w:t>The subsequent legislative or constitutional history may be noted through a further (discretionary) subsequent history notation of a case recognizing it as such.</w:t>
      </w:r>
    </w:p>
    <w:p w14:paraId="037CE642" w14:textId="6AFDC72E" w:rsidR="00516A4C" w:rsidRPr="00E30769" w:rsidRDefault="00516A4C" w:rsidP="00E30769">
      <w:pPr>
        <w:pStyle w:val="Example"/>
        <w:rPr>
          <w:rStyle w:val="None"/>
          <w:b/>
          <w:bCs w:val="0"/>
        </w:rPr>
      </w:pPr>
      <w:r w:rsidRPr="00E30769">
        <w:rPr>
          <w:rStyle w:val="None"/>
          <w:b/>
          <w:bCs w:val="0"/>
        </w:rPr>
        <w:t>Example</w:t>
      </w:r>
      <w:r w:rsidR="006760A5">
        <w:rPr>
          <w:rStyle w:val="None"/>
          <w:b/>
          <w:bCs w:val="0"/>
        </w:rPr>
        <w:t>s</w:t>
      </w:r>
      <w:r w:rsidRPr="00E30769">
        <w:rPr>
          <w:rStyle w:val="None"/>
          <w:b/>
          <w:bCs w:val="0"/>
        </w:rPr>
        <w:t>:</w:t>
      </w:r>
    </w:p>
    <w:p w14:paraId="5A6A8D93" w14:textId="78357E4B" w:rsidR="00BD62AE" w:rsidRDefault="004F32EB" w:rsidP="00E30769">
      <w:pPr>
        <w:pStyle w:val="Example"/>
        <w:rPr>
          <w:rStyle w:val="None"/>
        </w:rPr>
      </w:pPr>
      <w:proofErr w:type="spellStart"/>
      <w:r w:rsidRPr="00E30769">
        <w:rPr>
          <w:rStyle w:val="None"/>
          <w:i/>
          <w:iCs/>
        </w:rPr>
        <w:t>Hemerley</w:t>
      </w:r>
      <w:proofErr w:type="spellEnd"/>
      <w:r w:rsidRPr="00E30769">
        <w:rPr>
          <w:rStyle w:val="None"/>
          <w:i/>
          <w:iCs/>
        </w:rPr>
        <w:t xml:space="preserve"> v. Am. Fam. Mut. Ins. Co.</w:t>
      </w:r>
      <w:r w:rsidRPr="00E30769">
        <w:rPr>
          <w:rStyle w:val="None"/>
        </w:rPr>
        <w:t xml:space="preserve">, 379 N.W.2d 860 (Wis. Ct. App. 1985), </w:t>
      </w:r>
      <w:r w:rsidR="001B7BE4" w:rsidRPr="001B4056">
        <w:rPr>
          <w:rStyle w:val="None"/>
          <w:i/>
          <w:iCs/>
        </w:rPr>
        <w:t>overruled by Hull v. St. Farm Mut. Auto. Ins. Co.</w:t>
      </w:r>
      <w:r w:rsidR="001B7BE4" w:rsidRPr="00E30769">
        <w:rPr>
          <w:rStyle w:val="None"/>
        </w:rPr>
        <w:t>, 586 N.W.2d 863 (Wis. 1998).</w:t>
      </w:r>
    </w:p>
    <w:p w14:paraId="373AEF5E" w14:textId="77777777" w:rsidR="006760A5" w:rsidRPr="00E30769" w:rsidRDefault="006760A5" w:rsidP="00E30769">
      <w:pPr>
        <w:pStyle w:val="Example"/>
        <w:rPr>
          <w:rStyle w:val="None"/>
        </w:rPr>
      </w:pPr>
    </w:p>
    <w:p w14:paraId="3FACA8C3" w14:textId="3989B287" w:rsidR="00F356BB" w:rsidRPr="00E30769" w:rsidRDefault="00E04CC0" w:rsidP="00E30769">
      <w:pPr>
        <w:pStyle w:val="Example"/>
        <w:rPr>
          <w:rStyle w:val="None"/>
        </w:rPr>
      </w:pPr>
      <w:r w:rsidRPr="001B4056">
        <w:rPr>
          <w:rStyle w:val="None"/>
          <w:i/>
          <w:iCs/>
        </w:rPr>
        <w:t xml:space="preserve">Schuster v. </w:t>
      </w:r>
      <w:proofErr w:type="spellStart"/>
      <w:r w:rsidRPr="001B4056">
        <w:rPr>
          <w:rStyle w:val="None"/>
          <w:i/>
          <w:iCs/>
        </w:rPr>
        <w:t>Derocili</w:t>
      </w:r>
      <w:proofErr w:type="spellEnd"/>
      <w:r w:rsidRPr="00E30769">
        <w:rPr>
          <w:rStyle w:val="None"/>
        </w:rPr>
        <w:t>, 775 A.2d 1029 (Del. 2001</w:t>
      </w:r>
      <w:r w:rsidRPr="001B4056">
        <w:rPr>
          <w:rStyle w:val="None"/>
          <w:i/>
          <w:iCs/>
        </w:rPr>
        <w:t>), superseded by statute</w:t>
      </w:r>
      <w:r w:rsidRPr="00E30769">
        <w:rPr>
          <w:rStyle w:val="None"/>
        </w:rPr>
        <w:t xml:space="preserve">, 19 </w:t>
      </w:r>
      <w:r w:rsidR="0069199F">
        <w:rPr>
          <w:rStyle w:val="None"/>
        </w:rPr>
        <w:t>Del</w:t>
      </w:r>
      <w:r w:rsidRPr="00E30769">
        <w:rPr>
          <w:rStyle w:val="None"/>
        </w:rPr>
        <w:t>. Code</w:t>
      </w:r>
      <w:r w:rsidR="0069199F">
        <w:rPr>
          <w:rStyle w:val="None"/>
        </w:rPr>
        <w:t xml:space="preserve"> Ann.</w:t>
      </w:r>
      <w:r w:rsidRPr="00E30769">
        <w:rPr>
          <w:rStyle w:val="None"/>
        </w:rPr>
        <w:t xml:space="preserve"> 712(b)</w:t>
      </w:r>
      <w:r w:rsidR="00A01D45" w:rsidRPr="00E30769">
        <w:rPr>
          <w:rStyle w:val="None"/>
        </w:rPr>
        <w:t xml:space="preserve"> (2005), </w:t>
      </w:r>
      <w:r w:rsidR="00A01D45" w:rsidRPr="001B4056">
        <w:rPr>
          <w:rStyle w:val="None"/>
          <w:i/>
          <w:iCs/>
        </w:rPr>
        <w:t xml:space="preserve">as recognized in </w:t>
      </w:r>
      <w:proofErr w:type="spellStart"/>
      <w:r w:rsidR="00F356BB" w:rsidRPr="001B4056">
        <w:rPr>
          <w:rStyle w:val="None"/>
          <w:i/>
          <w:iCs/>
        </w:rPr>
        <w:t>Yatzus</w:t>
      </w:r>
      <w:proofErr w:type="spellEnd"/>
      <w:r w:rsidR="00F356BB" w:rsidRPr="001B4056">
        <w:rPr>
          <w:rStyle w:val="None"/>
          <w:i/>
          <w:iCs/>
        </w:rPr>
        <w:t xml:space="preserve"> v. </w:t>
      </w:r>
      <w:proofErr w:type="spellStart"/>
      <w:r w:rsidR="00F356BB" w:rsidRPr="001B4056">
        <w:rPr>
          <w:rStyle w:val="None"/>
          <w:i/>
          <w:iCs/>
        </w:rPr>
        <w:t>Appoquinimink</w:t>
      </w:r>
      <w:proofErr w:type="spellEnd"/>
      <w:r w:rsidR="00F356BB" w:rsidRPr="001B4056">
        <w:rPr>
          <w:rStyle w:val="None"/>
          <w:i/>
          <w:iCs/>
        </w:rPr>
        <w:t xml:space="preserve"> Sc. Dist.</w:t>
      </w:r>
      <w:r w:rsidR="00F356BB" w:rsidRPr="00E30769">
        <w:rPr>
          <w:rStyle w:val="None"/>
        </w:rPr>
        <w:t>, 458 F. Supp. 2d 235 (D. Del. 2006)</w:t>
      </w:r>
      <w:r w:rsidR="001B7BE4" w:rsidRPr="00E30769">
        <w:rPr>
          <w:rStyle w:val="None"/>
        </w:rPr>
        <w:t>.</w:t>
      </w:r>
    </w:p>
    <w:p w14:paraId="1CC88096" w14:textId="77777777" w:rsidR="00E30769" w:rsidRPr="00FA343C" w:rsidRDefault="00E30769" w:rsidP="00FA343C"/>
    <w:p w14:paraId="02758D74" w14:textId="22972DE5" w:rsidR="00F5734E" w:rsidRDefault="00F5734E" w:rsidP="00616CD0">
      <w:pPr>
        <w:pStyle w:val="Heading4"/>
        <w:rPr>
          <w:rStyle w:val="None"/>
        </w:rPr>
      </w:pPr>
      <w:r>
        <w:rPr>
          <w:rStyle w:val="None"/>
        </w:rPr>
        <w:t>R14.3</w:t>
      </w:r>
      <w:r>
        <w:rPr>
          <w:rStyle w:val="None"/>
        </w:rPr>
        <w:tab/>
        <w:t>Renamed Cases</w:t>
      </w:r>
    </w:p>
    <w:p w14:paraId="72C05C7A" w14:textId="02D6ECD6" w:rsidR="00F5734E" w:rsidRPr="000F4FE2" w:rsidRDefault="00F5734E" w:rsidP="00EA6280">
      <w:pPr>
        <w:pStyle w:val="Rule"/>
        <w:ind w:left="0"/>
        <w:rPr>
          <w:rStyle w:val="None"/>
        </w:rPr>
      </w:pPr>
      <w:r>
        <w:rPr>
          <w:rStyle w:val="None"/>
        </w:rPr>
        <w:t>When the case has a different name in the subsequent history, provide the new case name after the italicized phrase “</w:t>
      </w:r>
      <w:r>
        <w:rPr>
          <w:rStyle w:val="None"/>
          <w:i/>
          <w:iCs/>
        </w:rPr>
        <w:t>sub nom.</w:t>
      </w:r>
      <w:r>
        <w:rPr>
          <w:rStyle w:val="None"/>
        </w:rPr>
        <w:t>” (“under the name of”).</w:t>
      </w:r>
      <w:r w:rsidR="000F4FE2">
        <w:rPr>
          <w:rStyle w:val="None"/>
        </w:rPr>
        <w:t xml:space="preserve"> There is no comma after </w:t>
      </w:r>
      <w:r w:rsidR="000F4FE2">
        <w:rPr>
          <w:rStyle w:val="None"/>
          <w:i/>
          <w:iCs/>
        </w:rPr>
        <w:t>sub nom</w:t>
      </w:r>
      <w:r w:rsidR="000F4FE2">
        <w:rPr>
          <w:rStyle w:val="None"/>
        </w:rPr>
        <w:t>.</w:t>
      </w:r>
    </w:p>
    <w:p w14:paraId="3B31988C" w14:textId="77777777" w:rsidR="006760A5" w:rsidRDefault="00F5734E" w:rsidP="00F5734E">
      <w:pPr>
        <w:pStyle w:val="Body"/>
        <w:spacing w:line="360" w:lineRule="atLeast"/>
        <w:ind w:left="840"/>
        <w:rPr>
          <w:rStyle w:val="None"/>
          <w:lang w:val="en-US"/>
        </w:rPr>
      </w:pPr>
      <w:r>
        <w:rPr>
          <w:rStyle w:val="None"/>
          <w:b/>
          <w:bCs/>
          <w:lang w:val="en-US"/>
        </w:rPr>
        <w:t>Example:</w:t>
      </w:r>
      <w:r>
        <w:rPr>
          <w:rStyle w:val="None"/>
          <w:lang w:val="en-US"/>
        </w:rPr>
        <w:t> </w:t>
      </w:r>
    </w:p>
    <w:p w14:paraId="58A89D25" w14:textId="24CF2E57" w:rsidR="00F5734E" w:rsidRDefault="00F5734E" w:rsidP="00F5734E">
      <w:pPr>
        <w:pStyle w:val="Body"/>
        <w:spacing w:line="360" w:lineRule="atLeast"/>
        <w:ind w:left="840"/>
        <w:rPr>
          <w:rStyle w:val="None"/>
          <w:lang w:val="en-US"/>
        </w:rPr>
      </w:pPr>
      <w:proofErr w:type="spellStart"/>
      <w:r>
        <w:rPr>
          <w:rStyle w:val="None"/>
          <w:i/>
          <w:iCs/>
          <w:lang w:val="en-US"/>
        </w:rPr>
        <w:t>Lerman</w:t>
      </w:r>
      <w:proofErr w:type="spellEnd"/>
      <w:r>
        <w:rPr>
          <w:rStyle w:val="None"/>
          <w:i/>
          <w:iCs/>
          <w:lang w:val="en-US"/>
        </w:rPr>
        <w:t xml:space="preserve"> v. Comm’r</w:t>
      </w:r>
      <w:r>
        <w:rPr>
          <w:rStyle w:val="None"/>
          <w:lang w:val="en-US"/>
        </w:rPr>
        <w:t>, 939 F.2d 44 (3d Cir. 1991), </w:t>
      </w:r>
      <w:proofErr w:type="spellStart"/>
      <w:r>
        <w:rPr>
          <w:rStyle w:val="None"/>
          <w:i/>
          <w:iCs/>
          <w:lang w:val="en-US"/>
        </w:rPr>
        <w:t>rev’d</w:t>
      </w:r>
      <w:proofErr w:type="spellEnd"/>
      <w:r>
        <w:rPr>
          <w:rStyle w:val="None"/>
          <w:i/>
          <w:iCs/>
          <w:lang w:val="en-US"/>
        </w:rPr>
        <w:t xml:space="preserve"> sub nom. Horn v. Comm’r</w:t>
      </w:r>
      <w:r>
        <w:rPr>
          <w:rStyle w:val="None"/>
          <w:lang w:val="en-US"/>
        </w:rPr>
        <w:t>, 968 F.2d 1229 (D.C. Cir. 1992).</w:t>
      </w:r>
    </w:p>
    <w:p w14:paraId="57A189B4" w14:textId="77777777" w:rsidR="00F5734E" w:rsidRDefault="00F5734E" w:rsidP="00F5734E">
      <w:pPr>
        <w:pStyle w:val="Body"/>
        <w:spacing w:line="360" w:lineRule="atLeast"/>
        <w:rPr>
          <w:rStyle w:val="None"/>
          <w:lang w:val="en-US"/>
        </w:rPr>
      </w:pPr>
      <w:r>
        <w:rPr>
          <w:rStyle w:val="None"/>
          <w:lang w:val="en-US"/>
        </w:rPr>
        <w:t>Do </w:t>
      </w:r>
      <w:r w:rsidRPr="00653B7C">
        <w:rPr>
          <w:rStyle w:val="None"/>
          <w:lang w:val="en-US"/>
        </w:rPr>
        <w:t>not</w:t>
      </w:r>
      <w:r>
        <w:rPr>
          <w:rStyle w:val="None"/>
          <w:lang w:val="en-US"/>
        </w:rPr>
        <w:t> provide the new case name if either the parties’ names are merely reversed or if the subsequent history is simply a denial of certiorari or rehearing:</w:t>
      </w:r>
    </w:p>
    <w:p w14:paraId="78D03AB1" w14:textId="77777777" w:rsidR="006760A5" w:rsidRDefault="00F5734E" w:rsidP="00F5734E">
      <w:pPr>
        <w:pStyle w:val="Body"/>
        <w:spacing w:line="360" w:lineRule="atLeast"/>
        <w:ind w:left="840"/>
        <w:rPr>
          <w:rStyle w:val="None"/>
          <w:lang w:val="en-US"/>
        </w:rPr>
      </w:pPr>
      <w:r>
        <w:rPr>
          <w:rStyle w:val="None"/>
          <w:b/>
          <w:bCs/>
          <w:lang w:val="en-US"/>
        </w:rPr>
        <w:t>Correct:</w:t>
      </w:r>
      <w:r>
        <w:rPr>
          <w:rStyle w:val="None"/>
          <w:lang w:val="en-US"/>
        </w:rPr>
        <w:t> </w:t>
      </w:r>
    </w:p>
    <w:p w14:paraId="6B2CA27E" w14:textId="78B5FDA2" w:rsidR="00F5734E" w:rsidRDefault="00F5734E" w:rsidP="00F5734E">
      <w:pPr>
        <w:pStyle w:val="Body"/>
        <w:spacing w:line="360" w:lineRule="atLeast"/>
        <w:ind w:left="840"/>
        <w:rPr>
          <w:rStyle w:val="None"/>
          <w:lang w:val="en-US"/>
        </w:rPr>
      </w:pPr>
      <w:r>
        <w:rPr>
          <w:rStyle w:val="None"/>
          <w:i/>
          <w:iCs/>
          <w:lang w:val="en-US"/>
        </w:rPr>
        <w:t>United States v. Schmuck</w:t>
      </w:r>
      <w:r>
        <w:rPr>
          <w:rStyle w:val="None"/>
          <w:lang w:val="en-US"/>
        </w:rPr>
        <w:t>, 840 F.2d 384 (7th Cir. 1988), </w:t>
      </w:r>
      <w:r>
        <w:rPr>
          <w:rStyle w:val="None"/>
          <w:i/>
          <w:iCs/>
          <w:lang w:val="en-US"/>
        </w:rPr>
        <w:t>aff’d,</w:t>
      </w:r>
      <w:r>
        <w:rPr>
          <w:rStyle w:val="None"/>
          <w:lang w:val="en-US"/>
        </w:rPr>
        <w:t> 489 U.S. 705 (1989).</w:t>
      </w:r>
    </w:p>
    <w:p w14:paraId="30483A49" w14:textId="77777777" w:rsidR="006760A5" w:rsidRDefault="00F5734E" w:rsidP="00F5734E">
      <w:pPr>
        <w:pStyle w:val="Body"/>
        <w:spacing w:line="360" w:lineRule="atLeast"/>
        <w:ind w:left="840"/>
        <w:rPr>
          <w:rStyle w:val="None"/>
          <w:lang w:val="en-US"/>
        </w:rPr>
      </w:pPr>
      <w:r>
        <w:rPr>
          <w:rStyle w:val="None"/>
          <w:b/>
          <w:bCs/>
          <w:lang w:val="en-US"/>
        </w:rPr>
        <w:t>Incorrect:</w:t>
      </w:r>
      <w:r>
        <w:rPr>
          <w:rStyle w:val="None"/>
          <w:lang w:val="en-US"/>
        </w:rPr>
        <w:t> </w:t>
      </w:r>
    </w:p>
    <w:p w14:paraId="2A62AF64" w14:textId="67688877" w:rsidR="00F5734E" w:rsidRDefault="00F5734E" w:rsidP="00F5734E">
      <w:pPr>
        <w:pStyle w:val="Body"/>
        <w:spacing w:line="360" w:lineRule="atLeast"/>
        <w:ind w:left="840"/>
        <w:rPr>
          <w:rStyle w:val="None"/>
          <w:lang w:val="en-US"/>
        </w:rPr>
      </w:pPr>
      <w:r>
        <w:rPr>
          <w:rStyle w:val="None"/>
          <w:i/>
          <w:iCs/>
          <w:lang w:val="en-US"/>
        </w:rPr>
        <w:t>United States v. Schmuck</w:t>
      </w:r>
      <w:r>
        <w:rPr>
          <w:rStyle w:val="None"/>
          <w:lang w:val="en-US"/>
        </w:rPr>
        <w:t>, 840 F.2d 384 (7th Cir. 1988), </w:t>
      </w:r>
      <w:r>
        <w:rPr>
          <w:rStyle w:val="None"/>
          <w:i/>
          <w:iCs/>
          <w:lang w:val="en-US"/>
        </w:rPr>
        <w:t>aff’d,</w:t>
      </w:r>
      <w:r>
        <w:rPr>
          <w:rStyle w:val="None"/>
          <w:lang w:val="en-US"/>
        </w:rPr>
        <w:t> </w:t>
      </w:r>
      <w:r>
        <w:rPr>
          <w:rStyle w:val="None"/>
          <w:i/>
          <w:iCs/>
          <w:lang w:val="en-US"/>
        </w:rPr>
        <w:t>Schmuck v. United States</w:t>
      </w:r>
      <w:r>
        <w:rPr>
          <w:rStyle w:val="None"/>
          <w:lang w:val="en-US"/>
        </w:rPr>
        <w:t>, 489 U.S. 705 (1989).</w:t>
      </w:r>
    </w:p>
    <w:p w14:paraId="26EF4D4C" w14:textId="77777777" w:rsidR="00F5734E" w:rsidRDefault="00F5734E" w:rsidP="00F5734E">
      <w:pPr>
        <w:pStyle w:val="Body"/>
        <w:spacing w:line="360" w:lineRule="atLeast"/>
        <w:rPr>
          <w:rStyle w:val="None"/>
          <w:b/>
          <w:bCs/>
          <w:lang w:val="en-US"/>
        </w:rPr>
      </w:pPr>
    </w:p>
    <w:p w14:paraId="45751867" w14:textId="77777777" w:rsidR="00F5734E" w:rsidRDefault="00F5734E" w:rsidP="00616CD0">
      <w:pPr>
        <w:pStyle w:val="Heading4"/>
        <w:rPr>
          <w:rStyle w:val="None"/>
        </w:rPr>
      </w:pPr>
      <w:r>
        <w:rPr>
          <w:rStyle w:val="None"/>
        </w:rPr>
        <w:t>R14.4</w:t>
      </w:r>
      <w:r>
        <w:rPr>
          <w:rStyle w:val="None"/>
        </w:rPr>
        <w:tab/>
        <w:t>Enslaved Persons</w:t>
      </w:r>
    </w:p>
    <w:p w14:paraId="3835FF4F" w14:textId="77777777" w:rsidR="00F5734E" w:rsidRDefault="00F5734E" w:rsidP="00800FB1">
      <w:pPr>
        <w:pStyle w:val="Rule"/>
        <w:ind w:left="0"/>
        <w:rPr>
          <w:rStyle w:val="None"/>
        </w:rPr>
      </w:pPr>
      <w:r>
        <w:rPr>
          <w:rStyle w:val="None"/>
        </w:rPr>
        <w:t>When the case involved an enslaved person or people as parties or at issue in the case, add a parenthetical so indicating.</w:t>
      </w:r>
    </w:p>
    <w:p w14:paraId="0A905604" w14:textId="77777777" w:rsidR="00F5734E" w:rsidRDefault="00F5734E" w:rsidP="00800FB1">
      <w:pPr>
        <w:pStyle w:val="Example"/>
        <w:rPr>
          <w:rStyle w:val="None"/>
          <w:b/>
          <w:bCs w:val="0"/>
        </w:rPr>
      </w:pPr>
      <w:r>
        <w:rPr>
          <w:rStyle w:val="None"/>
          <w:b/>
        </w:rPr>
        <w:t>Example:</w:t>
      </w:r>
    </w:p>
    <w:p w14:paraId="5E408289" w14:textId="77777777" w:rsidR="00F5734E" w:rsidRDefault="00F5734E" w:rsidP="00800FB1">
      <w:pPr>
        <w:pStyle w:val="Example"/>
        <w:rPr>
          <w:rStyle w:val="None"/>
        </w:rPr>
      </w:pPr>
      <w:r>
        <w:rPr>
          <w:rStyle w:val="None"/>
          <w:i/>
          <w:iCs/>
        </w:rPr>
        <w:t xml:space="preserve">Rives &amp; Owen v. </w:t>
      </w:r>
      <w:proofErr w:type="spellStart"/>
      <w:r>
        <w:rPr>
          <w:rStyle w:val="None"/>
          <w:i/>
          <w:iCs/>
        </w:rPr>
        <w:t>Wilborne</w:t>
      </w:r>
      <w:proofErr w:type="spellEnd"/>
      <w:r>
        <w:rPr>
          <w:rStyle w:val="None"/>
        </w:rPr>
        <w:t>, 6 Ala. 45, 47 (Ala.) (1844) (enslaved people at issue).</w:t>
      </w:r>
    </w:p>
    <w:p w14:paraId="6BDCAC9D" w14:textId="77777777" w:rsidR="00F5734E" w:rsidRDefault="00F5734E" w:rsidP="00F5734E">
      <w:pPr>
        <w:pStyle w:val="Body"/>
        <w:spacing w:line="360" w:lineRule="atLeast"/>
        <w:rPr>
          <w:rStyle w:val="None"/>
          <w:lang w:val="en-US"/>
        </w:rPr>
      </w:pPr>
    </w:p>
    <w:p w14:paraId="0BD703FE" w14:textId="77777777" w:rsidR="00F5734E" w:rsidRDefault="00F5734E" w:rsidP="004631F5">
      <w:pPr>
        <w:pStyle w:val="InklingTitle"/>
        <w:rPr>
          <w:rStyle w:val="None"/>
          <w:lang w:val="en-US"/>
        </w:rPr>
      </w:pPr>
      <w:r>
        <w:rPr>
          <w:rStyle w:val="None"/>
          <w:lang w:val="en-US"/>
        </w:rPr>
        <w:t>Indigo Inkling</w:t>
      </w:r>
    </w:p>
    <w:p w14:paraId="52C0CB9D" w14:textId="41E63D5B" w:rsidR="00F5734E" w:rsidRDefault="00F5734E" w:rsidP="004631F5">
      <w:pPr>
        <w:pStyle w:val="Inkling"/>
        <w:rPr>
          <w:rStyle w:val="None"/>
          <w:lang w:val="en-US"/>
        </w:rPr>
      </w:pPr>
      <w:r>
        <w:rPr>
          <w:rStyle w:val="None"/>
          <w:lang w:val="en-US"/>
        </w:rPr>
        <w:t xml:space="preserve">Legal citation is not just a set of formatting rules, but an expression of ethics, an expression extending far beyond the dictate to literally cite one’s sources. The ethical dimensions of legal citation encompass its broader impacts such as how these rules socialize new lawyers-in-training, how they function within the legal world, what they represent about law and its practitioners, what they omit, and what effects they cast over the law’s sphere of influence. </w:t>
      </w:r>
      <w:r>
        <w:rPr>
          <w:rStyle w:val="None"/>
          <w:i/>
          <w:iCs/>
          <w:lang w:val="en-US"/>
        </w:rPr>
        <w:t>See, e.g.</w:t>
      </w:r>
      <w:r>
        <w:rPr>
          <w:rStyle w:val="None"/>
          <w:lang w:val="en-US"/>
        </w:rPr>
        <w:t xml:space="preserve">, Susie Salmon, </w:t>
      </w:r>
      <w:r>
        <w:rPr>
          <w:rStyle w:val="None"/>
          <w:i/>
          <w:iCs/>
          <w:lang w:val="en-US"/>
        </w:rPr>
        <w:t>Shedding the Uniform: Beyond a “Uniform System of Citation” to a More Efficient Fit</w:t>
      </w:r>
      <w:r>
        <w:rPr>
          <w:rStyle w:val="None"/>
          <w:lang w:val="en-US"/>
        </w:rPr>
        <w:t xml:space="preserve">, 99 </w:t>
      </w:r>
      <w:proofErr w:type="spellStart"/>
      <w:r>
        <w:rPr>
          <w:rStyle w:val="None"/>
          <w:lang w:val="en-US"/>
        </w:rPr>
        <w:t>Marq</w:t>
      </w:r>
      <w:proofErr w:type="spellEnd"/>
      <w:r>
        <w:rPr>
          <w:rStyle w:val="None"/>
          <w:lang w:val="en-US"/>
        </w:rPr>
        <w:t xml:space="preserve">. L. Rev. 763 (2016); Jennifer Elisa Chapman, </w:t>
      </w:r>
      <w:r>
        <w:rPr>
          <w:rStyle w:val="None"/>
          <w:i/>
          <w:iCs/>
          <w:lang w:val="en-US"/>
        </w:rPr>
        <w:t>Citation Ethics: Toward an Ethical Framework of Legal Citation</w:t>
      </w:r>
      <w:r>
        <w:rPr>
          <w:rStyle w:val="None"/>
          <w:lang w:val="en-US"/>
        </w:rPr>
        <w:t xml:space="preserve"> (May 29, 2021), Yale Law Library Citation and the Law Symposium (forthcoming</w:t>
      </w:r>
      <w:r w:rsidR="004631F5">
        <w:rPr>
          <w:rStyle w:val="None"/>
          <w:lang w:val="en-US"/>
        </w:rPr>
        <w:t xml:space="preserve"> 2021</w:t>
      </w:r>
      <w:r>
        <w:rPr>
          <w:rStyle w:val="None"/>
          <w:lang w:val="en-US"/>
        </w:rPr>
        <w:t xml:space="preserve">), </w:t>
      </w:r>
      <w:r w:rsidRPr="004631F5">
        <w:rPr>
          <w:rStyle w:val="None"/>
          <w:i/>
          <w:iCs/>
          <w:lang w:val="en-US"/>
        </w:rPr>
        <w:t>available at</w:t>
      </w:r>
      <w:r>
        <w:rPr>
          <w:rStyle w:val="None"/>
          <w:lang w:val="en-US"/>
        </w:rPr>
        <w:t xml:space="preserve"> https://ssrn.com/abstract=3856202. Citation of cases involving enslaved persons are one example. Historically, these cases were cited no differently than any other case. As of January 2021, the latest printing of </w:t>
      </w:r>
      <w:r>
        <w:rPr>
          <w:rStyle w:val="None"/>
          <w:i/>
          <w:iCs/>
          <w:lang w:val="en-US"/>
        </w:rPr>
        <w:t>The Bluebook</w:t>
      </w:r>
      <w:r>
        <w:rPr>
          <w:rStyle w:val="None"/>
          <w:lang w:val="en-US"/>
        </w:rPr>
        <w:t xml:space="preserve"> (21st ed.) added a rule to expand the citation for such cases, which must now include a parenthetical indicating that </w:t>
      </w:r>
      <w:proofErr w:type="gramStart"/>
      <w:r>
        <w:rPr>
          <w:rStyle w:val="None"/>
          <w:lang w:val="en-US"/>
        </w:rPr>
        <w:t>a</w:t>
      </w:r>
      <w:proofErr w:type="gramEnd"/>
      <w:r>
        <w:rPr>
          <w:rStyle w:val="None"/>
          <w:lang w:val="en-US"/>
        </w:rPr>
        <w:t xml:space="preserve"> enslaved person or people were parties or at issue in the case. This Second Edition of </w:t>
      </w:r>
      <w:r>
        <w:rPr>
          <w:rStyle w:val="None"/>
          <w:i/>
          <w:iCs/>
          <w:lang w:val="en-US"/>
        </w:rPr>
        <w:t>The Indigo Book</w:t>
      </w:r>
      <w:r>
        <w:rPr>
          <w:rStyle w:val="None"/>
          <w:lang w:val="en-US"/>
        </w:rPr>
        <w:t xml:space="preserve"> expresses this rule as well, and</w:t>
      </w:r>
      <w:r>
        <w:rPr>
          <w:rStyle w:val="None"/>
          <w:i/>
          <w:iCs/>
          <w:lang w:val="en-US"/>
        </w:rPr>
        <w:t xml:space="preserve"> </w:t>
      </w:r>
      <w:r>
        <w:rPr>
          <w:rStyle w:val="None"/>
          <w:lang w:val="en-US"/>
        </w:rPr>
        <w:t xml:space="preserve">welcomes the continued examination of legal citation rules and practices. </w:t>
      </w:r>
    </w:p>
    <w:p w14:paraId="4950238C" w14:textId="77777777" w:rsidR="00F5734E" w:rsidRDefault="00F5734E" w:rsidP="00F5734E">
      <w:pPr>
        <w:pStyle w:val="Body"/>
        <w:spacing w:line="360" w:lineRule="atLeast"/>
        <w:ind w:left="840"/>
        <w:rPr>
          <w:rStyle w:val="None"/>
          <w:lang w:val="en-US"/>
        </w:rPr>
      </w:pPr>
    </w:p>
    <w:p w14:paraId="22707FB6" w14:textId="61C0D402" w:rsidR="00F5734E" w:rsidRDefault="00F5734E" w:rsidP="003E5933">
      <w:pPr>
        <w:pStyle w:val="Heading3"/>
        <w:rPr>
          <w:rStyle w:val="None"/>
          <w:b w:val="0"/>
          <w:bCs w:val="0"/>
          <w:sz w:val="27"/>
          <w:szCs w:val="27"/>
        </w:rPr>
      </w:pPr>
      <w:bookmarkStart w:id="29" w:name="_Toc78928055"/>
      <w:r>
        <w:rPr>
          <w:rStyle w:val="None"/>
          <w:sz w:val="27"/>
          <w:szCs w:val="27"/>
        </w:rPr>
        <w:t>R15</w:t>
      </w:r>
      <w:r w:rsidR="00A64F1E">
        <w:rPr>
          <w:rStyle w:val="None"/>
          <w:sz w:val="27"/>
          <w:szCs w:val="27"/>
        </w:rPr>
        <w:tab/>
      </w:r>
      <w:r>
        <w:rPr>
          <w:rStyle w:val="None"/>
          <w:sz w:val="27"/>
          <w:szCs w:val="27"/>
        </w:rPr>
        <w:t>Short Form Citation for Cases</w:t>
      </w:r>
      <w:bookmarkEnd w:id="29"/>
    </w:p>
    <w:p w14:paraId="50E03864" w14:textId="050864C8" w:rsidR="00F5734E" w:rsidRDefault="00F5734E" w:rsidP="00616CD0">
      <w:pPr>
        <w:pStyle w:val="Heading4"/>
      </w:pPr>
      <w:r>
        <w:rPr>
          <w:rStyle w:val="None"/>
        </w:rPr>
        <w:t>R15.1</w:t>
      </w:r>
      <w:r>
        <w:rPr>
          <w:rStyle w:val="None"/>
        </w:rPr>
        <w:tab/>
      </w:r>
      <w:r w:rsidR="00867859">
        <w:rPr>
          <w:rStyle w:val="None"/>
        </w:rPr>
        <w:t xml:space="preserve">Short Citations in </w:t>
      </w:r>
      <w:r>
        <w:rPr>
          <w:rStyle w:val="None"/>
        </w:rPr>
        <w:t>Text</w:t>
      </w:r>
    </w:p>
    <w:p w14:paraId="32EB68B1" w14:textId="77777777" w:rsidR="00867859" w:rsidRDefault="00F5734E" w:rsidP="00A032DC">
      <w:pPr>
        <w:pStyle w:val="Rule"/>
        <w:ind w:left="0"/>
        <w:rPr>
          <w:rStyle w:val="None"/>
        </w:rPr>
      </w:pPr>
      <w:r>
        <w:rPr>
          <w:rStyle w:val="None"/>
        </w:rPr>
        <w:t>Once a case has been cited in full, you may refer to</w:t>
      </w:r>
      <w:r w:rsidR="00713552">
        <w:rPr>
          <w:rStyle w:val="None"/>
        </w:rPr>
        <w:t xml:space="preserve"> the case by a short-citation form. </w:t>
      </w:r>
      <w:r w:rsidR="001D419B">
        <w:rPr>
          <w:rStyle w:val="None"/>
        </w:rPr>
        <w:t>Specifically, you may refer to the case name in a textual sentenc</w:t>
      </w:r>
      <w:r w:rsidR="00867859">
        <w:rPr>
          <w:rStyle w:val="None"/>
        </w:rPr>
        <w:t xml:space="preserve">e and provide shortened citation information after the sentence. </w:t>
      </w:r>
    </w:p>
    <w:p w14:paraId="44E034E9" w14:textId="082C9F64" w:rsidR="00F5734E" w:rsidRDefault="00713552" w:rsidP="00A032DC">
      <w:pPr>
        <w:pStyle w:val="Rule"/>
        <w:ind w:left="0"/>
        <w:rPr>
          <w:rStyle w:val="None"/>
        </w:rPr>
      </w:pPr>
      <w:r>
        <w:rPr>
          <w:rStyle w:val="None"/>
        </w:rPr>
        <w:t>For the case name, u</w:t>
      </w:r>
      <w:r w:rsidR="00F5734E">
        <w:rPr>
          <w:rStyle w:val="None"/>
        </w:rPr>
        <w:t xml:space="preserve">se the chosen party’s name—usually the first-named party’s name—consistent with these rules for selecting a short-form citation and consistent with the abbreviation rules in </w:t>
      </w:r>
      <w:r w:rsidR="00F5734E" w:rsidRPr="00A032DC">
        <w:rPr>
          <w:rStyle w:val="Rulereferencecharacterstyle"/>
        </w:rPr>
        <w:t>Rule R11</w:t>
      </w:r>
      <w:r w:rsidR="00F5734E">
        <w:rPr>
          <w:rStyle w:val="None"/>
        </w:rPr>
        <w:t xml:space="preserve"> for all case names (full citation or short citation</w:t>
      </w:r>
      <w:proofErr w:type="gramStart"/>
      <w:r w:rsidR="00F5734E">
        <w:rPr>
          <w:rStyle w:val="None"/>
        </w:rPr>
        <w:t>).</w:t>
      </w:r>
      <w:r>
        <w:rPr>
          <w:rStyle w:val="None"/>
        </w:rPr>
        <w:t>For</w:t>
      </w:r>
      <w:proofErr w:type="gramEnd"/>
      <w:r>
        <w:rPr>
          <w:rStyle w:val="None"/>
        </w:rPr>
        <w:t xml:space="preserve"> the citation format, include the volume of the reporter, the reporter, the word “at” and the </w:t>
      </w:r>
      <w:proofErr w:type="spellStart"/>
      <w:r>
        <w:rPr>
          <w:rStyle w:val="None"/>
        </w:rPr>
        <w:t>pincite</w:t>
      </w:r>
      <w:proofErr w:type="spellEnd"/>
      <w:r>
        <w:rPr>
          <w:rStyle w:val="None"/>
        </w:rPr>
        <w:t xml:space="preserve"> to the page being cited.</w:t>
      </w:r>
    </w:p>
    <w:p w14:paraId="685AADA7" w14:textId="77777777" w:rsidR="00F5734E" w:rsidRDefault="00F5734E" w:rsidP="00A032DC">
      <w:pPr>
        <w:pStyle w:val="Rule"/>
        <w:ind w:left="0"/>
        <w:rPr>
          <w:rStyle w:val="None"/>
        </w:rPr>
      </w:pPr>
      <w:r>
        <w:rPr>
          <w:rStyle w:val="None"/>
        </w:rPr>
        <w:t>Within the text sentence or (preferably) after the text sentence, provide a truncated citation sentence in the form of </w:t>
      </w:r>
      <w:r>
        <w:rPr>
          <w:rStyle w:val="None"/>
          <w:rFonts w:ascii="Monaco" w:hAnsi="Monaco"/>
          <w:color w:val="4B0082"/>
        </w:rPr>
        <w:t>&lt;volume&gt;</w:t>
      </w:r>
      <w:r>
        <w:rPr>
          <w:rStyle w:val="None"/>
        </w:rPr>
        <w:t> </w:t>
      </w:r>
      <w:r>
        <w:rPr>
          <w:rStyle w:val="None"/>
          <w:rFonts w:ascii="Monaco" w:hAnsi="Monaco"/>
          <w:color w:val="4B0082"/>
        </w:rPr>
        <w:t>&lt;Name of 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79C4C5CB" w14:textId="77777777" w:rsidR="00F5734E" w:rsidRDefault="00F5734E" w:rsidP="00A032DC">
      <w:pPr>
        <w:pStyle w:val="Example"/>
        <w:rPr>
          <w:rStyle w:val="None"/>
        </w:rPr>
      </w:pPr>
      <w:r>
        <w:rPr>
          <w:rStyle w:val="None"/>
          <w:b/>
        </w:rPr>
        <w:t>Examples:</w:t>
      </w:r>
      <w:r>
        <w:rPr>
          <w:rStyle w:val="None"/>
        </w:rPr>
        <w:t> </w:t>
      </w:r>
    </w:p>
    <w:p w14:paraId="0CE4ECB1" w14:textId="4BF5E6A0" w:rsidR="00F5734E" w:rsidRDefault="00F5734E" w:rsidP="00A032DC">
      <w:pPr>
        <w:pStyle w:val="Example"/>
        <w:rPr>
          <w:rStyle w:val="None"/>
        </w:rPr>
      </w:pPr>
      <w:r>
        <w:rPr>
          <w:rStyle w:val="None"/>
        </w:rPr>
        <w:t>The court in </w:t>
      </w:r>
      <w:r>
        <w:rPr>
          <w:rStyle w:val="None"/>
          <w:i/>
          <w:iCs/>
        </w:rPr>
        <w:t>Fenton</w:t>
      </w:r>
      <w:r>
        <w:rPr>
          <w:rStyle w:val="None"/>
        </w:rPr>
        <w:t xml:space="preserve"> also held </w:t>
      </w:r>
      <w:r w:rsidR="009D2B75">
        <w:rPr>
          <w:rStyle w:val="None"/>
        </w:rPr>
        <w:t>the lower court erred in awarding damages</w:t>
      </w:r>
      <w:r>
        <w:rPr>
          <w:rStyle w:val="None"/>
        </w:rPr>
        <w:t xml:space="preserve"> based on loss of fair market value of property due to the flying balls. 233 N.E.2d at 219.</w:t>
      </w:r>
    </w:p>
    <w:p w14:paraId="4559042A" w14:textId="4B5F1FEA" w:rsidR="00F5734E" w:rsidRDefault="009D2B75" w:rsidP="00A032DC">
      <w:pPr>
        <w:pStyle w:val="Example"/>
        <w:rPr>
          <w:rStyle w:val="None"/>
        </w:rPr>
      </w:pPr>
      <w:r>
        <w:rPr>
          <w:rStyle w:val="None"/>
        </w:rPr>
        <w:t>As the court further noted in</w:t>
      </w:r>
      <w:r w:rsidR="00F5734E">
        <w:rPr>
          <w:rStyle w:val="None"/>
        </w:rPr>
        <w:t> </w:t>
      </w:r>
      <w:r w:rsidR="00F5734E">
        <w:rPr>
          <w:rStyle w:val="None"/>
          <w:i/>
          <w:iCs/>
        </w:rPr>
        <w:t>Fenton</w:t>
      </w:r>
      <w:r w:rsidR="00F5734E">
        <w:rPr>
          <w:rStyle w:val="None"/>
        </w:rPr>
        <w:t>, 233 N.E.2d at 219, </w:t>
      </w:r>
      <w:r>
        <w:rPr>
          <w:rStyle w:val="None"/>
        </w:rPr>
        <w:t xml:space="preserve">the lower court erred in awarding </w:t>
      </w:r>
      <w:r w:rsidR="00F5734E">
        <w:rPr>
          <w:rStyle w:val="None"/>
        </w:rPr>
        <w:t xml:space="preserve">damages based on loss of fair market value of property due to the flying balls. </w:t>
      </w:r>
    </w:p>
    <w:p w14:paraId="03018C23" w14:textId="77777777" w:rsidR="00F5734E" w:rsidRDefault="00F5734E" w:rsidP="00F5734E">
      <w:pPr>
        <w:pStyle w:val="Body"/>
        <w:tabs>
          <w:tab w:val="left" w:pos="2160"/>
        </w:tabs>
        <w:spacing w:before="150" w:after="90"/>
        <w:ind w:left="1920"/>
        <w:rPr>
          <w:rStyle w:val="None"/>
          <w:lang w:val="en-US"/>
        </w:rPr>
      </w:pPr>
    </w:p>
    <w:p w14:paraId="112EA76C" w14:textId="44801DDC" w:rsidR="00F5734E" w:rsidRPr="00616CD0" w:rsidRDefault="00F5734E" w:rsidP="00616CD0">
      <w:pPr>
        <w:pStyle w:val="Heading4"/>
        <w:rPr>
          <w:rStyle w:val="None"/>
        </w:rPr>
      </w:pPr>
      <w:r w:rsidRPr="00616CD0">
        <w:rPr>
          <w:rStyle w:val="None"/>
        </w:rPr>
        <w:t xml:space="preserve">R15.2 </w:t>
      </w:r>
      <w:r w:rsidRPr="00616CD0">
        <w:rPr>
          <w:rStyle w:val="None"/>
        </w:rPr>
        <w:tab/>
      </w:r>
      <w:r w:rsidR="00A64F1E" w:rsidRPr="00616CD0">
        <w:rPr>
          <w:rStyle w:val="None"/>
        </w:rPr>
        <w:tab/>
      </w:r>
      <w:r w:rsidR="00867859" w:rsidRPr="00616CD0">
        <w:rPr>
          <w:rStyle w:val="None"/>
        </w:rPr>
        <w:t xml:space="preserve">Short Citations </w:t>
      </w:r>
      <w:proofErr w:type="gramStart"/>
      <w:r w:rsidRPr="00616CD0">
        <w:rPr>
          <w:rStyle w:val="None"/>
        </w:rPr>
        <w:t>In</w:t>
      </w:r>
      <w:proofErr w:type="gramEnd"/>
      <w:r w:rsidRPr="00616CD0">
        <w:rPr>
          <w:rStyle w:val="None"/>
        </w:rPr>
        <w:t xml:space="preserve"> Citation Sentences and Clauses</w:t>
      </w:r>
    </w:p>
    <w:p w14:paraId="02066149" w14:textId="50F2FB53" w:rsidR="00F6671B" w:rsidRDefault="00F6671B" w:rsidP="00F6671B"/>
    <w:p w14:paraId="14A07553" w14:textId="63CA2243" w:rsidR="00F6671B" w:rsidRPr="00B3073C" w:rsidRDefault="00F6671B" w:rsidP="00F6671B">
      <w:r>
        <w:t>Case names can be long, so various short-citation forms must be used when referring to the same case repeatedly in sequence or in scattered</w:t>
      </w:r>
      <w:r w:rsidR="00FF4865">
        <w:t>, interspersed</w:t>
      </w:r>
      <w:r>
        <w:t xml:space="preserve"> references.</w:t>
      </w:r>
      <w:r w:rsidR="00B3073C">
        <w:t xml:space="preserve"> </w:t>
      </w:r>
      <w:r w:rsidR="00B3073C">
        <w:rPr>
          <w:i/>
          <w:iCs/>
        </w:rPr>
        <w:t>Id.</w:t>
      </w:r>
      <w:r w:rsidR="00B3073C">
        <w:t xml:space="preserve"> is the preferred reference if it can be used as noted below</w:t>
      </w:r>
      <w:r w:rsidR="00FF4865">
        <w:t>, because it is the most concise. B</w:t>
      </w:r>
      <w:r w:rsidR="00B3073C">
        <w:t>ut other short forms are frequently required for interspersed references throughout a legal document.</w:t>
      </w:r>
    </w:p>
    <w:p w14:paraId="1FF68FAF" w14:textId="77777777" w:rsidR="00F6671B" w:rsidRPr="00F6671B" w:rsidRDefault="00F6671B" w:rsidP="00F6671B"/>
    <w:p w14:paraId="71608E74" w14:textId="7955BE79" w:rsidR="00867859" w:rsidRDefault="00F5734E" w:rsidP="00616CD0">
      <w:pPr>
        <w:pStyle w:val="Heading5"/>
      </w:pPr>
      <w:r>
        <w:rPr>
          <w:rStyle w:val="None"/>
        </w:rPr>
        <w:t>R15.2.1</w:t>
      </w:r>
      <w:r w:rsidR="00A64F1E">
        <w:rPr>
          <w:rStyle w:val="None"/>
        </w:rPr>
        <w:tab/>
      </w:r>
      <w:r>
        <w:rPr>
          <w:rStyle w:val="None"/>
        </w:rPr>
        <w:t>When a short form may be used</w:t>
      </w:r>
    </w:p>
    <w:p w14:paraId="261B5F22" w14:textId="4CE537F3" w:rsidR="005A1C17" w:rsidRDefault="00867859" w:rsidP="00AB39EA">
      <w:pPr>
        <w:pStyle w:val="Rule"/>
        <w:ind w:left="0"/>
        <w:rPr>
          <w:rStyle w:val="None"/>
        </w:rPr>
      </w:pPr>
      <w:r>
        <w:rPr>
          <w:rStyle w:val="None"/>
        </w:rPr>
        <w:t xml:space="preserve">Once a case has been cited in full, you may refer to the case by a short-citation form. Specifically, you </w:t>
      </w:r>
      <w:r w:rsidR="005A1C17">
        <w:rPr>
          <w:rStyle w:val="None"/>
        </w:rPr>
        <w:t>provide a short-form citation sentence or clause</w:t>
      </w:r>
      <w:r>
        <w:rPr>
          <w:rStyle w:val="None"/>
        </w:rPr>
        <w:t xml:space="preserve"> </w:t>
      </w:r>
      <w:r w:rsidR="005A1C17">
        <w:rPr>
          <w:rStyle w:val="None"/>
        </w:rPr>
        <w:t>with truncated information compared to the full citation</w:t>
      </w:r>
      <w:r>
        <w:rPr>
          <w:rStyle w:val="None"/>
        </w:rPr>
        <w:t>. The</w:t>
      </w:r>
      <w:r w:rsidR="00AB39EA">
        <w:rPr>
          <w:rStyle w:val="None"/>
        </w:rPr>
        <w:t xml:space="preserve"> reference must be</w:t>
      </w:r>
      <w:r w:rsidR="00F5734E">
        <w:rPr>
          <w:rStyle w:val="None"/>
        </w:rPr>
        <w:t xml:space="preserve"> unambiguous</w:t>
      </w:r>
      <w:r w:rsidR="00AB39EA">
        <w:rPr>
          <w:rStyle w:val="None"/>
        </w:rPr>
        <w:t>,</w:t>
      </w:r>
      <w:r w:rsidR="00F5734E">
        <w:rPr>
          <w:rStyle w:val="None"/>
        </w:rPr>
        <w:t xml:space="preserve"> and the full citation </w:t>
      </w:r>
      <w:r w:rsidR="00AB39EA">
        <w:rPr>
          <w:rStyle w:val="None"/>
        </w:rPr>
        <w:t>must be</w:t>
      </w:r>
      <w:r w:rsidR="00F5734E">
        <w:rPr>
          <w:rStyle w:val="None"/>
        </w:rPr>
        <w:t xml:space="preserve"> easily accessible earlier in the text</w:t>
      </w:r>
      <w:r w:rsidR="00AB39EA">
        <w:rPr>
          <w:rStyle w:val="None"/>
        </w:rPr>
        <w:t xml:space="preserve">. </w:t>
      </w:r>
    </w:p>
    <w:p w14:paraId="499F2870" w14:textId="37C89C27" w:rsidR="00F5734E" w:rsidRDefault="00AB39EA" w:rsidP="00AB39EA">
      <w:pPr>
        <w:pStyle w:val="Rule"/>
        <w:ind w:left="0"/>
        <w:rPr>
          <w:rStyle w:val="None"/>
        </w:rPr>
      </w:pPr>
      <w:r>
        <w:rPr>
          <w:rStyle w:val="None"/>
        </w:rPr>
        <w:t xml:space="preserve">Discretion may be </w:t>
      </w:r>
      <w:r w:rsidR="002A0C7D">
        <w:rPr>
          <w:rStyle w:val="None"/>
        </w:rPr>
        <w:t>applied</w:t>
      </w:r>
      <w:r>
        <w:rPr>
          <w:rStyle w:val="None"/>
        </w:rPr>
        <w:t xml:space="preserve"> </w:t>
      </w:r>
      <w:r w:rsidR="00F5734E">
        <w:rPr>
          <w:rStyle w:val="None"/>
        </w:rPr>
        <w:t xml:space="preserve">to repeat the full-citation form </w:t>
      </w:r>
      <w:r w:rsidR="00556B38">
        <w:rPr>
          <w:rStyle w:val="None"/>
        </w:rPr>
        <w:t xml:space="preserve">later in a document </w:t>
      </w:r>
      <w:r w:rsidR="00F5734E">
        <w:rPr>
          <w:rStyle w:val="None"/>
        </w:rPr>
        <w:t xml:space="preserve">when useful to the reader, such as after five short-form uses of </w:t>
      </w:r>
      <w:r w:rsidR="00F5734E">
        <w:rPr>
          <w:rStyle w:val="None"/>
          <w:i/>
          <w:iCs/>
        </w:rPr>
        <w:t>id.</w:t>
      </w:r>
      <w:r w:rsidR="00F5734E">
        <w:rPr>
          <w:rStyle w:val="None"/>
        </w:rPr>
        <w:t xml:space="preserve">, five footnotes using </w:t>
      </w:r>
      <w:r w:rsidR="00F5734E">
        <w:rPr>
          <w:rStyle w:val="None"/>
          <w:i/>
          <w:iCs/>
        </w:rPr>
        <w:t>id.</w:t>
      </w:r>
      <w:r w:rsidR="00F5734E">
        <w:rPr>
          <w:rStyle w:val="None"/>
        </w:rPr>
        <w:t>, or after a new heading or page break.</w:t>
      </w:r>
    </w:p>
    <w:p w14:paraId="79DF3CA8" w14:textId="77777777" w:rsidR="00F5734E" w:rsidRDefault="00F5734E" w:rsidP="00616CD0">
      <w:pPr>
        <w:pStyle w:val="Heading5"/>
        <w:rPr>
          <w:rStyle w:val="None"/>
        </w:rPr>
      </w:pPr>
      <w:r>
        <w:rPr>
          <w:rStyle w:val="None"/>
        </w:rPr>
        <w:t>R15.2.2</w:t>
      </w:r>
      <w:r>
        <w:rPr>
          <w:rStyle w:val="None"/>
        </w:rPr>
        <w:tab/>
        <w:t>Form of short citations</w:t>
      </w:r>
    </w:p>
    <w:p w14:paraId="0426EF6C" w14:textId="10A03933" w:rsidR="00F5734E" w:rsidRDefault="00DE2A9F" w:rsidP="00AB39EA">
      <w:pPr>
        <w:pStyle w:val="Rule"/>
        <w:ind w:left="0"/>
        <w:rPr>
          <w:rStyle w:val="None"/>
        </w:rPr>
      </w:pPr>
      <w:r>
        <w:rPr>
          <w:rStyle w:val="None"/>
        </w:rPr>
        <w:t>In general, the short citation uses the</w:t>
      </w:r>
      <w:r w:rsidR="00556B38">
        <w:rPr>
          <w:rStyle w:val="None"/>
        </w:rPr>
        <w:t xml:space="preserve"> first</w:t>
      </w:r>
      <w:r>
        <w:rPr>
          <w:rStyle w:val="None"/>
        </w:rPr>
        <w:t>-</w:t>
      </w:r>
      <w:r w:rsidR="00556B38">
        <w:rPr>
          <w:rStyle w:val="None"/>
        </w:rPr>
        <w:t xml:space="preserve">named party </w:t>
      </w:r>
      <w:r>
        <w:rPr>
          <w:rStyle w:val="None"/>
        </w:rPr>
        <w:t xml:space="preserve">in the case name. </w:t>
      </w:r>
      <w:r w:rsidR="00F5734E">
        <w:rPr>
          <w:rStyle w:val="None"/>
        </w:rPr>
        <w:t>As with full citations, the case name is italicized but the comma after the case name is not italicized.</w:t>
      </w:r>
      <w:r w:rsidR="00C064EF">
        <w:rPr>
          <w:rStyle w:val="None"/>
        </w:rPr>
        <w:t xml:space="preserve"> </w:t>
      </w:r>
      <w:r w:rsidR="00860712">
        <w:rPr>
          <w:rStyle w:val="None"/>
        </w:rPr>
        <w:t xml:space="preserve">The shortened citation form omits the “v.” (for versus) and second-named party after the “v.” The shortened citation form also omits the first page of the case as found in the reporter, and simply provides an “at” with the </w:t>
      </w:r>
      <w:proofErr w:type="spellStart"/>
      <w:r w:rsidR="00860712">
        <w:rPr>
          <w:rStyle w:val="None"/>
        </w:rPr>
        <w:t>pincite</w:t>
      </w:r>
      <w:proofErr w:type="spellEnd"/>
      <w:r w:rsidR="00860712">
        <w:rPr>
          <w:rStyle w:val="None"/>
        </w:rPr>
        <w:t>.</w:t>
      </w:r>
    </w:p>
    <w:p w14:paraId="7A01FD24" w14:textId="09A9643F" w:rsidR="00C064EF" w:rsidRDefault="00C064EF" w:rsidP="00AB39EA">
      <w:pPr>
        <w:pStyle w:val="Rule"/>
        <w:ind w:left="0"/>
        <w:rPr>
          <w:rStyle w:val="None"/>
        </w:rPr>
      </w:pPr>
      <w:r>
        <w:rPr>
          <w:rStyle w:val="None"/>
        </w:rPr>
        <w:t>For cases, a short form citation usually includes: </w:t>
      </w:r>
      <w:r>
        <w:rPr>
          <w:rStyle w:val="None"/>
          <w:rFonts w:ascii="Monaco" w:hAnsi="Monaco"/>
          <w:color w:val="4B0082"/>
        </w:rPr>
        <w:t>&lt;The First Party of the Case Name&gt;</w:t>
      </w:r>
      <w:r>
        <w:rPr>
          <w:rStyle w:val="None"/>
        </w:rPr>
        <w:t>, </w:t>
      </w:r>
      <w:r>
        <w:rPr>
          <w:rStyle w:val="None"/>
          <w:rFonts w:ascii="Monaco" w:hAnsi="Monaco"/>
          <w:color w:val="4B0082"/>
        </w:rPr>
        <w:t>&lt;volume number&gt;</w:t>
      </w:r>
      <w:r>
        <w:rPr>
          <w:rStyle w:val="None"/>
        </w:rPr>
        <w:t> </w:t>
      </w:r>
      <w:r>
        <w:rPr>
          <w:rStyle w:val="None"/>
          <w:rFonts w:ascii="Monaco" w:hAnsi="Monaco"/>
          <w:color w:val="4B0082"/>
        </w:rPr>
        <w:t>&lt;Reporter&gt;</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 xml:space="preserve">. </w:t>
      </w:r>
      <w:r w:rsidR="00CA63AF">
        <w:rPr>
          <w:rStyle w:val="None"/>
        </w:rPr>
        <w:t xml:space="preserve">As shown in </w:t>
      </w:r>
      <w:r w:rsidR="00CA63AF" w:rsidRPr="00CA63AF">
        <w:rPr>
          <w:rStyle w:val="Rulereferencecharacterstyle"/>
        </w:rPr>
        <w:t>Rule R15.1</w:t>
      </w:r>
      <w:r w:rsidR="00CA63AF">
        <w:rPr>
          <w:rStyle w:val="None"/>
        </w:rPr>
        <w:t>, if</w:t>
      </w:r>
      <w:r>
        <w:rPr>
          <w:rStyle w:val="None"/>
        </w:rPr>
        <w:t xml:space="preserve"> the shortened case name is incorporated into the textual sentence, do not repeat that shortened name in the short-form citation after the textual sentence.</w:t>
      </w:r>
    </w:p>
    <w:p w14:paraId="64BBB569" w14:textId="7D6DA7F6" w:rsidR="00F5734E" w:rsidRDefault="00F5734E" w:rsidP="00AB39EA">
      <w:pPr>
        <w:pStyle w:val="Example"/>
        <w:rPr>
          <w:rFonts w:ascii="Georgia" w:hAnsi="Georgia"/>
        </w:rPr>
      </w:pPr>
      <w:r>
        <w:rPr>
          <w:rStyle w:val="None"/>
          <w:b/>
        </w:rPr>
        <w:t>Example</w:t>
      </w:r>
      <w:r w:rsidR="005A1C17">
        <w:rPr>
          <w:rStyle w:val="None"/>
          <w:b/>
        </w:rPr>
        <w:t>s</w:t>
      </w:r>
      <w:r w:rsidR="00CA63AF">
        <w:rPr>
          <w:rStyle w:val="None"/>
          <w:b/>
        </w:rPr>
        <w:t xml:space="preserve"> (where case name not part of preceding textual sentence)</w:t>
      </w:r>
      <w:r>
        <w:rPr>
          <w:rStyle w:val="None"/>
          <w:b/>
        </w:rPr>
        <w:t>:</w:t>
      </w:r>
    </w:p>
    <w:p w14:paraId="798F44BB" w14:textId="7B979A33" w:rsidR="00EA26CE" w:rsidRDefault="00F5734E" w:rsidP="00AB39EA">
      <w:pPr>
        <w:pStyle w:val="Example"/>
        <w:rPr>
          <w:rStyle w:val="None"/>
        </w:rPr>
      </w:pPr>
      <w:r>
        <w:rPr>
          <w:rStyle w:val="None"/>
          <w:i/>
          <w:iCs/>
        </w:rPr>
        <w:t>Fenton</w:t>
      </w:r>
      <w:r>
        <w:rPr>
          <w:rStyle w:val="None"/>
        </w:rPr>
        <w:t>, 233 N.E.2d at 219.</w:t>
      </w:r>
    </w:p>
    <w:p w14:paraId="6A0DEF35" w14:textId="2B42C5D5" w:rsidR="00F5734E" w:rsidRDefault="00F5734E" w:rsidP="00AB39EA">
      <w:pPr>
        <w:pStyle w:val="Example"/>
        <w:rPr>
          <w:rStyle w:val="None"/>
        </w:rPr>
      </w:pPr>
      <w:r>
        <w:rPr>
          <w:rStyle w:val="None"/>
          <w:i/>
          <w:iCs/>
        </w:rPr>
        <w:t>Malletier</w:t>
      </w:r>
      <w:r>
        <w:rPr>
          <w:rStyle w:val="None"/>
        </w:rPr>
        <w:t>, 500 F. Supp. 2d at 281.</w:t>
      </w:r>
    </w:p>
    <w:p w14:paraId="6336C60C" w14:textId="77777777" w:rsidR="005A1C17" w:rsidRDefault="005A1C17" w:rsidP="00F5734E">
      <w:pPr>
        <w:pStyle w:val="Body"/>
        <w:tabs>
          <w:tab w:val="left" w:pos="1440"/>
        </w:tabs>
        <w:spacing w:before="150" w:after="90"/>
        <w:rPr>
          <w:rStyle w:val="None"/>
          <w:lang w:val="en-US"/>
        </w:rPr>
      </w:pPr>
    </w:p>
    <w:p w14:paraId="339EB758" w14:textId="50944563" w:rsidR="00F5734E" w:rsidRDefault="00F5734E" w:rsidP="00616CD0">
      <w:pPr>
        <w:pStyle w:val="Heading5"/>
        <w:rPr>
          <w:rStyle w:val="None"/>
        </w:rPr>
      </w:pPr>
      <w:r>
        <w:rPr>
          <w:rStyle w:val="None"/>
        </w:rPr>
        <w:t>R15.2.3</w:t>
      </w:r>
      <w:r>
        <w:rPr>
          <w:rStyle w:val="None"/>
        </w:rPr>
        <w:tab/>
        <w:t>Exceptions to using the first party of the case name</w:t>
      </w:r>
    </w:p>
    <w:p w14:paraId="6AEC84CE" w14:textId="40A5FA8B" w:rsidR="00F5734E" w:rsidRDefault="00F5734E" w:rsidP="00CC75D3">
      <w:pPr>
        <w:pStyle w:val="Rule"/>
        <w:ind w:left="0"/>
      </w:pPr>
      <w:r>
        <w:rPr>
          <w:rStyle w:val="None"/>
        </w:rPr>
        <w:t xml:space="preserve">Do not use the first party of the case name if that party either is a geographical or governmental unit or a party name that is used for multiple cases. </w:t>
      </w:r>
      <w:r w:rsidR="00CC75D3">
        <w:rPr>
          <w:rStyle w:val="None"/>
        </w:rPr>
        <w:t>Choose the second party name if needed to avoid confusion.</w:t>
      </w:r>
    </w:p>
    <w:p w14:paraId="0EAFCAE0" w14:textId="77777777" w:rsidR="00F5734E" w:rsidRDefault="00F5734E" w:rsidP="00CC75D3">
      <w:pPr>
        <w:pStyle w:val="Example"/>
        <w:rPr>
          <w:rStyle w:val="None"/>
        </w:rPr>
      </w:pPr>
      <w:r>
        <w:rPr>
          <w:rStyle w:val="None"/>
          <w:b/>
        </w:rPr>
        <w:t>Examples:</w:t>
      </w:r>
    </w:p>
    <w:p w14:paraId="0906A68E" w14:textId="77777777" w:rsidR="00F5734E" w:rsidRDefault="00F5734E" w:rsidP="00CC75D3">
      <w:pPr>
        <w:pStyle w:val="Example"/>
        <w:rPr>
          <w:rFonts w:ascii="Georgia" w:hAnsi="Georgia"/>
        </w:rPr>
      </w:pPr>
      <w:r>
        <w:rPr>
          <w:rStyle w:val="None"/>
          <w:i/>
          <w:iCs/>
        </w:rPr>
        <w:t>United States v. Carmel</w:t>
      </w:r>
      <w:r>
        <w:rPr>
          <w:rStyle w:val="None"/>
        </w:rPr>
        <w:t>, 548 F.3d 571 (7th Cir. 2008) becomes </w:t>
      </w:r>
      <w:r>
        <w:rPr>
          <w:rStyle w:val="None"/>
          <w:i/>
          <w:iCs/>
        </w:rPr>
        <w:t>Carmel</w:t>
      </w:r>
      <w:r>
        <w:rPr>
          <w:rStyle w:val="None"/>
        </w:rPr>
        <w:t>, 548 F.3d at 573.</w:t>
      </w:r>
    </w:p>
    <w:p w14:paraId="5F304B62" w14:textId="77777777" w:rsidR="00F5734E" w:rsidRDefault="00F5734E" w:rsidP="00CC75D3">
      <w:pPr>
        <w:pStyle w:val="Example"/>
        <w:rPr>
          <w:rFonts w:ascii="Georgia" w:hAnsi="Georgia"/>
        </w:rPr>
      </w:pPr>
      <w:r>
        <w:rPr>
          <w:rStyle w:val="None"/>
          <w:i/>
          <w:iCs/>
        </w:rPr>
        <w:t>Gonzalez v. Raich</w:t>
      </w:r>
      <w:r>
        <w:rPr>
          <w:rStyle w:val="None"/>
        </w:rPr>
        <w:t>, 545 U.S. 1 (2005) becomes </w:t>
      </w:r>
      <w:r>
        <w:rPr>
          <w:rStyle w:val="None"/>
          <w:i/>
          <w:iCs/>
        </w:rPr>
        <w:t>Raich</w:t>
      </w:r>
      <w:r>
        <w:rPr>
          <w:rStyle w:val="None"/>
        </w:rPr>
        <w:t>, 545 U.S. at 8.</w:t>
      </w:r>
    </w:p>
    <w:p w14:paraId="5AC8D879" w14:textId="77777777" w:rsidR="00F5734E" w:rsidRDefault="00F5734E" w:rsidP="00616CD0">
      <w:pPr>
        <w:pStyle w:val="Heading5"/>
        <w:rPr>
          <w:rStyle w:val="None"/>
        </w:rPr>
      </w:pPr>
      <w:r>
        <w:rPr>
          <w:rStyle w:val="None"/>
        </w:rPr>
        <w:t>R15.2.4</w:t>
      </w:r>
      <w:r>
        <w:rPr>
          <w:rStyle w:val="None"/>
        </w:rPr>
        <w:tab/>
        <w:t>Shortening party names</w:t>
      </w:r>
    </w:p>
    <w:p w14:paraId="66258D0B" w14:textId="517071B4" w:rsidR="00F5734E" w:rsidRDefault="00F5734E" w:rsidP="00CC75D3">
      <w:pPr>
        <w:pStyle w:val="Rule"/>
        <w:ind w:left="0"/>
      </w:pPr>
      <w:r>
        <w:rPr>
          <w:rStyle w:val="None"/>
        </w:rPr>
        <w:t xml:space="preserve">Shorten a long party name, but only if the shortening saves significant useful space and if the reference remains clear. Use a [hereinafter </w:t>
      </w:r>
      <w:r w:rsidR="00CC75D3">
        <w:rPr>
          <w:rStyle w:val="None"/>
        </w:rPr>
        <w:t>&lt;x&gt;] d</w:t>
      </w:r>
      <w:r>
        <w:rPr>
          <w:rStyle w:val="None"/>
        </w:rPr>
        <w:t>esignation if needed</w:t>
      </w:r>
      <w:r w:rsidR="00CC75D3">
        <w:rPr>
          <w:rStyle w:val="None"/>
        </w:rPr>
        <w:t>.</w:t>
      </w:r>
    </w:p>
    <w:p w14:paraId="49A0DF33" w14:textId="77777777" w:rsidR="00F5734E" w:rsidRDefault="00F5734E" w:rsidP="00F6671B">
      <w:pPr>
        <w:pStyle w:val="Example"/>
        <w:rPr>
          <w:rStyle w:val="None"/>
          <w:b/>
          <w:bCs w:val="0"/>
        </w:rPr>
      </w:pPr>
      <w:r>
        <w:rPr>
          <w:rStyle w:val="None"/>
          <w:b/>
        </w:rPr>
        <w:t>Examples:</w:t>
      </w:r>
    </w:p>
    <w:p w14:paraId="3B9F7933" w14:textId="77777777" w:rsidR="00F5734E" w:rsidRDefault="00F5734E" w:rsidP="00F6671B">
      <w:pPr>
        <w:pStyle w:val="Example"/>
        <w:rPr>
          <w:rStyle w:val="None"/>
        </w:rPr>
      </w:pPr>
      <w:r>
        <w:rPr>
          <w:rStyle w:val="None"/>
          <w:i/>
          <w:iCs/>
        </w:rPr>
        <w:t>Home Depot USA, Inc. v. Jackson</w:t>
      </w:r>
      <w:r>
        <w:rPr>
          <w:rStyle w:val="None"/>
        </w:rPr>
        <w:t xml:space="preserve">, 139 S. Ct. 1743, 1744 (2019) becomes </w:t>
      </w:r>
      <w:r>
        <w:rPr>
          <w:rStyle w:val="None"/>
          <w:i/>
          <w:iCs/>
        </w:rPr>
        <w:t>Home Depot</w:t>
      </w:r>
      <w:r>
        <w:rPr>
          <w:rStyle w:val="None"/>
        </w:rPr>
        <w:t xml:space="preserve">, 139 S. Ct. at 1744. </w:t>
      </w:r>
    </w:p>
    <w:p w14:paraId="6FF972EA" w14:textId="77777777" w:rsidR="00F5734E" w:rsidRDefault="00F5734E" w:rsidP="00F6671B">
      <w:pPr>
        <w:pStyle w:val="Example"/>
        <w:rPr>
          <w:i/>
          <w:iCs/>
        </w:rPr>
      </w:pPr>
      <w:r>
        <w:rPr>
          <w:rStyle w:val="None"/>
          <w:i/>
          <w:iCs/>
        </w:rPr>
        <w:t>A Book Named “John Cleland’s Memoirs of a Woman of Pleasure” v. Attorney Gen. of Mass.</w:t>
      </w:r>
      <w:r>
        <w:rPr>
          <w:rStyle w:val="None"/>
        </w:rPr>
        <w:t xml:space="preserve">, 383 U.S. 413, 418 (1966) [hereinafter, </w:t>
      </w:r>
      <w:r>
        <w:rPr>
          <w:rStyle w:val="None"/>
          <w:i/>
          <w:iCs/>
        </w:rPr>
        <w:t>Memoirs</w:t>
      </w:r>
      <w:r>
        <w:rPr>
          <w:rStyle w:val="None"/>
        </w:rPr>
        <w:t xml:space="preserve">] can then become </w:t>
      </w:r>
      <w:r>
        <w:rPr>
          <w:rStyle w:val="None"/>
          <w:i/>
          <w:iCs/>
        </w:rPr>
        <w:t>Memoirs,</w:t>
      </w:r>
      <w:r>
        <w:rPr>
          <w:rStyle w:val="None"/>
        </w:rPr>
        <w:t xml:space="preserve"> 383 U.S. at 418.</w:t>
      </w:r>
    </w:p>
    <w:p w14:paraId="4FBA6F98" w14:textId="0089E0C2" w:rsidR="00F5734E" w:rsidRPr="00616CD0" w:rsidRDefault="00F5734E" w:rsidP="00616CD0">
      <w:pPr>
        <w:pStyle w:val="Heading4"/>
      </w:pPr>
      <w:r w:rsidRPr="00616CD0">
        <w:rPr>
          <w:rStyle w:val="None"/>
          <w:i/>
          <w:iCs/>
        </w:rPr>
        <w:t>R15.3</w:t>
      </w:r>
      <w:r w:rsidRPr="00616CD0">
        <w:rPr>
          <w:rStyle w:val="None"/>
        </w:rPr>
        <w:t xml:space="preserve"> </w:t>
      </w:r>
      <w:r w:rsidR="00F6671B" w:rsidRPr="00616CD0">
        <w:rPr>
          <w:rStyle w:val="None"/>
        </w:rPr>
        <w:tab/>
      </w:r>
      <w:r w:rsidRPr="00616CD0">
        <w:rPr>
          <w:rStyle w:val="None"/>
          <w:i/>
          <w:iCs/>
        </w:rPr>
        <w:t>Id.</w:t>
      </w:r>
    </w:p>
    <w:p w14:paraId="3E580C56" w14:textId="77777777" w:rsidR="00F5734E" w:rsidRDefault="00F5734E" w:rsidP="00616CD0">
      <w:pPr>
        <w:pStyle w:val="Heading5"/>
        <w:rPr>
          <w:rStyle w:val="None"/>
        </w:rPr>
      </w:pPr>
      <w:r>
        <w:rPr>
          <w:rStyle w:val="None"/>
        </w:rPr>
        <w:t>R15.3.1</w:t>
      </w:r>
      <w:r>
        <w:rPr>
          <w:rStyle w:val="None"/>
        </w:rPr>
        <w:tab/>
      </w:r>
      <w:r>
        <w:rPr>
          <w:rStyle w:val="None"/>
          <w:i/>
          <w:iCs/>
        </w:rPr>
        <w:t xml:space="preserve">Id. </w:t>
      </w:r>
      <w:r>
        <w:rPr>
          <w:rStyle w:val="None"/>
        </w:rPr>
        <w:t>with immediately preceding citation (same page of case)</w:t>
      </w:r>
    </w:p>
    <w:p w14:paraId="52DE0B38" w14:textId="77777777" w:rsidR="00F5734E" w:rsidRDefault="00F5734E" w:rsidP="00FF4865">
      <w:pPr>
        <w:pStyle w:val="Rule"/>
        <w:ind w:left="0"/>
        <w:rPr>
          <w:rStyle w:val="None"/>
        </w:rPr>
      </w:pPr>
      <w:r>
        <w:rPr>
          <w:rStyle w:val="None"/>
        </w:rPr>
        <w:t>If you are citing to the same case referenced in the immediately preceding citation, use </w:t>
      </w:r>
      <w:r>
        <w:rPr>
          <w:rStyle w:val="None"/>
          <w:i/>
          <w:iCs/>
        </w:rPr>
        <w:t>id.</w:t>
      </w:r>
      <w:r>
        <w:rPr>
          <w:rStyle w:val="None"/>
        </w:rPr>
        <w:t xml:space="preserve"> as the short form citation. </w:t>
      </w:r>
      <w:r>
        <w:rPr>
          <w:rStyle w:val="None"/>
          <w:i/>
          <w:iCs/>
        </w:rPr>
        <w:t>Id.</w:t>
      </w:r>
      <w:r>
        <w:rPr>
          <w:rStyle w:val="None"/>
        </w:rPr>
        <w:t xml:space="preserve"> by itself refers to the same case and same </w:t>
      </w:r>
      <w:proofErr w:type="spellStart"/>
      <w:r>
        <w:rPr>
          <w:rStyle w:val="None"/>
        </w:rPr>
        <w:t>pincite</w:t>
      </w:r>
      <w:proofErr w:type="spellEnd"/>
      <w:r>
        <w:rPr>
          <w:rStyle w:val="None"/>
        </w:rPr>
        <w:t xml:space="preserve"> in that case.</w:t>
      </w:r>
    </w:p>
    <w:p w14:paraId="2B61443A" w14:textId="77777777" w:rsidR="00F5734E" w:rsidRDefault="00F5734E" w:rsidP="00FF4865">
      <w:pPr>
        <w:pStyle w:val="Example"/>
        <w:rPr>
          <w:rStyle w:val="None"/>
          <w:b/>
          <w:bCs w:val="0"/>
        </w:rPr>
      </w:pPr>
      <w:r>
        <w:rPr>
          <w:rStyle w:val="None"/>
          <w:b/>
        </w:rPr>
        <w:t>Example:</w:t>
      </w:r>
    </w:p>
    <w:p w14:paraId="4D833997" w14:textId="77777777" w:rsidR="00F5734E" w:rsidRDefault="00F5734E" w:rsidP="00FF4865">
      <w:pPr>
        <w:pStyle w:val="Example"/>
        <w:rPr>
          <w:rStyle w:val="None"/>
          <w:i/>
          <w:iCs/>
        </w:rPr>
      </w:pPr>
      <w:r>
        <w:rPr>
          <w:rStyle w:val="None"/>
        </w:rPr>
        <w:t xml:space="preserve">When the author of a work is a judge or legislator, it carries the force of law and cannot be copyrighted. </w:t>
      </w:r>
      <w:r>
        <w:rPr>
          <w:rStyle w:val="None"/>
          <w:i/>
          <w:iCs/>
        </w:rPr>
        <w:t>Georgia v. Public.Resource.org</w:t>
      </w:r>
      <w:r>
        <w:rPr>
          <w:rStyle w:val="None"/>
        </w:rPr>
        <w:t xml:space="preserve">, 140 S. Ct. 1498, 1513 (2020). To hold otherwise would be to discourage the use of “official legal works that illuminate the law we are all presumed to know and understand.” </w:t>
      </w:r>
      <w:r>
        <w:rPr>
          <w:rStyle w:val="None"/>
          <w:i/>
          <w:iCs/>
        </w:rPr>
        <w:t>Id.</w:t>
      </w:r>
    </w:p>
    <w:p w14:paraId="3E452B80" w14:textId="77777777" w:rsidR="00F5734E" w:rsidRDefault="00F5734E" w:rsidP="00F5734E">
      <w:pPr>
        <w:pStyle w:val="Body"/>
        <w:tabs>
          <w:tab w:val="left" w:pos="720"/>
        </w:tabs>
        <w:spacing w:before="150" w:after="90"/>
        <w:rPr>
          <w:rStyle w:val="None"/>
          <w:b/>
          <w:bCs/>
          <w:i/>
          <w:iCs/>
          <w:lang w:val="en-US"/>
        </w:rPr>
      </w:pPr>
    </w:p>
    <w:p w14:paraId="7EA29893" w14:textId="77777777" w:rsidR="00F5734E" w:rsidRPr="005B163B" w:rsidRDefault="00F5734E" w:rsidP="00616CD0">
      <w:pPr>
        <w:pStyle w:val="Heading5"/>
        <w:rPr>
          <w:rStyle w:val="None"/>
        </w:rPr>
      </w:pPr>
      <w:r w:rsidRPr="005B163B">
        <w:rPr>
          <w:rStyle w:val="None"/>
        </w:rPr>
        <w:t>R15.3.2</w:t>
      </w:r>
      <w:r w:rsidRPr="005B163B">
        <w:rPr>
          <w:rStyle w:val="None"/>
        </w:rPr>
        <w:tab/>
      </w:r>
      <w:r w:rsidRPr="005B163B">
        <w:rPr>
          <w:rStyle w:val="None"/>
          <w:i/>
          <w:iCs/>
        </w:rPr>
        <w:t>Id.</w:t>
      </w:r>
      <w:r w:rsidRPr="005B163B">
        <w:rPr>
          <w:rStyle w:val="None"/>
        </w:rPr>
        <w:t xml:space="preserve"> with immediately preceding citation (</w:t>
      </w:r>
      <w:r w:rsidRPr="00616CD0">
        <w:rPr>
          <w:rStyle w:val="None"/>
        </w:rPr>
        <w:t>different</w:t>
      </w:r>
      <w:r w:rsidRPr="005B163B">
        <w:rPr>
          <w:rStyle w:val="None"/>
        </w:rPr>
        <w:t xml:space="preserve"> page)</w:t>
      </w:r>
    </w:p>
    <w:p w14:paraId="3EC43FC1" w14:textId="77777777" w:rsidR="00F5734E" w:rsidRDefault="00F5734E" w:rsidP="00FF4865">
      <w:pPr>
        <w:pStyle w:val="Rule"/>
        <w:ind w:left="0"/>
      </w:pPr>
      <w:r>
        <w:rPr>
          <w:rStyle w:val="None"/>
        </w:rPr>
        <w:t>If you are referring to the immediately preceding case, but to a different page, use </w:t>
      </w:r>
      <w:r>
        <w:rPr>
          <w:rStyle w:val="None"/>
          <w:i/>
          <w:iCs/>
        </w:rPr>
        <w:t>id.</w:t>
      </w:r>
      <w:r>
        <w:rPr>
          <w:rStyle w:val="None"/>
        </w:rPr>
        <w:t> at </w:t>
      </w:r>
      <w:r>
        <w:rPr>
          <w:rStyle w:val="None"/>
          <w:rFonts w:ascii="Monaco" w:hAnsi="Monaco"/>
          <w:color w:val="4B0082"/>
        </w:rPr>
        <w:t>&lt;</w:t>
      </w:r>
      <w:proofErr w:type="spellStart"/>
      <w:r>
        <w:rPr>
          <w:rStyle w:val="None"/>
          <w:rFonts w:ascii="Monaco" w:hAnsi="Monaco"/>
          <w:color w:val="4B0082"/>
        </w:rPr>
        <w:t>pincite</w:t>
      </w:r>
      <w:proofErr w:type="spellEnd"/>
      <w:r>
        <w:rPr>
          <w:rStyle w:val="None"/>
          <w:rFonts w:ascii="Monaco" w:hAnsi="Monaco"/>
          <w:color w:val="4B0082"/>
        </w:rPr>
        <w:t>&gt;</w:t>
      </w:r>
      <w:r>
        <w:rPr>
          <w:rStyle w:val="None"/>
        </w:rPr>
        <w:t>.</w:t>
      </w:r>
    </w:p>
    <w:p w14:paraId="09CEAECD" w14:textId="77777777" w:rsidR="00F5734E" w:rsidRDefault="00F5734E" w:rsidP="00FF4865">
      <w:pPr>
        <w:pStyle w:val="Example"/>
        <w:rPr>
          <w:rStyle w:val="None"/>
        </w:rPr>
      </w:pPr>
      <w:r>
        <w:rPr>
          <w:rStyle w:val="None"/>
          <w:b/>
        </w:rPr>
        <w:t>Example:</w:t>
      </w:r>
      <w:r>
        <w:rPr>
          <w:rStyle w:val="None"/>
        </w:rPr>
        <w:t> </w:t>
      </w:r>
    </w:p>
    <w:p w14:paraId="5914A039" w14:textId="77777777" w:rsidR="00F5734E" w:rsidRDefault="00F5734E" w:rsidP="00FF4865">
      <w:pPr>
        <w:pStyle w:val="Example"/>
      </w:pPr>
      <w:r>
        <w:rPr>
          <w:rStyle w:val="None"/>
        </w:rPr>
        <w:t xml:space="preserve">Fair use is ultimately a legal question because the question “primarily involves legal work.” </w:t>
      </w:r>
      <w:r>
        <w:rPr>
          <w:rStyle w:val="None"/>
          <w:i/>
          <w:iCs/>
        </w:rPr>
        <w:t>Google LLC v. Oracle Am., Inc.</w:t>
      </w:r>
      <w:r>
        <w:rPr>
          <w:rStyle w:val="None"/>
        </w:rPr>
        <w:t xml:space="preserve">, 141 S. Ct. 1183, 1199 (2021). Although it may involve “subsidiary factual questions,” the ultimate question is legal rather than factual. </w:t>
      </w:r>
      <w:r>
        <w:rPr>
          <w:rStyle w:val="None"/>
          <w:i/>
          <w:iCs/>
        </w:rPr>
        <w:t>Id.</w:t>
      </w:r>
      <w:r>
        <w:rPr>
          <w:rStyle w:val="None"/>
        </w:rPr>
        <w:t xml:space="preserve"> at 1200.</w:t>
      </w:r>
    </w:p>
    <w:p w14:paraId="07539BED" w14:textId="77777777" w:rsidR="00F5734E" w:rsidRPr="005B163B" w:rsidRDefault="00F5734E" w:rsidP="00F5734E">
      <w:pPr>
        <w:pStyle w:val="Body"/>
        <w:tabs>
          <w:tab w:val="left" w:pos="720"/>
        </w:tabs>
        <w:spacing w:before="150" w:after="90"/>
        <w:ind w:left="1680"/>
        <w:rPr>
          <w:rFonts w:ascii="Georgia" w:hAnsi="Georgia"/>
          <w:lang w:val="en-US"/>
        </w:rPr>
      </w:pPr>
    </w:p>
    <w:p w14:paraId="2D91982F" w14:textId="77777777" w:rsidR="00F5734E" w:rsidRPr="005B163B" w:rsidRDefault="00F5734E" w:rsidP="00616CD0">
      <w:pPr>
        <w:pStyle w:val="Heading5"/>
        <w:rPr>
          <w:rStyle w:val="None"/>
        </w:rPr>
      </w:pPr>
      <w:r w:rsidRPr="005B163B">
        <w:rPr>
          <w:rStyle w:val="None"/>
        </w:rPr>
        <w:t>R15.3.3</w:t>
      </w:r>
      <w:r w:rsidRPr="005B163B">
        <w:rPr>
          <w:rStyle w:val="None"/>
        </w:rPr>
        <w:tab/>
      </w:r>
      <w:r w:rsidRPr="005B163B">
        <w:rPr>
          <w:rStyle w:val="None"/>
          <w:i/>
          <w:iCs/>
        </w:rPr>
        <w:t>Id.</w:t>
      </w:r>
      <w:r w:rsidRPr="005B163B">
        <w:rPr>
          <w:rStyle w:val="None"/>
        </w:rPr>
        <w:t xml:space="preserve"> forbidden with string citations and ambiguous references</w:t>
      </w:r>
    </w:p>
    <w:p w14:paraId="458808AF" w14:textId="77777777" w:rsidR="00F5734E" w:rsidRDefault="00F5734E" w:rsidP="00FF4865">
      <w:pPr>
        <w:pStyle w:val="Rule"/>
        <w:ind w:left="0"/>
      </w:pPr>
      <w:r>
        <w:rPr>
          <w:rStyle w:val="None"/>
          <w:i/>
          <w:iCs/>
        </w:rPr>
        <w:t>Id.</w:t>
      </w:r>
      <w:r>
        <w:rPr>
          <w:rStyle w:val="None"/>
        </w:rPr>
        <w:t xml:space="preserve"> should be used only if the preceding citation cites to one source. </w:t>
      </w:r>
    </w:p>
    <w:p w14:paraId="0EC1F19A" w14:textId="74B06480" w:rsidR="00F5734E" w:rsidRDefault="00FF4865" w:rsidP="00FF4865">
      <w:pPr>
        <w:pStyle w:val="Example"/>
        <w:rPr>
          <w:rFonts w:ascii="Georgia" w:hAnsi="Georgia"/>
        </w:rPr>
      </w:pPr>
      <w:r>
        <w:rPr>
          <w:rStyle w:val="None"/>
          <w:b/>
          <w:bCs w:val="0"/>
        </w:rPr>
        <w:t>Correct</w:t>
      </w:r>
      <w:r w:rsidR="00F5734E">
        <w:rPr>
          <w:rStyle w:val="None"/>
          <w:b/>
        </w:rPr>
        <w:t>:</w:t>
      </w:r>
    </w:p>
    <w:p w14:paraId="415E541F" w14:textId="77777777" w:rsidR="00F5734E" w:rsidRDefault="00F5734E" w:rsidP="00FF4865">
      <w:pPr>
        <w:pStyle w:val="Example"/>
        <w:rPr>
          <w:rStyle w:val="None"/>
        </w:rPr>
      </w:pPr>
      <w:r>
        <w:rPr>
          <w:rStyle w:val="None"/>
          <w:shd w:val="clear" w:color="auto" w:fill="FFFFFF"/>
        </w:rPr>
        <w:t xml:space="preserve">In examining the third factor—the proximity of the parties’ products in the marketplace—courts assess whether the parties occupy “distinct merchandising markets.” </w:t>
      </w:r>
      <w:r>
        <w:rPr>
          <w:rStyle w:val="None"/>
          <w:i/>
          <w:iCs/>
          <w:shd w:val="clear" w:color="auto" w:fill="FFFFFF"/>
        </w:rPr>
        <w:t>Naked Cowboy v. CBS</w:t>
      </w:r>
      <w:r>
        <w:rPr>
          <w:rStyle w:val="None"/>
          <w:shd w:val="clear" w:color="auto" w:fill="FFFFFF"/>
        </w:rPr>
        <w:t xml:space="preserve">, 844 F. Supp. 2d 510, 517-18 (S.D.N.Y. 2012). For example, would an unsophisticated viewer confuse the source of the long-running daytime television series with another party’s street performances or his souvenirs? </w:t>
      </w:r>
      <w:r>
        <w:rPr>
          <w:rStyle w:val="None"/>
          <w:i/>
          <w:iCs/>
          <w:shd w:val="clear" w:color="auto" w:fill="FFFFFF"/>
        </w:rPr>
        <w:t>Id.</w:t>
      </w:r>
    </w:p>
    <w:p w14:paraId="5ACE056C" w14:textId="3B876414" w:rsidR="00F5734E" w:rsidRDefault="00FF4865" w:rsidP="00FF4865">
      <w:pPr>
        <w:pStyle w:val="Example"/>
        <w:rPr>
          <w:rStyle w:val="None"/>
        </w:rPr>
      </w:pPr>
      <w:r>
        <w:rPr>
          <w:rStyle w:val="None"/>
          <w:b/>
          <w:bCs w:val="0"/>
        </w:rPr>
        <w:t>Incorrect:</w:t>
      </w:r>
    </w:p>
    <w:p w14:paraId="2CB2EA1C" w14:textId="77777777" w:rsidR="00F5734E" w:rsidRDefault="00F5734E" w:rsidP="00FF4865">
      <w:pPr>
        <w:pStyle w:val="Example"/>
        <w:rPr>
          <w:rFonts w:ascii="Georgia" w:hAnsi="Georgia"/>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Id.</w:t>
      </w:r>
    </w:p>
    <w:p w14:paraId="66CC00E5" w14:textId="77777777" w:rsidR="00F5734E" w:rsidRDefault="00F5734E" w:rsidP="00FF4865">
      <w:pPr>
        <w:pStyle w:val="Example"/>
        <w:rPr>
          <w:rStyle w:val="None"/>
        </w:rPr>
      </w:pPr>
      <w:r>
        <w:rPr>
          <w:rStyle w:val="None"/>
          <w:b/>
        </w:rPr>
        <w:t>Correct:</w:t>
      </w:r>
    </w:p>
    <w:p w14:paraId="537E615D" w14:textId="035A0512" w:rsidR="00F5734E" w:rsidRDefault="00F5734E" w:rsidP="00AF2030">
      <w:pPr>
        <w:pStyle w:val="Example"/>
        <w:rPr>
          <w:rStyle w:val="None"/>
        </w:rPr>
      </w:pPr>
      <w:r>
        <w:rPr>
          <w:rStyle w:val="None"/>
        </w:rPr>
        <w:t>In examining the third factor—the proximity of the parties’ products in the marketplace—courts assess whether the parties occupy “distinct merchandising markets.” </w:t>
      </w:r>
      <w:r>
        <w:rPr>
          <w:rStyle w:val="None"/>
          <w:i/>
          <w:iCs/>
        </w:rPr>
        <w:t>Hormel Foods Corp. v. Jim Henson Prods., Inc.</w:t>
      </w:r>
      <w:r>
        <w:rPr>
          <w:rStyle w:val="None"/>
        </w:rPr>
        <w:t>, 73 F.3d 497, 504 (2d Cir. 1996); </w:t>
      </w:r>
      <w:r>
        <w:rPr>
          <w:rStyle w:val="None"/>
          <w:i/>
          <w:iCs/>
        </w:rPr>
        <w:t>Naked Cowboy v. CBS</w:t>
      </w:r>
      <w:r>
        <w:rPr>
          <w:rStyle w:val="None"/>
        </w:rPr>
        <w:t>, 844 F. Supp. 2d 510, 517-18 (S.D.N.Y. 2012). For example, would an unsophisticated viewer confuse the source of the long-running daytime television series with another party’s street performances or his souvenirs? </w:t>
      </w:r>
      <w:r>
        <w:rPr>
          <w:rStyle w:val="None"/>
          <w:i/>
          <w:iCs/>
        </w:rPr>
        <w:t>Naked Cowboy</w:t>
      </w:r>
      <w:r>
        <w:rPr>
          <w:rStyle w:val="None"/>
        </w:rPr>
        <w:t>, 844 F. Supp. 2d at 517-18.</w:t>
      </w:r>
    </w:p>
    <w:p w14:paraId="326A062D" w14:textId="77777777" w:rsidR="00F5734E" w:rsidRDefault="00F5734E" w:rsidP="00F5734E">
      <w:pPr>
        <w:pStyle w:val="Body"/>
        <w:spacing w:before="150" w:after="90"/>
        <w:ind w:left="1920"/>
        <w:rPr>
          <w:rStyle w:val="None"/>
          <w:lang w:val="en-US"/>
        </w:rPr>
      </w:pPr>
    </w:p>
    <w:p w14:paraId="287BBA93" w14:textId="77777777" w:rsidR="00F5734E" w:rsidRDefault="00F5734E" w:rsidP="00050411">
      <w:pPr>
        <w:pStyle w:val="InklingTitle"/>
        <w:rPr>
          <w:rStyle w:val="None"/>
          <w:b w:val="0"/>
          <w:bCs w:val="0"/>
          <w:smallCaps w:val="0"/>
          <w:color w:val="4B0082"/>
          <w:shd w:val="clear" w:color="auto" w:fill="C0C0C0"/>
          <w:lang w:val="en-US"/>
        </w:rPr>
      </w:pPr>
      <w:r w:rsidRPr="00050411">
        <w:rPr>
          <w:rStyle w:val="None"/>
          <w:color w:val="4B0082"/>
          <w:lang w:val="en-US"/>
        </w:rPr>
        <w:t>Indigo Inkling</w:t>
      </w:r>
    </w:p>
    <w:p w14:paraId="2DB16528" w14:textId="77777777" w:rsidR="00F5734E" w:rsidRDefault="00F5734E" w:rsidP="00050411">
      <w:pPr>
        <w:pStyle w:val="Inkling"/>
        <w:rPr>
          <w:rStyle w:val="None"/>
          <w:b/>
          <w:bCs/>
          <w:smallCaps/>
          <w:color w:val="4B0082"/>
          <w:shd w:val="clear" w:color="auto" w:fill="C0C0C0"/>
          <w:lang w:val="en-US"/>
        </w:rPr>
      </w:pPr>
    </w:p>
    <w:p w14:paraId="09827B83" w14:textId="550DE261" w:rsidR="00F5734E" w:rsidRDefault="00F5734E" w:rsidP="00050411">
      <w:pPr>
        <w:pStyle w:val="Inkling"/>
        <w:rPr>
          <w:rStyle w:val="None"/>
        </w:rPr>
      </w:pPr>
      <w:r>
        <w:rPr>
          <w:rStyle w:val="None"/>
        </w:rPr>
        <w:t xml:space="preserve">The short form </w:t>
      </w:r>
      <w:r w:rsidRPr="00685687">
        <w:rPr>
          <w:rStyle w:val="None"/>
          <w:i/>
          <w:iCs/>
        </w:rPr>
        <w:t>id.</w:t>
      </w:r>
      <w:r w:rsidR="00685687">
        <w:rPr>
          <w:rStyle w:val="None"/>
        </w:rPr>
        <w:t xml:space="preserve">—capitalized as </w:t>
      </w:r>
      <w:r w:rsidR="00685687">
        <w:rPr>
          <w:rStyle w:val="None"/>
          <w:i/>
          <w:iCs/>
        </w:rPr>
        <w:t>Id.</w:t>
      </w:r>
      <w:r w:rsidR="00685687">
        <w:rPr>
          <w:rStyle w:val="None"/>
        </w:rPr>
        <w:t xml:space="preserve"> when it starts a citation sentence—</w:t>
      </w:r>
      <w:r>
        <w:rPr>
          <w:rStyle w:val="None"/>
        </w:rPr>
        <w:t>can be used only to refer to the immediately preceding citation</w:t>
      </w:r>
      <w:r w:rsidR="00685687">
        <w:rPr>
          <w:rStyle w:val="None"/>
        </w:rPr>
        <w:t>. T</w:t>
      </w:r>
      <w:r>
        <w:rPr>
          <w:rStyle w:val="None"/>
        </w:rPr>
        <w:t xml:space="preserve">he standard for what is immediately preceding is strict indeed. Do not use </w:t>
      </w:r>
      <w:r>
        <w:rPr>
          <w:rStyle w:val="None"/>
          <w:i/>
          <w:iCs/>
        </w:rPr>
        <w:t>id.</w:t>
      </w:r>
      <w:r>
        <w:rPr>
          <w:rStyle w:val="None"/>
        </w:rPr>
        <w:t xml:space="preserve"> simply because a full citation has been given somewhere previously in the text. </w:t>
      </w:r>
      <w:r>
        <w:rPr>
          <w:rStyle w:val="None"/>
          <w:i/>
          <w:iCs/>
        </w:rPr>
        <w:t>Id.</w:t>
      </w:r>
      <w:r>
        <w:rPr>
          <w:rStyle w:val="None"/>
        </w:rPr>
        <w:t xml:space="preserve"> can follow a single citation; a string citation terminates the opportunity to use </w:t>
      </w:r>
      <w:r>
        <w:rPr>
          <w:rStyle w:val="None"/>
          <w:i/>
          <w:iCs/>
        </w:rPr>
        <w:t xml:space="preserve">id. </w:t>
      </w:r>
      <w:r>
        <w:rPr>
          <w:rStyle w:val="None"/>
        </w:rPr>
        <w:t xml:space="preserve">next. Indeed, any reference by name to an intervening authority, even without an actual citation, also terminates the opportunity to use </w:t>
      </w:r>
      <w:r>
        <w:rPr>
          <w:rStyle w:val="None"/>
          <w:i/>
          <w:iCs/>
        </w:rPr>
        <w:t>id.</w:t>
      </w:r>
      <w:r>
        <w:rPr>
          <w:rStyle w:val="None"/>
        </w:rPr>
        <w:t xml:space="preserve"> next.</w:t>
      </w:r>
    </w:p>
    <w:p w14:paraId="6DC90B1B" w14:textId="77777777" w:rsidR="00F5734E" w:rsidRDefault="00F5734E" w:rsidP="00050411">
      <w:pPr>
        <w:pStyle w:val="Inkling"/>
      </w:pPr>
    </w:p>
    <w:p w14:paraId="54BC05B1" w14:textId="77777777" w:rsidR="00F5734E" w:rsidRDefault="00F5734E" w:rsidP="00050411">
      <w:pPr>
        <w:pStyle w:val="Inkling"/>
      </w:pPr>
      <w:r>
        <w:t xml:space="preserve">There is one exception to this strict construction of when to use </w:t>
      </w:r>
      <w:r>
        <w:rPr>
          <w:i/>
          <w:iCs/>
        </w:rPr>
        <w:t>id.</w:t>
      </w:r>
      <w:r>
        <w:t xml:space="preserve"> If the preceding citation includes a parenthetical citing a case within that parenthetical, that citation-within-a-citation does not foreclose the use of id. In that scenario, </w:t>
      </w:r>
      <w:r>
        <w:rPr>
          <w:i/>
          <w:iCs/>
        </w:rPr>
        <w:t>id.</w:t>
      </w:r>
      <w:r>
        <w:t xml:space="preserve"> may be used to cite back to the immediately preceding citation to which the citation-within-a-citation is attached. Thus, a source cited parenthetically does not become the immediately preceding citation. This is structurally different from a string citation. Do not use </w:t>
      </w:r>
      <w:r>
        <w:rPr>
          <w:i/>
          <w:iCs/>
        </w:rPr>
        <w:t xml:space="preserve">id. </w:t>
      </w:r>
      <w:r>
        <w:t>after a string citation, even to attempt to refer to the final citation in the string.</w:t>
      </w:r>
    </w:p>
    <w:p w14:paraId="4C332CF2" w14:textId="77777777" w:rsidR="00F5734E" w:rsidRDefault="00F5734E" w:rsidP="00F5734E">
      <w:pPr>
        <w:pStyle w:val="Body"/>
        <w:spacing w:line="320" w:lineRule="atLeast"/>
        <w:rPr>
          <w:rStyle w:val="None"/>
          <w:lang w:val="en-US"/>
        </w:rPr>
      </w:pPr>
    </w:p>
    <w:p w14:paraId="1768F3E4"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altName w:val="﷽﷽﷽﷽﷽﷽﷽﷽"/>
    <w:panose1 w:val="02040502050405020303"/>
    <w:charset w:val="00"/>
    <w:family w:val="roman"/>
    <w:pitch w:val="variable"/>
    <w:sig w:usb0="00000287" w:usb1="00000000" w:usb2="00000000" w:usb3="00000000" w:csb0="0000009F" w:csb1="00000000"/>
  </w:font>
  <w:font w:name="ederal">
    <w:altName w:val="Cambria"/>
    <w:panose1 w:val="020B0604020202020204"/>
    <w:charset w:val="00"/>
    <w:family w:val="roman"/>
    <w:pitch w:val="default"/>
  </w:font>
  <w:font w:name="Monaco">
    <w:altName w:val="﷽﷽﷽﷽﷽﷽﷽"/>
    <w:panose1 w:val="00000000000000000000"/>
    <w:charset w:val="4D"/>
    <w:family w:val="auto"/>
    <w:pitch w:val="variable"/>
    <w:sig w:usb0="A00002FF" w:usb1="500039FB"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9CB4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43E6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321F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DA8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2C28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045B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009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3827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3AF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76B7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44A77"/>
    <w:multiLevelType w:val="hybridMultilevel"/>
    <w:tmpl w:val="D61C9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642B37"/>
    <w:multiLevelType w:val="hybridMultilevel"/>
    <w:tmpl w:val="1A64CA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223B58BB"/>
    <w:multiLevelType w:val="hybridMultilevel"/>
    <w:tmpl w:val="8FC06286"/>
    <w:lvl w:ilvl="0" w:tplc="04090001">
      <w:start w:val="1"/>
      <w:numFmt w:val="bullet"/>
      <w:lvlText w:val=""/>
      <w:lvlJc w:val="left"/>
      <w:pPr>
        <w:ind w:left="2400" w:hanging="360"/>
      </w:pPr>
      <w:rPr>
        <w:rFonts w:ascii="Symbol" w:hAnsi="Symbol" w:hint="default"/>
      </w:rPr>
    </w:lvl>
    <w:lvl w:ilvl="1" w:tplc="04090003">
      <w:start w:val="1"/>
      <w:numFmt w:val="bullet"/>
      <w:lvlText w:val="o"/>
      <w:lvlJc w:val="left"/>
      <w:pPr>
        <w:ind w:left="3120" w:hanging="360"/>
      </w:pPr>
      <w:rPr>
        <w:rFonts w:ascii="Courier New" w:hAnsi="Courier New" w:cs="Courier New" w:hint="default"/>
      </w:rPr>
    </w:lvl>
    <w:lvl w:ilvl="2" w:tplc="04090005">
      <w:start w:val="1"/>
      <w:numFmt w:val="bullet"/>
      <w:lvlText w:val=""/>
      <w:lvlJc w:val="left"/>
      <w:pPr>
        <w:ind w:left="3840" w:hanging="360"/>
      </w:pPr>
      <w:rPr>
        <w:rFonts w:ascii="Wingdings" w:hAnsi="Wingdings" w:hint="default"/>
      </w:rPr>
    </w:lvl>
    <w:lvl w:ilvl="3" w:tplc="04090001">
      <w:start w:val="1"/>
      <w:numFmt w:val="bullet"/>
      <w:lvlText w:val=""/>
      <w:lvlJc w:val="left"/>
      <w:pPr>
        <w:ind w:left="4560" w:hanging="360"/>
      </w:pPr>
      <w:rPr>
        <w:rFonts w:ascii="Symbol" w:hAnsi="Symbol" w:hint="default"/>
      </w:rPr>
    </w:lvl>
    <w:lvl w:ilvl="4" w:tplc="04090003">
      <w:start w:val="1"/>
      <w:numFmt w:val="bullet"/>
      <w:lvlText w:val="o"/>
      <w:lvlJc w:val="left"/>
      <w:pPr>
        <w:ind w:left="5280" w:hanging="360"/>
      </w:pPr>
      <w:rPr>
        <w:rFonts w:ascii="Courier New" w:hAnsi="Courier New" w:cs="Courier New" w:hint="default"/>
      </w:rPr>
    </w:lvl>
    <w:lvl w:ilvl="5" w:tplc="04090005">
      <w:start w:val="1"/>
      <w:numFmt w:val="bullet"/>
      <w:lvlText w:val=""/>
      <w:lvlJc w:val="left"/>
      <w:pPr>
        <w:ind w:left="6000" w:hanging="360"/>
      </w:pPr>
      <w:rPr>
        <w:rFonts w:ascii="Wingdings" w:hAnsi="Wingdings" w:hint="default"/>
      </w:rPr>
    </w:lvl>
    <w:lvl w:ilvl="6" w:tplc="04090001">
      <w:start w:val="1"/>
      <w:numFmt w:val="bullet"/>
      <w:lvlText w:val=""/>
      <w:lvlJc w:val="left"/>
      <w:pPr>
        <w:ind w:left="6720" w:hanging="360"/>
      </w:pPr>
      <w:rPr>
        <w:rFonts w:ascii="Symbol" w:hAnsi="Symbol" w:hint="default"/>
      </w:rPr>
    </w:lvl>
    <w:lvl w:ilvl="7" w:tplc="04090003">
      <w:start w:val="1"/>
      <w:numFmt w:val="bullet"/>
      <w:lvlText w:val="o"/>
      <w:lvlJc w:val="left"/>
      <w:pPr>
        <w:ind w:left="7440" w:hanging="360"/>
      </w:pPr>
      <w:rPr>
        <w:rFonts w:ascii="Courier New" w:hAnsi="Courier New" w:cs="Courier New" w:hint="default"/>
      </w:rPr>
    </w:lvl>
    <w:lvl w:ilvl="8" w:tplc="04090005">
      <w:start w:val="1"/>
      <w:numFmt w:val="bullet"/>
      <w:lvlText w:val=""/>
      <w:lvlJc w:val="left"/>
      <w:pPr>
        <w:ind w:left="8160" w:hanging="360"/>
      </w:pPr>
      <w:rPr>
        <w:rFonts w:ascii="Wingdings" w:hAnsi="Wingdings" w:hint="default"/>
      </w:rPr>
    </w:lvl>
  </w:abstractNum>
  <w:abstractNum w:abstractNumId="13" w15:restartNumberingAfterBreak="0">
    <w:nsid w:val="2B272EE7"/>
    <w:multiLevelType w:val="hybridMultilevel"/>
    <w:tmpl w:val="1A1ABF7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2D6A7A42"/>
    <w:multiLevelType w:val="hybridMultilevel"/>
    <w:tmpl w:val="B6E2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5C16575"/>
    <w:multiLevelType w:val="hybridMultilevel"/>
    <w:tmpl w:val="8FA4EBCC"/>
    <w:lvl w:ilvl="0" w:tplc="A5F8C3B6">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4FA538A7"/>
    <w:multiLevelType w:val="hybridMultilevel"/>
    <w:tmpl w:val="B54E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B16F99"/>
    <w:multiLevelType w:val="hybridMultilevel"/>
    <w:tmpl w:val="02C8292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start w:val="1"/>
      <w:numFmt w:val="bullet"/>
      <w:lvlText w:val=""/>
      <w:lvlJc w:val="left"/>
      <w:pPr>
        <w:ind w:left="3720" w:hanging="360"/>
      </w:pPr>
      <w:rPr>
        <w:rFonts w:ascii="Symbol" w:hAnsi="Symbol" w:hint="default"/>
      </w:rPr>
    </w:lvl>
    <w:lvl w:ilvl="4" w:tplc="04090003">
      <w:start w:val="1"/>
      <w:numFmt w:val="bullet"/>
      <w:lvlText w:val="o"/>
      <w:lvlJc w:val="left"/>
      <w:pPr>
        <w:ind w:left="4440" w:hanging="360"/>
      </w:pPr>
      <w:rPr>
        <w:rFonts w:ascii="Courier New" w:hAnsi="Courier New" w:cs="Courier New" w:hint="default"/>
      </w:rPr>
    </w:lvl>
    <w:lvl w:ilvl="5" w:tplc="04090005">
      <w:start w:val="1"/>
      <w:numFmt w:val="bullet"/>
      <w:lvlText w:val=""/>
      <w:lvlJc w:val="left"/>
      <w:pPr>
        <w:ind w:left="5160" w:hanging="360"/>
      </w:pPr>
      <w:rPr>
        <w:rFonts w:ascii="Wingdings" w:hAnsi="Wingdings" w:hint="default"/>
      </w:rPr>
    </w:lvl>
    <w:lvl w:ilvl="6" w:tplc="04090001">
      <w:start w:val="1"/>
      <w:numFmt w:val="bullet"/>
      <w:lvlText w:val=""/>
      <w:lvlJc w:val="left"/>
      <w:pPr>
        <w:ind w:left="5880" w:hanging="360"/>
      </w:pPr>
      <w:rPr>
        <w:rFonts w:ascii="Symbol" w:hAnsi="Symbol" w:hint="default"/>
      </w:rPr>
    </w:lvl>
    <w:lvl w:ilvl="7" w:tplc="04090003">
      <w:start w:val="1"/>
      <w:numFmt w:val="bullet"/>
      <w:lvlText w:val="o"/>
      <w:lvlJc w:val="left"/>
      <w:pPr>
        <w:ind w:left="6600" w:hanging="360"/>
      </w:pPr>
      <w:rPr>
        <w:rFonts w:ascii="Courier New" w:hAnsi="Courier New" w:cs="Courier New" w:hint="default"/>
      </w:rPr>
    </w:lvl>
    <w:lvl w:ilvl="8" w:tplc="04090005">
      <w:start w:val="1"/>
      <w:numFmt w:val="bullet"/>
      <w:lvlText w:val=""/>
      <w:lvlJc w:val="left"/>
      <w:pPr>
        <w:ind w:left="7320" w:hanging="360"/>
      </w:pPr>
      <w:rPr>
        <w:rFonts w:ascii="Wingdings" w:hAnsi="Wingdings" w:hint="default"/>
      </w:rPr>
    </w:lvl>
  </w:abstractNum>
  <w:abstractNum w:abstractNumId="18" w15:restartNumberingAfterBreak="0">
    <w:nsid w:val="67295450"/>
    <w:multiLevelType w:val="hybridMultilevel"/>
    <w:tmpl w:val="7F7AD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637E3D"/>
    <w:multiLevelType w:val="hybridMultilevel"/>
    <w:tmpl w:val="03C64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9262988"/>
    <w:multiLevelType w:val="hybridMultilevel"/>
    <w:tmpl w:val="FE4C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AA5CCF"/>
    <w:multiLevelType w:val="hybridMultilevel"/>
    <w:tmpl w:val="88AA70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15:restartNumberingAfterBreak="0">
    <w:nsid w:val="7C482253"/>
    <w:multiLevelType w:val="hybridMultilevel"/>
    <w:tmpl w:val="1AD81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0"/>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5"/>
  </w:num>
  <w:num w:numId="20">
    <w:abstractNumId w:val="20"/>
  </w:num>
  <w:num w:numId="21">
    <w:abstractNumId w:val="11"/>
  </w:num>
  <w:num w:numId="22">
    <w:abstractNumId w:val="22"/>
  </w:num>
  <w:num w:numId="23">
    <w:abstractNumId w:val="13"/>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2"/>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734E"/>
    <w:rsid w:val="00000FC3"/>
    <w:rsid w:val="00003A97"/>
    <w:rsid w:val="00007F30"/>
    <w:rsid w:val="00013E9A"/>
    <w:rsid w:val="000251ED"/>
    <w:rsid w:val="00030943"/>
    <w:rsid w:val="000325F3"/>
    <w:rsid w:val="00041555"/>
    <w:rsid w:val="00042C7E"/>
    <w:rsid w:val="00050411"/>
    <w:rsid w:val="00050D8E"/>
    <w:rsid w:val="00061EB7"/>
    <w:rsid w:val="00065C55"/>
    <w:rsid w:val="00082F37"/>
    <w:rsid w:val="00083161"/>
    <w:rsid w:val="000A2C8E"/>
    <w:rsid w:val="000A3D86"/>
    <w:rsid w:val="000B2F1A"/>
    <w:rsid w:val="000B3E62"/>
    <w:rsid w:val="000C4B4A"/>
    <w:rsid w:val="000C7EF9"/>
    <w:rsid w:val="000D0B7B"/>
    <w:rsid w:val="000D5152"/>
    <w:rsid w:val="000D5864"/>
    <w:rsid w:val="000D7E18"/>
    <w:rsid w:val="000E140E"/>
    <w:rsid w:val="000F0FD4"/>
    <w:rsid w:val="000F4FE2"/>
    <w:rsid w:val="000F6953"/>
    <w:rsid w:val="0010295B"/>
    <w:rsid w:val="00110911"/>
    <w:rsid w:val="001157FA"/>
    <w:rsid w:val="00122483"/>
    <w:rsid w:val="00124323"/>
    <w:rsid w:val="0012610C"/>
    <w:rsid w:val="001262D6"/>
    <w:rsid w:val="001273B1"/>
    <w:rsid w:val="001308B4"/>
    <w:rsid w:val="00136CD8"/>
    <w:rsid w:val="001459EF"/>
    <w:rsid w:val="00147019"/>
    <w:rsid w:val="0014726B"/>
    <w:rsid w:val="001501A1"/>
    <w:rsid w:val="00150CE4"/>
    <w:rsid w:val="001726BB"/>
    <w:rsid w:val="00177119"/>
    <w:rsid w:val="00185FD3"/>
    <w:rsid w:val="00195FF0"/>
    <w:rsid w:val="001965A7"/>
    <w:rsid w:val="001B0580"/>
    <w:rsid w:val="001B0924"/>
    <w:rsid w:val="001B360B"/>
    <w:rsid w:val="001B4056"/>
    <w:rsid w:val="001B7BE4"/>
    <w:rsid w:val="001D1A4D"/>
    <w:rsid w:val="001D419B"/>
    <w:rsid w:val="001E1550"/>
    <w:rsid w:val="001F6B58"/>
    <w:rsid w:val="002114A0"/>
    <w:rsid w:val="00211A2D"/>
    <w:rsid w:val="00222D7C"/>
    <w:rsid w:val="00232E14"/>
    <w:rsid w:val="0023341E"/>
    <w:rsid w:val="0024373D"/>
    <w:rsid w:val="00244598"/>
    <w:rsid w:val="00245248"/>
    <w:rsid w:val="00246CA6"/>
    <w:rsid w:val="002518C4"/>
    <w:rsid w:val="00252F59"/>
    <w:rsid w:val="0026573B"/>
    <w:rsid w:val="00266500"/>
    <w:rsid w:val="00273ADF"/>
    <w:rsid w:val="002740CD"/>
    <w:rsid w:val="0027529B"/>
    <w:rsid w:val="0027661F"/>
    <w:rsid w:val="00277B1F"/>
    <w:rsid w:val="002917CC"/>
    <w:rsid w:val="002A0C7D"/>
    <w:rsid w:val="002A21F9"/>
    <w:rsid w:val="002C6E0C"/>
    <w:rsid w:val="002D795F"/>
    <w:rsid w:val="002E551D"/>
    <w:rsid w:val="002F3335"/>
    <w:rsid w:val="003144AA"/>
    <w:rsid w:val="00333A33"/>
    <w:rsid w:val="003356D3"/>
    <w:rsid w:val="003367D7"/>
    <w:rsid w:val="00350FE1"/>
    <w:rsid w:val="00353401"/>
    <w:rsid w:val="00355DFB"/>
    <w:rsid w:val="003610E3"/>
    <w:rsid w:val="00366383"/>
    <w:rsid w:val="00372F9D"/>
    <w:rsid w:val="00376621"/>
    <w:rsid w:val="00381D79"/>
    <w:rsid w:val="00383A01"/>
    <w:rsid w:val="003A0688"/>
    <w:rsid w:val="003A580A"/>
    <w:rsid w:val="003B0691"/>
    <w:rsid w:val="003C088A"/>
    <w:rsid w:val="003C359C"/>
    <w:rsid w:val="003C62F1"/>
    <w:rsid w:val="003D1967"/>
    <w:rsid w:val="003E5933"/>
    <w:rsid w:val="003F1043"/>
    <w:rsid w:val="003F7CE5"/>
    <w:rsid w:val="00401430"/>
    <w:rsid w:val="00402ABF"/>
    <w:rsid w:val="0041179D"/>
    <w:rsid w:val="004214B7"/>
    <w:rsid w:val="00423CA4"/>
    <w:rsid w:val="00436A39"/>
    <w:rsid w:val="0044390A"/>
    <w:rsid w:val="004447BA"/>
    <w:rsid w:val="004449CB"/>
    <w:rsid w:val="00446B5A"/>
    <w:rsid w:val="004528F4"/>
    <w:rsid w:val="004631F5"/>
    <w:rsid w:val="00463341"/>
    <w:rsid w:val="004752B2"/>
    <w:rsid w:val="0048614A"/>
    <w:rsid w:val="0049366A"/>
    <w:rsid w:val="0049646C"/>
    <w:rsid w:val="004A58A0"/>
    <w:rsid w:val="004A5BD7"/>
    <w:rsid w:val="004B1F40"/>
    <w:rsid w:val="004B6E2B"/>
    <w:rsid w:val="004E1FC5"/>
    <w:rsid w:val="004F0002"/>
    <w:rsid w:val="004F32EB"/>
    <w:rsid w:val="004F3DD0"/>
    <w:rsid w:val="004F56D8"/>
    <w:rsid w:val="0051316F"/>
    <w:rsid w:val="00515FB7"/>
    <w:rsid w:val="00516A4C"/>
    <w:rsid w:val="00543C2D"/>
    <w:rsid w:val="00556A89"/>
    <w:rsid w:val="00556B38"/>
    <w:rsid w:val="00573D0F"/>
    <w:rsid w:val="005839A9"/>
    <w:rsid w:val="0058654E"/>
    <w:rsid w:val="005A0AFE"/>
    <w:rsid w:val="005A13A0"/>
    <w:rsid w:val="005A1C17"/>
    <w:rsid w:val="005B163B"/>
    <w:rsid w:val="005E4A85"/>
    <w:rsid w:val="005F4B6C"/>
    <w:rsid w:val="00604A58"/>
    <w:rsid w:val="00606AD7"/>
    <w:rsid w:val="00616CD0"/>
    <w:rsid w:val="006344AE"/>
    <w:rsid w:val="00644066"/>
    <w:rsid w:val="006462E3"/>
    <w:rsid w:val="00653B7C"/>
    <w:rsid w:val="0067151B"/>
    <w:rsid w:val="006760A5"/>
    <w:rsid w:val="00680836"/>
    <w:rsid w:val="00681994"/>
    <w:rsid w:val="00681C0B"/>
    <w:rsid w:val="00685687"/>
    <w:rsid w:val="0069199F"/>
    <w:rsid w:val="006B05D1"/>
    <w:rsid w:val="006D588C"/>
    <w:rsid w:val="006D71E5"/>
    <w:rsid w:val="006E462E"/>
    <w:rsid w:val="006E78DF"/>
    <w:rsid w:val="006F2AA8"/>
    <w:rsid w:val="00711E25"/>
    <w:rsid w:val="00712D7B"/>
    <w:rsid w:val="00713552"/>
    <w:rsid w:val="00714039"/>
    <w:rsid w:val="00723052"/>
    <w:rsid w:val="00723897"/>
    <w:rsid w:val="00736FAA"/>
    <w:rsid w:val="00741217"/>
    <w:rsid w:val="00741B68"/>
    <w:rsid w:val="0074298C"/>
    <w:rsid w:val="00755409"/>
    <w:rsid w:val="007576E3"/>
    <w:rsid w:val="00762E12"/>
    <w:rsid w:val="00765EEA"/>
    <w:rsid w:val="00783C24"/>
    <w:rsid w:val="0078600A"/>
    <w:rsid w:val="007A5B84"/>
    <w:rsid w:val="007B0C69"/>
    <w:rsid w:val="007C16A9"/>
    <w:rsid w:val="007C703F"/>
    <w:rsid w:val="007D1359"/>
    <w:rsid w:val="007D1918"/>
    <w:rsid w:val="007D6DFF"/>
    <w:rsid w:val="007F1C88"/>
    <w:rsid w:val="00800FB1"/>
    <w:rsid w:val="00823846"/>
    <w:rsid w:val="00824419"/>
    <w:rsid w:val="00832748"/>
    <w:rsid w:val="00841420"/>
    <w:rsid w:val="00855572"/>
    <w:rsid w:val="00857B34"/>
    <w:rsid w:val="00860712"/>
    <w:rsid w:val="00865748"/>
    <w:rsid w:val="00867859"/>
    <w:rsid w:val="00871FA4"/>
    <w:rsid w:val="00875C82"/>
    <w:rsid w:val="00894A68"/>
    <w:rsid w:val="008A0E38"/>
    <w:rsid w:val="008A7D6A"/>
    <w:rsid w:val="008C28EB"/>
    <w:rsid w:val="008C5302"/>
    <w:rsid w:val="008C6667"/>
    <w:rsid w:val="008D1151"/>
    <w:rsid w:val="008F496C"/>
    <w:rsid w:val="009070D8"/>
    <w:rsid w:val="0091205B"/>
    <w:rsid w:val="00922B49"/>
    <w:rsid w:val="009264C7"/>
    <w:rsid w:val="00927E26"/>
    <w:rsid w:val="00932DEE"/>
    <w:rsid w:val="00936B40"/>
    <w:rsid w:val="0096029F"/>
    <w:rsid w:val="009606DC"/>
    <w:rsid w:val="00970267"/>
    <w:rsid w:val="00974A14"/>
    <w:rsid w:val="00985A3C"/>
    <w:rsid w:val="00996D9B"/>
    <w:rsid w:val="009A0114"/>
    <w:rsid w:val="009A60EF"/>
    <w:rsid w:val="009A702D"/>
    <w:rsid w:val="009B2409"/>
    <w:rsid w:val="009C234D"/>
    <w:rsid w:val="009D2B75"/>
    <w:rsid w:val="009E0D02"/>
    <w:rsid w:val="009E3373"/>
    <w:rsid w:val="009F27B4"/>
    <w:rsid w:val="00A01D45"/>
    <w:rsid w:val="00A032DC"/>
    <w:rsid w:val="00A23223"/>
    <w:rsid w:val="00A26CB1"/>
    <w:rsid w:val="00A350BD"/>
    <w:rsid w:val="00A4239A"/>
    <w:rsid w:val="00A566A5"/>
    <w:rsid w:val="00A61249"/>
    <w:rsid w:val="00A62A72"/>
    <w:rsid w:val="00A64F1E"/>
    <w:rsid w:val="00A7595B"/>
    <w:rsid w:val="00A76812"/>
    <w:rsid w:val="00A811EF"/>
    <w:rsid w:val="00A81540"/>
    <w:rsid w:val="00A93C97"/>
    <w:rsid w:val="00AB39EA"/>
    <w:rsid w:val="00AC21D1"/>
    <w:rsid w:val="00AD0991"/>
    <w:rsid w:val="00AD7DD6"/>
    <w:rsid w:val="00AE4590"/>
    <w:rsid w:val="00AF2030"/>
    <w:rsid w:val="00AF4F48"/>
    <w:rsid w:val="00B0105D"/>
    <w:rsid w:val="00B07CD5"/>
    <w:rsid w:val="00B07FA5"/>
    <w:rsid w:val="00B236E7"/>
    <w:rsid w:val="00B3073C"/>
    <w:rsid w:val="00B40C2A"/>
    <w:rsid w:val="00B43C8F"/>
    <w:rsid w:val="00B54845"/>
    <w:rsid w:val="00B55AF5"/>
    <w:rsid w:val="00B6404F"/>
    <w:rsid w:val="00B86837"/>
    <w:rsid w:val="00BA4743"/>
    <w:rsid w:val="00BA5FCD"/>
    <w:rsid w:val="00BA60EC"/>
    <w:rsid w:val="00BB7CA4"/>
    <w:rsid w:val="00BC36D8"/>
    <w:rsid w:val="00BC43C3"/>
    <w:rsid w:val="00BC4BFF"/>
    <w:rsid w:val="00BC719B"/>
    <w:rsid w:val="00BD2104"/>
    <w:rsid w:val="00BD2AAB"/>
    <w:rsid w:val="00BD5B2C"/>
    <w:rsid w:val="00BD62AE"/>
    <w:rsid w:val="00BE1C23"/>
    <w:rsid w:val="00BE43D8"/>
    <w:rsid w:val="00BF3C3B"/>
    <w:rsid w:val="00C054F0"/>
    <w:rsid w:val="00C064EF"/>
    <w:rsid w:val="00C13095"/>
    <w:rsid w:val="00C2218F"/>
    <w:rsid w:val="00C40A67"/>
    <w:rsid w:val="00C519CF"/>
    <w:rsid w:val="00C51D53"/>
    <w:rsid w:val="00C60818"/>
    <w:rsid w:val="00C67B26"/>
    <w:rsid w:val="00C92286"/>
    <w:rsid w:val="00CA63AF"/>
    <w:rsid w:val="00CB5E9C"/>
    <w:rsid w:val="00CC75D3"/>
    <w:rsid w:val="00CD0C39"/>
    <w:rsid w:val="00CD2CF7"/>
    <w:rsid w:val="00CF6869"/>
    <w:rsid w:val="00D0245A"/>
    <w:rsid w:val="00D02C14"/>
    <w:rsid w:val="00D20E29"/>
    <w:rsid w:val="00D21A70"/>
    <w:rsid w:val="00D57300"/>
    <w:rsid w:val="00D6631A"/>
    <w:rsid w:val="00D864D3"/>
    <w:rsid w:val="00D96B56"/>
    <w:rsid w:val="00DC07EC"/>
    <w:rsid w:val="00DD3D75"/>
    <w:rsid w:val="00DE2A9F"/>
    <w:rsid w:val="00DE3DBD"/>
    <w:rsid w:val="00DF5969"/>
    <w:rsid w:val="00E04CC0"/>
    <w:rsid w:val="00E064A1"/>
    <w:rsid w:val="00E1618B"/>
    <w:rsid w:val="00E20CF0"/>
    <w:rsid w:val="00E25C13"/>
    <w:rsid w:val="00E30769"/>
    <w:rsid w:val="00E35F1F"/>
    <w:rsid w:val="00E5265C"/>
    <w:rsid w:val="00E62767"/>
    <w:rsid w:val="00E65995"/>
    <w:rsid w:val="00E67D4A"/>
    <w:rsid w:val="00E7471C"/>
    <w:rsid w:val="00E7649A"/>
    <w:rsid w:val="00E80C7A"/>
    <w:rsid w:val="00E82704"/>
    <w:rsid w:val="00EA26CE"/>
    <w:rsid w:val="00EA6280"/>
    <w:rsid w:val="00EC581B"/>
    <w:rsid w:val="00ED5BE6"/>
    <w:rsid w:val="00EE25E8"/>
    <w:rsid w:val="00EE55EC"/>
    <w:rsid w:val="00F009ED"/>
    <w:rsid w:val="00F07668"/>
    <w:rsid w:val="00F124DD"/>
    <w:rsid w:val="00F356BB"/>
    <w:rsid w:val="00F36AB7"/>
    <w:rsid w:val="00F376E1"/>
    <w:rsid w:val="00F44847"/>
    <w:rsid w:val="00F5217B"/>
    <w:rsid w:val="00F521AF"/>
    <w:rsid w:val="00F5734E"/>
    <w:rsid w:val="00F6671B"/>
    <w:rsid w:val="00F734C1"/>
    <w:rsid w:val="00F865AA"/>
    <w:rsid w:val="00F90E01"/>
    <w:rsid w:val="00F927E7"/>
    <w:rsid w:val="00F94102"/>
    <w:rsid w:val="00FA343C"/>
    <w:rsid w:val="00FA6FB6"/>
    <w:rsid w:val="00FA762C"/>
    <w:rsid w:val="00FA79D6"/>
    <w:rsid w:val="00FB7C54"/>
    <w:rsid w:val="00FD2CD2"/>
    <w:rsid w:val="00FD4C96"/>
    <w:rsid w:val="00FD51BA"/>
    <w:rsid w:val="00FE2E72"/>
    <w:rsid w:val="00FF460D"/>
    <w:rsid w:val="00FF4865"/>
    <w:rsid w:val="00FF7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44F8"/>
  <w15:docId w15:val="{708005C0-9A02-4095-A18B-4BB62955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14"/>
    <w:pPr>
      <w:spacing w:after="0" w:line="240" w:lineRule="auto"/>
    </w:pPr>
    <w:rPr>
      <w:rFonts w:ascii="Times New Roman" w:eastAsia="Arial Unicode MS" w:hAnsi="Times New Roman" w:cs="Times New Roman"/>
      <w:sz w:val="24"/>
      <w:szCs w:val="24"/>
    </w:rPr>
  </w:style>
  <w:style w:type="paragraph" w:styleId="Heading1">
    <w:name w:val="heading 1"/>
    <w:basedOn w:val="Normal"/>
    <w:next w:val="Normal"/>
    <w:link w:val="Heading1Char"/>
    <w:uiPriority w:val="9"/>
    <w:qFormat/>
    <w:rsid w:val="002D79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3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933"/>
    <w:pPr>
      <w:keepNext/>
      <w:keepLines/>
      <w:spacing w:before="40"/>
      <w:outlineLvl w:val="2"/>
    </w:pPr>
    <w:rPr>
      <w:rFonts w:ascii="Georgia" w:eastAsiaTheme="majorEastAsia" w:hAnsi="Georgia" w:cstheme="majorBidi"/>
      <w:b/>
      <w:bCs/>
      <w:color w:val="1F3763" w:themeColor="accent1" w:themeShade="7F"/>
    </w:rPr>
  </w:style>
  <w:style w:type="paragraph" w:styleId="Heading4">
    <w:name w:val="heading 4"/>
    <w:basedOn w:val="Normal"/>
    <w:next w:val="Normal"/>
    <w:link w:val="Heading4Char"/>
    <w:uiPriority w:val="9"/>
    <w:unhideWhenUsed/>
    <w:qFormat/>
    <w:rsid w:val="00616CD0"/>
    <w:pPr>
      <w:keepNext/>
      <w:keepLines/>
      <w:spacing w:before="40"/>
      <w:outlineLvl w:val="3"/>
    </w:pPr>
    <w:rPr>
      <w:rFonts w:ascii="Georgia" w:eastAsiaTheme="majorEastAsia" w:hAnsi="Georgia" w:cstheme="majorBidi"/>
      <w:color w:val="2F5496" w:themeColor="accent1" w:themeShade="BF"/>
    </w:rPr>
  </w:style>
  <w:style w:type="paragraph" w:styleId="Heading5">
    <w:name w:val="heading 5"/>
    <w:basedOn w:val="Normal"/>
    <w:next w:val="Normal"/>
    <w:link w:val="Heading5Char"/>
    <w:uiPriority w:val="9"/>
    <w:unhideWhenUsed/>
    <w:qFormat/>
    <w:rsid w:val="00616CD0"/>
    <w:pPr>
      <w:keepNext/>
      <w:keepLines/>
      <w:spacing w:before="40"/>
      <w:outlineLvl w:val="4"/>
    </w:pPr>
    <w:rPr>
      <w:rFonts w:ascii="Georgia" w:eastAsiaTheme="majorEastAsia" w:hAnsi="Georg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F573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734E"/>
    <w:pPr>
      <w:spacing w:after="0" w:line="240" w:lineRule="auto"/>
    </w:pPr>
    <w:rPr>
      <w:rFonts w:ascii="Times New Roman" w:eastAsia="Arial Unicode MS" w:hAnsi="Times New Roman" w:cs="Times New Roman"/>
      <w:sz w:val="24"/>
      <w:szCs w:val="24"/>
    </w:rPr>
  </w:style>
  <w:style w:type="paragraph" w:styleId="ListParagraph">
    <w:name w:val="List Paragraph"/>
    <w:qFormat/>
    <w:rsid w:val="00F5734E"/>
    <w:pPr>
      <w:spacing w:after="0" w:line="240" w:lineRule="auto"/>
      <w:ind w:left="720"/>
    </w:pPr>
    <w:rPr>
      <w:rFonts w:ascii="Calibri" w:eastAsia="Arial Unicode MS" w:hAnsi="Calibri" w:cs="Arial Unicode MS"/>
      <w:color w:val="000000"/>
      <w:sz w:val="24"/>
      <w:szCs w:val="24"/>
      <w:u w:color="000000"/>
    </w:rPr>
  </w:style>
  <w:style w:type="paragraph" w:customStyle="1" w:styleId="Body">
    <w:name w:val="Body"/>
    <w:rsid w:val="00F5734E"/>
    <w:pPr>
      <w:spacing w:after="0" w:line="240" w:lineRule="auto"/>
    </w:pPr>
    <w:rPr>
      <w:rFonts w:ascii="Times New Roman" w:eastAsia="Arial Unicode MS" w:hAnsi="Times New Roman" w:cs="Arial Unicode MS"/>
      <w:color w:val="000000"/>
      <w:sz w:val="24"/>
      <w:szCs w:val="24"/>
      <w:u w:color="000000"/>
      <w:lang w:val="de-DE"/>
    </w:rPr>
  </w:style>
  <w:style w:type="character" w:customStyle="1" w:styleId="None">
    <w:name w:val="None"/>
    <w:rsid w:val="00F5734E"/>
  </w:style>
  <w:style w:type="character" w:customStyle="1" w:styleId="Hyperlink5">
    <w:name w:val="Hyperlink.5"/>
    <w:basedOn w:val="None"/>
    <w:rsid w:val="00F5734E"/>
    <w:rPr>
      <w:rFonts w:ascii="Georgia" w:eastAsia="Georgia" w:hAnsi="Georgia" w:cs="Georgia" w:hint="default"/>
      <w:outline w:val="0"/>
      <w:shadow w:val="0"/>
      <w:emboss w:val="0"/>
      <w:imprint w:val="0"/>
      <w:color w:val="000000"/>
      <w:u w:val="single" w:color="000000"/>
    </w:rPr>
  </w:style>
  <w:style w:type="character" w:customStyle="1" w:styleId="Heading3Char">
    <w:name w:val="Heading 3 Char"/>
    <w:basedOn w:val="DefaultParagraphFont"/>
    <w:link w:val="Heading3"/>
    <w:uiPriority w:val="9"/>
    <w:rsid w:val="003E5933"/>
    <w:rPr>
      <w:rFonts w:ascii="Georgia" w:eastAsiaTheme="majorEastAsia" w:hAnsi="Georgia" w:cstheme="majorBidi"/>
      <w:b/>
      <w:bCs/>
      <w:color w:val="1F3763" w:themeColor="accent1" w:themeShade="7F"/>
      <w:sz w:val="24"/>
      <w:szCs w:val="24"/>
    </w:rPr>
  </w:style>
  <w:style w:type="character" w:customStyle="1" w:styleId="Heading4Char">
    <w:name w:val="Heading 4 Char"/>
    <w:basedOn w:val="DefaultParagraphFont"/>
    <w:link w:val="Heading4"/>
    <w:uiPriority w:val="9"/>
    <w:rsid w:val="00616CD0"/>
    <w:rPr>
      <w:rFonts w:ascii="Georgia" w:eastAsiaTheme="majorEastAsia" w:hAnsi="Georgia" w:cstheme="majorBidi"/>
      <w:color w:val="2F5496" w:themeColor="accent1" w:themeShade="BF"/>
      <w:sz w:val="24"/>
      <w:szCs w:val="24"/>
    </w:rPr>
  </w:style>
  <w:style w:type="paragraph" w:customStyle="1" w:styleId="Example">
    <w:name w:val="Example"/>
    <w:basedOn w:val="Normal"/>
    <w:qFormat/>
    <w:rsid w:val="000A3D86"/>
    <w:pPr>
      <w:spacing w:line="360" w:lineRule="atLeast"/>
    </w:pPr>
    <w:rPr>
      <w:bCs/>
    </w:rPr>
  </w:style>
  <w:style w:type="paragraph" w:styleId="Title">
    <w:name w:val="Title"/>
    <w:basedOn w:val="Normal"/>
    <w:next w:val="Normal"/>
    <w:link w:val="TitleChar"/>
    <w:uiPriority w:val="10"/>
    <w:qFormat/>
    <w:rsid w:val="00F521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A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16CD0"/>
    <w:rPr>
      <w:rFonts w:ascii="Georgia" w:eastAsiaTheme="majorEastAsia" w:hAnsi="Georgia" w:cstheme="majorBidi"/>
      <w:color w:val="2F5496" w:themeColor="accent1" w:themeShade="BF"/>
      <w:sz w:val="24"/>
      <w:szCs w:val="24"/>
    </w:rPr>
  </w:style>
  <w:style w:type="character" w:styleId="Emphasis">
    <w:name w:val="Emphasis"/>
    <w:basedOn w:val="DefaultParagraphFont"/>
    <w:uiPriority w:val="20"/>
    <w:qFormat/>
    <w:rsid w:val="00BD5B2C"/>
    <w:rPr>
      <w:i/>
      <w:iCs/>
    </w:rPr>
  </w:style>
  <w:style w:type="character" w:customStyle="1" w:styleId="Heading1Char">
    <w:name w:val="Heading 1 Char"/>
    <w:basedOn w:val="DefaultParagraphFont"/>
    <w:link w:val="Heading1"/>
    <w:uiPriority w:val="9"/>
    <w:rsid w:val="002D79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795F"/>
    <w:pPr>
      <w:spacing w:line="259" w:lineRule="auto"/>
      <w:outlineLvl w:val="9"/>
    </w:pPr>
  </w:style>
  <w:style w:type="paragraph" w:styleId="TOC2">
    <w:name w:val="toc 2"/>
    <w:basedOn w:val="Normal"/>
    <w:next w:val="Normal"/>
    <w:autoRedefine/>
    <w:uiPriority w:val="39"/>
    <w:unhideWhenUsed/>
    <w:rsid w:val="002D795F"/>
    <w:pPr>
      <w:spacing w:after="100"/>
      <w:ind w:left="240"/>
    </w:pPr>
  </w:style>
  <w:style w:type="paragraph" w:styleId="TOC3">
    <w:name w:val="toc 3"/>
    <w:basedOn w:val="Normal"/>
    <w:next w:val="Normal"/>
    <w:autoRedefine/>
    <w:uiPriority w:val="39"/>
    <w:unhideWhenUsed/>
    <w:rsid w:val="002D795F"/>
    <w:pPr>
      <w:spacing w:after="100"/>
      <w:ind w:left="480"/>
    </w:pPr>
  </w:style>
  <w:style w:type="character" w:styleId="Hyperlink">
    <w:name w:val="Hyperlink"/>
    <w:basedOn w:val="DefaultParagraphFont"/>
    <w:uiPriority w:val="99"/>
    <w:unhideWhenUsed/>
    <w:rsid w:val="002D795F"/>
    <w:rPr>
      <w:color w:val="0563C1" w:themeColor="hyperlink"/>
      <w:u w:val="single"/>
    </w:rPr>
  </w:style>
  <w:style w:type="paragraph" w:styleId="TOC4">
    <w:name w:val="toc 4"/>
    <w:basedOn w:val="Normal"/>
    <w:next w:val="Normal"/>
    <w:autoRedefine/>
    <w:uiPriority w:val="39"/>
    <w:unhideWhenUsed/>
    <w:rsid w:val="00366383"/>
    <w:pPr>
      <w:spacing w:after="100"/>
      <w:ind w:left="720"/>
    </w:pPr>
  </w:style>
  <w:style w:type="paragraph" w:styleId="TOC5">
    <w:name w:val="toc 5"/>
    <w:basedOn w:val="Normal"/>
    <w:next w:val="Normal"/>
    <w:autoRedefine/>
    <w:uiPriority w:val="39"/>
    <w:unhideWhenUsed/>
    <w:rsid w:val="00366383"/>
    <w:pPr>
      <w:spacing w:after="100"/>
      <w:ind w:left="960"/>
    </w:pPr>
  </w:style>
  <w:style w:type="table" w:styleId="TableGrid">
    <w:name w:val="Table Grid"/>
    <w:basedOn w:val="TableNormal"/>
    <w:uiPriority w:val="39"/>
    <w:rsid w:val="0005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Designation">
    <w:name w:val="Table Designation"/>
    <w:basedOn w:val="None"/>
    <w:uiPriority w:val="1"/>
    <w:qFormat/>
    <w:rsid w:val="00333A33"/>
  </w:style>
  <w:style w:type="character" w:styleId="CommentReference">
    <w:name w:val="annotation reference"/>
    <w:basedOn w:val="DefaultParagraphFont"/>
    <w:uiPriority w:val="99"/>
    <w:semiHidden/>
    <w:unhideWhenUsed/>
    <w:rsid w:val="00065C55"/>
    <w:rPr>
      <w:sz w:val="16"/>
      <w:szCs w:val="16"/>
    </w:rPr>
  </w:style>
  <w:style w:type="paragraph" w:styleId="CommentText">
    <w:name w:val="annotation text"/>
    <w:basedOn w:val="Normal"/>
    <w:link w:val="CommentTextChar"/>
    <w:uiPriority w:val="99"/>
    <w:semiHidden/>
    <w:unhideWhenUsed/>
    <w:rsid w:val="00065C55"/>
    <w:rPr>
      <w:sz w:val="20"/>
      <w:szCs w:val="20"/>
    </w:rPr>
  </w:style>
  <w:style w:type="character" w:customStyle="1" w:styleId="CommentTextChar">
    <w:name w:val="Comment Text Char"/>
    <w:basedOn w:val="DefaultParagraphFont"/>
    <w:link w:val="CommentText"/>
    <w:uiPriority w:val="99"/>
    <w:semiHidden/>
    <w:rsid w:val="00065C55"/>
    <w:rPr>
      <w:rFonts w:ascii="Times New Roman" w:eastAsia="Arial Unicode MS"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C55"/>
    <w:rPr>
      <w:b/>
      <w:bCs/>
    </w:rPr>
  </w:style>
  <w:style w:type="character" w:customStyle="1" w:styleId="CommentSubjectChar">
    <w:name w:val="Comment Subject Char"/>
    <w:basedOn w:val="CommentTextChar"/>
    <w:link w:val="CommentSubject"/>
    <w:uiPriority w:val="99"/>
    <w:semiHidden/>
    <w:rsid w:val="00065C55"/>
    <w:rPr>
      <w:rFonts w:ascii="Times New Roman" w:eastAsia="Arial Unicode MS" w:hAnsi="Times New Roman" w:cs="Times New Roman"/>
      <w:b/>
      <w:bCs/>
      <w:sz w:val="20"/>
      <w:szCs w:val="20"/>
    </w:rPr>
  </w:style>
  <w:style w:type="character" w:customStyle="1" w:styleId="ssit">
    <w:name w:val="ss_it"/>
    <w:basedOn w:val="DefaultParagraphFont"/>
    <w:rsid w:val="00E04CC0"/>
  </w:style>
  <w:style w:type="character" w:customStyle="1" w:styleId="sssh">
    <w:name w:val="ss_sh"/>
    <w:basedOn w:val="DefaultParagraphFont"/>
    <w:rsid w:val="00E04CC0"/>
  </w:style>
  <w:style w:type="character" w:customStyle="1" w:styleId="title-text">
    <w:name w:val="title-text"/>
    <w:basedOn w:val="DefaultParagraphFont"/>
    <w:rsid w:val="00F356BB"/>
  </w:style>
  <w:style w:type="character" w:customStyle="1" w:styleId="court">
    <w:name w:val="court"/>
    <w:basedOn w:val="DefaultParagraphFont"/>
    <w:rsid w:val="00F356BB"/>
  </w:style>
  <w:style w:type="character" w:customStyle="1" w:styleId="Date1">
    <w:name w:val="Date1"/>
    <w:basedOn w:val="DefaultParagraphFont"/>
    <w:rsid w:val="00F356BB"/>
  </w:style>
  <w:style w:type="character" w:customStyle="1" w:styleId="ssun">
    <w:name w:val="ss_un"/>
    <w:basedOn w:val="DefaultParagraphFont"/>
    <w:rsid w:val="004F3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0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nycourts.gov/reporter/3dseries/2015/2015_0172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52F0DB-53E1-43D8-B275-CB71DD3DDE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F68D78-7FB9-4687-A2BD-4F05C9709F0F}">
  <ds:schemaRefs>
    <ds:schemaRef ds:uri="http://schemas.openxmlformats.org/officeDocument/2006/bibliography"/>
  </ds:schemaRefs>
</ds:datastoreItem>
</file>

<file path=customXml/itemProps3.xml><?xml version="1.0" encoding="utf-8"?>
<ds:datastoreItem xmlns:ds="http://schemas.openxmlformats.org/officeDocument/2006/customXml" ds:itemID="{A6B17578-40AF-4DD4-8BDD-F149C75F7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CC23A9-347E-4A39-9764-DC21EFDEDB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7641</Words>
  <Characters>43560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Frank Bennett</cp:lastModifiedBy>
  <cp:revision>5</cp:revision>
  <dcterms:created xsi:type="dcterms:W3CDTF">2021-08-20T17:26:00Z</dcterms:created>
  <dcterms:modified xsi:type="dcterms:W3CDTF">2021-09-02T12:28:00Z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