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FDA2" w14:textId="449CA69E"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445F28">
      <w:pPr>
        <w:pStyle w:val="InklingTitle"/>
        <w:rPr>
          <w:rStyle w:val="None"/>
          <w:lang w:val="en-US"/>
        </w:rPr>
      </w:pPr>
      <w:r>
        <w:rPr>
          <w:rStyle w:val="None"/>
          <w:color w:val="4B0082"/>
          <w:lang w:val="en-US"/>
        </w:rPr>
        <w:t>Indigo Inkling</w:t>
      </w:r>
      <w:r w:rsidR="00F90E01">
        <w:rPr>
          <w:rStyle w:val="None"/>
          <w:color w:val="4B0082"/>
          <w:lang w:val="en-US"/>
        </w:rPr>
        <w:tab/>
      </w:r>
    </w:p>
    <w:p w14:paraId="7F3399CC" w14:textId="1F65E5BC" w:rsidR="00F5734E" w:rsidRDefault="00F5734E" w:rsidP="000477FA">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A350BD">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 xml:space="preserve">When providing a full citation to a case, you should </w:t>
      </w:r>
      <w:proofErr w:type="gramStart"/>
      <w:r>
        <w:rPr>
          <w:rStyle w:val="None"/>
        </w:rPr>
        <w:t>generally include</w:t>
      </w:r>
      <w:proofErr w:type="gramEnd"/>
      <w:r>
        <w:rPr>
          <w:rStyle w:val="None"/>
        </w:rPr>
        <w:t xml:space="preserve"> the following, with the court and year enclosed within a single set of parentheses:</w:t>
      </w:r>
    </w:p>
    <w:p w14:paraId="053CE2A5" w14:textId="77777777" w:rsidR="00F5734E" w:rsidRPr="001157FA" w:rsidRDefault="00F5734E" w:rsidP="499F5FAA">
      <w:pPr>
        <w:pStyle w:val="Rule"/>
        <w:numPr>
          <w:ilvl w:val="0"/>
          <w:numId w:val="21"/>
        </w:numPr>
        <w:rPr>
          <w:rStyle w:val="None"/>
        </w:rPr>
      </w:pPr>
      <w:r w:rsidRPr="499F5FAA">
        <w:rPr>
          <w:rStyle w:val="None"/>
        </w:rPr>
        <w:t xml:space="preserve">Italicized case name followed by an unitalicized </w:t>
      </w:r>
      <w:proofErr w:type="gramStart"/>
      <w:r w:rsidRPr="499F5FAA">
        <w:rPr>
          <w:rStyle w:val="None"/>
        </w:rPr>
        <w:t>comma</w:t>
      </w:r>
      <w:proofErr w:type="gramEnd"/>
    </w:p>
    <w:p w14:paraId="0BCF8AB8" w14:textId="77777777" w:rsidR="00F5734E" w:rsidRPr="001157FA" w:rsidRDefault="00F5734E" w:rsidP="499F5FAA">
      <w:pPr>
        <w:pStyle w:val="Rule"/>
        <w:numPr>
          <w:ilvl w:val="0"/>
          <w:numId w:val="21"/>
        </w:numPr>
        <w:rPr>
          <w:rStyle w:val="None"/>
        </w:rPr>
      </w:pPr>
      <w:r w:rsidRPr="499F5FAA">
        <w:rPr>
          <w:rStyle w:val="None"/>
        </w:rPr>
        <w:t>volume number, reporter, first page of the case in the reporter</w:t>
      </w:r>
    </w:p>
    <w:p w14:paraId="34095FDB" w14:textId="77777777" w:rsidR="00F5734E" w:rsidRPr="001157FA" w:rsidRDefault="00F5734E" w:rsidP="499F5FAA">
      <w:pPr>
        <w:pStyle w:val="Rule"/>
        <w:numPr>
          <w:ilvl w:val="0"/>
          <w:numId w:val="21"/>
        </w:numPr>
        <w:rPr>
          <w:rStyle w:val="None"/>
        </w:rPr>
      </w:pPr>
      <w:r w:rsidRPr="499F5FAA">
        <w:rPr>
          <w:rStyle w:val="None"/>
        </w:rPr>
        <w:t xml:space="preserve">comma, space, and </w:t>
      </w:r>
      <w:proofErr w:type="spellStart"/>
      <w:r w:rsidRPr="499F5FAA">
        <w:rPr>
          <w:rStyle w:val="None"/>
        </w:rPr>
        <w:t>pincite</w:t>
      </w:r>
      <w:proofErr w:type="spellEnd"/>
      <w:r w:rsidRPr="499F5FAA">
        <w:rPr>
          <w:rStyle w:val="None"/>
        </w:rPr>
        <w:t xml:space="preserve"> to an exact page</w:t>
      </w:r>
    </w:p>
    <w:p w14:paraId="66AF1213" w14:textId="77777777" w:rsidR="00F5734E" w:rsidRPr="001157FA" w:rsidRDefault="00F5734E" w:rsidP="499F5FAA">
      <w:pPr>
        <w:pStyle w:val="Rule"/>
        <w:numPr>
          <w:ilvl w:val="0"/>
          <w:numId w:val="21"/>
        </w:numPr>
        <w:rPr>
          <w:rStyle w:val="None"/>
        </w:rPr>
      </w:pPr>
      <w:r w:rsidRPr="499F5FAA">
        <w:rPr>
          <w:rStyle w:val="None"/>
        </w:rPr>
        <w:t xml:space="preserve">abbreviated court name (if not precisely apparent from the name of the reporter) </w:t>
      </w:r>
    </w:p>
    <w:p w14:paraId="6555419C" w14:textId="77777777" w:rsidR="00F5734E" w:rsidRPr="001157FA" w:rsidRDefault="00F5734E" w:rsidP="499F5FAA">
      <w:pPr>
        <w:pStyle w:val="Rule"/>
        <w:numPr>
          <w:ilvl w:val="0"/>
          <w:numId w:val="21"/>
        </w:numPr>
        <w:rPr>
          <w:rStyle w:val="None"/>
        </w:rPr>
      </w:pPr>
      <w:r w:rsidRPr="499F5FAA">
        <w:rPr>
          <w:rStyle w:val="None"/>
        </w:rPr>
        <w:t>year</w:t>
      </w:r>
    </w:p>
    <w:p w14:paraId="5B3C66F2" w14:textId="434DA46E" w:rsidR="00F5734E" w:rsidRDefault="00F5734E" w:rsidP="005266C0">
      <w:pPr>
        <w:pStyle w:val="Rule"/>
        <w:rPr>
          <w:rStyle w:val="None"/>
        </w:rPr>
      </w:pPr>
      <w:r>
        <w:rPr>
          <w:rStyle w:val="None"/>
        </w:rPr>
        <w:t xml:space="preserve">Case citations may also include the additional components such as a signal, subsequent history, parallel citations, and explanatory parentheticals. These additional components </w:t>
      </w:r>
      <w:proofErr w:type="gramStart"/>
      <w:r>
        <w:rPr>
          <w:rStyle w:val="None"/>
        </w:rPr>
        <w:t>are sometimes required</w:t>
      </w:r>
      <w:proofErr w:type="gramEnd"/>
      <w:r>
        <w:rPr>
          <w:rStyle w:val="None"/>
        </w:rPr>
        <w:t xml:space="preserve"> and sometimes discretionary, as determined by the case’s characteri</w:t>
      </w:r>
      <w:r w:rsidR="005F49B1">
        <w:rPr>
          <w:rStyle w:val="None"/>
        </w:rPr>
        <w:t xml:space="preserve">stics, the way the citation supports </w:t>
      </w:r>
      <w:r>
        <w:rPr>
          <w:rStyle w:val="None"/>
        </w:rPr>
        <w:t>the text, applicable court rules</w:t>
      </w:r>
      <w:r w:rsidR="00252F59">
        <w:rPr>
          <w:rStyle w:val="None"/>
        </w:rPr>
        <w:t>,</w:t>
      </w:r>
      <w:r>
        <w:rPr>
          <w:rStyle w:val="None"/>
        </w:rPr>
        <w:t xml:space="preserve"> or other audience expectations.</w:t>
      </w: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01794F">
        <w:rPr>
          <w:rStyle w:val="None"/>
        </w:rPr>
        <w:t>,</w:t>
      </w:r>
      <w:r w:rsidRPr="00BA4743">
        <w:rPr>
          <w:rStyle w:val="None"/>
        </w:rPr>
        <w:t xml:space="preserve">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0FEBC5D4"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0001794F">
        <w:rPr>
          <w:rStyle w:val="None"/>
          <w:i/>
          <w:iCs/>
        </w:rPr>
        <w:t>.</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 xml:space="preserve">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w:t>
      </w:r>
      <w:proofErr w:type="gramStart"/>
      <w:r>
        <w:rPr>
          <w:rStyle w:val="None"/>
        </w:rPr>
        <w:t>be omitted</w:t>
      </w:r>
      <w:proofErr w:type="gramEnd"/>
      <w:r>
        <w:rPr>
          <w:rStyle w:val="None"/>
        </w:rPr>
        <w:t xml:space="preserve">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1EDCC180" w14:textId="3729871E" w:rsidR="0001794F" w:rsidRPr="0001794F" w:rsidRDefault="0001794F" w:rsidP="00BA4743">
      <w:pPr>
        <w:pStyle w:val="Example"/>
        <w:rPr>
          <w:rStyle w:val="None"/>
          <w:iCs/>
        </w:rPr>
      </w:pPr>
      <w:r>
        <w:rPr>
          <w:rStyle w:val="None"/>
          <w:i/>
          <w:iCs/>
        </w:rPr>
        <w:t xml:space="preserve">Mercer Univ. v. </w:t>
      </w:r>
      <w:proofErr w:type="spellStart"/>
      <w:r>
        <w:rPr>
          <w:rStyle w:val="None"/>
          <w:i/>
          <w:iCs/>
        </w:rPr>
        <w:t>Stofer</w:t>
      </w:r>
      <w:proofErr w:type="spellEnd"/>
      <w:r>
        <w:rPr>
          <w:rStyle w:val="None"/>
          <w:iCs/>
        </w:rPr>
        <w:t>, 306 Ga. 191, 830 S.E.2d 169 (2019).</w:t>
      </w:r>
    </w:p>
    <w:p w14:paraId="5AAD8129" w14:textId="6311043F"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w:t>
      </w:r>
      <w:proofErr w:type="gramStart"/>
      <w:r w:rsidRPr="0091205B">
        <w:t>being supported</w:t>
      </w:r>
      <w:proofErr w:type="gramEnd"/>
      <w:r w:rsidRPr="0091205B">
        <w:t xml:space="preserve">)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r w:rsidRPr="00C40A67">
        <w:rPr>
          <w:rStyle w:val="None"/>
          <w:i/>
          <w:iCs/>
        </w:rPr>
        <w:t>Toolson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 xml:space="preserve">In formatting a case citation, italicize everything in the case name, but </w:t>
      </w:r>
      <w:proofErr w:type="gramStart"/>
      <w:r>
        <w:rPr>
          <w:rStyle w:val="None"/>
        </w:rPr>
        <w:t>don’t</w:t>
      </w:r>
      <w:proofErr w:type="gramEnd"/>
      <w:r>
        <w:rPr>
          <w:rStyle w:val="None"/>
        </w:rPr>
        <w:t xml:space="preserve">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27A42131"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r w:rsidR="00CB7FC4">
        <w:rPr>
          <w:rStyle w:val="None"/>
        </w:rPr>
        <w:t xml:space="preserve"> These abbreviations must </w:t>
      </w:r>
      <w:proofErr w:type="gramStart"/>
      <w:r w:rsidR="00CB7FC4">
        <w:rPr>
          <w:rStyle w:val="None"/>
        </w:rPr>
        <w:t>be followed</w:t>
      </w:r>
      <w:proofErr w:type="gramEnd"/>
      <w:r w:rsidR="00CB7FC4">
        <w:rPr>
          <w:rStyle w:val="None"/>
        </w:rPr>
        <w:t xml:space="preserve"> in addition to the general rules for truncating case names in all contexts in Rule R11.5.</w:t>
      </w:r>
    </w:p>
    <w:p w14:paraId="2DE55EAC" w14:textId="1CB4538E" w:rsidR="00211A2D" w:rsidRDefault="008A7D6A" w:rsidP="00616CD0">
      <w:pPr>
        <w:pStyle w:val="Heading5"/>
        <w:rPr>
          <w:rStyle w:val="None"/>
        </w:rPr>
      </w:pPr>
      <w:r>
        <w:rPr>
          <w:rStyle w:val="None"/>
        </w:rPr>
        <w:t>R11.3.1</w:t>
      </w:r>
      <w:r>
        <w:rPr>
          <w:rStyle w:val="None"/>
        </w:rPr>
        <w:tab/>
        <w:t>Common word a</w:t>
      </w:r>
      <w:r w:rsidR="00716289">
        <w:rPr>
          <w:rStyle w:val="None"/>
        </w:rPr>
        <w:t xml:space="preserve">bbreviations </w:t>
      </w:r>
    </w:p>
    <w:p w14:paraId="287012A2" w14:textId="6F821BB0" w:rsidR="00F5734E" w:rsidRPr="004B6E2B" w:rsidRDefault="008A7D6A" w:rsidP="004B6E2B">
      <w:pPr>
        <w:pStyle w:val="Rule"/>
        <w:ind w:left="0"/>
        <w:rPr>
          <w:rStyle w:val="None"/>
        </w:rPr>
      </w:pPr>
      <w:r w:rsidRPr="004B6E2B">
        <w:rPr>
          <w:rStyle w:val="None"/>
        </w:rPr>
        <w:t xml:space="preserve">Abbreviate </w:t>
      </w:r>
      <w:proofErr w:type="gramStart"/>
      <w:r w:rsidR="00F5734E" w:rsidRPr="004B6E2B">
        <w:rPr>
          <w:rStyle w:val="None"/>
        </w:rPr>
        <w:t>common words</w:t>
      </w:r>
      <w:proofErr w:type="gramEnd"/>
      <w:r w:rsidR="00F5734E" w:rsidRPr="004B6E2B">
        <w:rPr>
          <w:rStyle w:val="None"/>
        </w:rPr>
        <w:t xml:space="preserve">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r>
        <w:rPr>
          <w:rStyle w:val="None"/>
          <w:i/>
          <w:iCs/>
        </w:rPr>
        <w:t>Cont’l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70DBDDCD" w:rsidR="008A7D6A" w:rsidRPr="004B6E2B" w:rsidRDefault="00716289" w:rsidP="004B6E2B">
      <w:pPr>
        <w:pStyle w:val="Rule"/>
        <w:ind w:left="0"/>
        <w:rPr>
          <w:rStyle w:val="None"/>
        </w:rPr>
      </w:pPr>
      <w:r>
        <w:t>A</w:t>
      </w:r>
      <w:r w:rsidR="008A7D6A" w:rsidRPr="004B6E2B">
        <w:t xml:space="preserve">bbreviate geographical locations according to </w:t>
      </w:r>
      <w:r w:rsidR="008A7D6A" w:rsidRPr="004B6E2B">
        <w:rPr>
          <w:rStyle w:val="Rulereferencecharacterstyle"/>
        </w:rPr>
        <w:t>Table T12</w:t>
      </w:r>
      <w:r w:rsidR="008A7D6A" w:rsidRPr="004B6E2B">
        <w:t xml:space="preserve">. </w:t>
      </w:r>
      <w:r w:rsidR="008A7D6A"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1A6A1E38" w:rsidR="004B6E2B" w:rsidRDefault="004B6E2B" w:rsidP="004B6E2B">
      <w:pPr>
        <w:pStyle w:val="Example"/>
        <w:ind w:left="1440"/>
        <w:rPr>
          <w:rStyle w:val="None"/>
          <w:i/>
          <w:iCs/>
        </w:rPr>
      </w:pPr>
      <w:r w:rsidRPr="004B6E2B">
        <w:rPr>
          <w:rStyle w:val="None"/>
          <w:i/>
          <w:iCs/>
        </w:rPr>
        <w:t>S.D. v. Fifteen Impounded Cats</w:t>
      </w:r>
    </w:p>
    <w:p w14:paraId="74160529" w14:textId="77777777" w:rsidR="005266C0" w:rsidRPr="004B6E2B" w:rsidRDefault="005266C0" w:rsidP="004B6E2B">
      <w:pPr>
        <w:pStyle w:val="Example"/>
        <w:ind w:left="1440"/>
        <w:rPr>
          <w:rStyle w:val="None"/>
          <w:i/>
          <w:iCs/>
        </w:rPr>
      </w:pPr>
    </w:p>
    <w:p w14:paraId="16E5CDFC" w14:textId="6A774DAF" w:rsidR="00B07FA5" w:rsidRDefault="004B6E2B" w:rsidP="00616CD0">
      <w:pPr>
        <w:pStyle w:val="Heading5"/>
        <w:rPr>
          <w:rStyle w:val="None"/>
        </w:rPr>
      </w:pPr>
      <w:r>
        <w:rPr>
          <w:rStyle w:val="None"/>
        </w:rPr>
        <w:t xml:space="preserve">R11.3.3 </w:t>
      </w:r>
      <w:r>
        <w:rPr>
          <w:rStyle w:val="None"/>
        </w:rPr>
        <w:tab/>
      </w:r>
      <w:r w:rsidR="00716289">
        <w:rPr>
          <w:rStyle w:val="None"/>
        </w:rPr>
        <w:t>Discretionary abbreviations</w:t>
      </w:r>
    </w:p>
    <w:p w14:paraId="64BA580C" w14:textId="08582E7B" w:rsidR="004B6E2B" w:rsidRPr="00FD51BA" w:rsidRDefault="004B6E2B" w:rsidP="00FD51BA">
      <w:pPr>
        <w:pStyle w:val="Rule"/>
        <w:ind w:left="0"/>
        <w:rPr>
          <w:rStyle w:val="None"/>
        </w:rPr>
      </w:pPr>
      <w:r w:rsidRPr="00FD51BA">
        <w:rPr>
          <w:rStyle w:val="None"/>
        </w:rPr>
        <w:t xml:space="preserve">If the resulting abbreviation is not ambiguous, words of eight or more letters may </w:t>
      </w:r>
      <w:proofErr w:type="gramStart"/>
      <w:r w:rsidRPr="00FD51BA">
        <w:rPr>
          <w:rStyle w:val="None"/>
        </w:rPr>
        <w:t>be abbreviated</w:t>
      </w:r>
      <w:proofErr w:type="gramEnd"/>
      <w:r w:rsidRPr="00FD51BA">
        <w:rPr>
          <w:rStyle w:val="None"/>
        </w:rPr>
        <w:t xml:space="preserve"> to save substantial space in citation sentence</w:t>
      </w:r>
      <w:r w:rsidR="00716289">
        <w:rPr>
          <w:rStyle w:val="None"/>
        </w:rPr>
        <w:t>s and clause</w:t>
      </w:r>
      <w:r w:rsidRPr="00FD51BA">
        <w:rPr>
          <w:rStyle w:val="None"/>
        </w:rPr>
        <w:t xml:space="preserve">s. As a guide, remember that citation sentences and clauses stand apart from the prose text they support, and thus can prioritize efficiency over readability; but </w:t>
      </w:r>
      <w:r w:rsidR="00FD51BA" w:rsidRPr="00FD51BA">
        <w:rPr>
          <w:rStyle w:val="None"/>
        </w:rPr>
        <w:t xml:space="preserve">clarity and preciseness are still </w:t>
      </w:r>
      <w:proofErr w:type="gramStart"/>
      <w:r w:rsidR="00716289">
        <w:rPr>
          <w:rStyle w:val="None"/>
        </w:rPr>
        <w:t>important factors</w:t>
      </w:r>
      <w:proofErr w:type="gramEnd"/>
      <w:r w:rsidR="00716289">
        <w:rPr>
          <w:rStyle w:val="None"/>
        </w:rPr>
        <w:t>.</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578C8B12" w:rsidR="00050D8E" w:rsidRDefault="00FD51BA" w:rsidP="00083161">
      <w:pPr>
        <w:pStyle w:val="Rule"/>
        <w:ind w:left="0"/>
        <w:rPr>
          <w:rStyle w:val="None"/>
        </w:rPr>
      </w:pPr>
      <w:r>
        <w:rPr>
          <w:rStyle w:val="None"/>
        </w:rPr>
        <w:t>Textual sentences</w:t>
      </w:r>
      <w:r w:rsidR="00A81540">
        <w:rPr>
          <w:rStyle w:val="None"/>
        </w:rPr>
        <w:t>—</w:t>
      </w:r>
      <w:proofErr w:type="gramStart"/>
      <w:r w:rsidR="00A81540">
        <w:rPr>
          <w:rStyle w:val="None"/>
        </w:rPr>
        <w:t>i.e.</w:t>
      </w:r>
      <w:proofErr w:type="gramEnd"/>
      <w:r w:rsidR="00A81540">
        <w:rPr>
          <w:rStyle w:val="None"/>
        </w:rPr>
        <w:t xml:space="preserv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r w:rsidR="00CB7FC4">
        <w:rPr>
          <w:rStyle w:val="None"/>
        </w:rPr>
        <w:t xml:space="preserve"> While abbreviations </w:t>
      </w:r>
      <w:proofErr w:type="gramStart"/>
      <w:r w:rsidR="00CB7FC4">
        <w:rPr>
          <w:rStyle w:val="None"/>
        </w:rPr>
        <w:t>are limited</w:t>
      </w:r>
      <w:proofErr w:type="gramEnd"/>
      <w:r w:rsidR="00CB7FC4">
        <w:rPr>
          <w:rStyle w:val="None"/>
        </w:rPr>
        <w:t xml:space="preserve">, note that the general rules for truncating case names in R11.5 still apply. Thus, </w:t>
      </w:r>
      <w:proofErr w:type="gramStart"/>
      <w:r w:rsidR="00CB7FC4">
        <w:rPr>
          <w:rStyle w:val="None"/>
        </w:rPr>
        <w:t>many</w:t>
      </w:r>
      <w:proofErr w:type="gramEnd"/>
      <w:r w:rsidR="00CB7FC4">
        <w:rPr>
          <w:rStyle w:val="None"/>
        </w:rPr>
        <w:t xml:space="preserve"> words are omitted following R11.5, but the words that are included are not abbreviated unless allowed by this rule. The guiding principles are shortening long case names while preserving readability in textual sentences. </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4963"/>
        <w:gridCol w:w="4387"/>
      </w:tblGrid>
      <w:tr w:rsidR="004447BA" w:rsidRPr="001965A7" w14:paraId="44CA283D" w14:textId="5DFCAA88" w:rsidTr="00445F28">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Texas Department of Community Affairs v. Burdine</w:t>
      </w:r>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6D92154E" w:rsidR="009F27B4" w:rsidRDefault="00CB7FC4" w:rsidP="003D1967">
      <w:pPr>
        <w:pStyle w:val="Rule"/>
        <w:ind w:left="0"/>
        <w:rPr>
          <w:rStyle w:val="None"/>
        </w:rPr>
      </w:pPr>
      <w:proofErr w:type="gramStart"/>
      <w:r>
        <w:rPr>
          <w:rStyle w:val="None"/>
        </w:rPr>
        <w:t>Many</w:t>
      </w:r>
      <w:proofErr w:type="gramEnd"/>
      <w:r>
        <w:rPr>
          <w:rStyle w:val="None"/>
        </w:rPr>
        <w:t xml:space="preserve"> case-name truncations are used in all contexts, including citation sentences and clauses as well as in textual sentences incorporating case names.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Pr>
          <w:rStyle w:val="None"/>
        </w:rPr>
        <w:t xml:space="preserve">Rule R11.3 and </w:t>
      </w:r>
      <w:r w:rsidR="000D0B7B" w:rsidRPr="00CF6869">
        <w:rPr>
          <w:rStyle w:val="Rulereferencecharacterstyle"/>
        </w:rPr>
        <w:t>Table</w:t>
      </w:r>
      <w:r>
        <w:rPr>
          <w:rStyle w:val="Rulereferencecharacterstyle"/>
        </w:rPr>
        <w:t>s</w:t>
      </w:r>
      <w:r w:rsidR="000D0B7B" w:rsidRPr="00CF6869">
        <w:rPr>
          <w:rStyle w:val="Rulereferencecharacterstyle"/>
        </w:rPr>
        <w:t xml:space="preserv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Leeuwen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Only include the surname of the first-listed party of the plaintiffs and the surname of the first-listed party of the defendants. Do not use “et al.” to indicate omitted additional parties.</w:t>
      </w:r>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25CCEE81" w:rsidR="00246CA6" w:rsidRDefault="00445F28" w:rsidP="00246CA6">
      <w:pPr>
        <w:pStyle w:val="Example"/>
        <w:ind w:left="720"/>
        <w:rPr>
          <w:rStyle w:val="None"/>
        </w:rPr>
      </w:pPr>
      <w:r>
        <w:rPr>
          <w:rStyle w:val="None"/>
          <w:i/>
          <w:iCs/>
        </w:rPr>
        <w:t>Red Lion Broadcasting</w:t>
      </w:r>
      <w:r w:rsidR="00F5734E">
        <w:rPr>
          <w:rStyle w:val="None"/>
          <w:i/>
          <w:iCs/>
        </w:rPr>
        <w:t xml:space="preserve"> Co. v. FCC</w:t>
      </w:r>
      <w:r w:rsidR="00F5734E">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w:t>
      </w:r>
      <w:proofErr w:type="gramStart"/>
      <w:r w:rsidR="006B05D1">
        <w:rPr>
          <w:rStyle w:val="None"/>
          <w:color w:val="auto"/>
          <w:lang w:val="en-US"/>
        </w:rPr>
        <w:t>is drawn</w:t>
      </w:r>
      <w:proofErr w:type="gramEnd"/>
      <w:r w:rsidR="006B05D1">
        <w:rPr>
          <w:rStyle w:val="None"/>
          <w:color w:val="auto"/>
          <w:lang w:val="en-US"/>
        </w:rPr>
        <w:t xml:space="preserve"> from the first letter of each word but pronounced as a word, whereas FBI is a sub-type of abbreviation called an initialism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w:t>
      </w:r>
      <w:proofErr w:type="gramStart"/>
      <w:r w:rsidRPr="00EC581B">
        <w:rPr>
          <w:rStyle w:val="None"/>
          <w:color w:val="auto"/>
          <w:lang w:val="en-US"/>
        </w:rPr>
        <w:t>are used</w:t>
      </w:r>
      <w:proofErr w:type="gramEnd"/>
      <w:r w:rsidRPr="00EC581B">
        <w:rPr>
          <w:rStyle w:val="None"/>
          <w:color w:val="auto"/>
          <w:lang w:val="en-US"/>
        </w:rPr>
        <w:t xml:space="preserve">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w:t>
      </w:r>
      <w:proofErr w:type="gramStart"/>
      <w:r w:rsidR="003F1043">
        <w:rPr>
          <w:rStyle w:val="None"/>
          <w:color w:val="auto"/>
          <w:lang w:val="en-US"/>
        </w:rPr>
        <w:t>don’t</w:t>
      </w:r>
      <w:proofErr w:type="gramEnd"/>
      <w:r w:rsidR="003F1043">
        <w:rPr>
          <w:rStyle w:val="None"/>
          <w:color w:val="auto"/>
          <w:lang w:val="en-US"/>
        </w:rPr>
        <w:t xml:space="preserve">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Delaware Riverkeeper Network v. FERC</w:t>
      </w:r>
      <w:r w:rsidRPr="00EC581B">
        <w:rPr>
          <w:rStyle w:val="None"/>
          <w:color w:val="auto"/>
          <w:lang w:val="en-US"/>
        </w:rPr>
        <w:t>, 753 F.3d 1304, 1321 (D.C. Cir. 2014) (Silberman, J., concurring). With this judge’s aggravation in mind, use only those abbreviations and acronyms that are easy to understand and make the reader’s work easier</w:t>
      </w:r>
      <w:proofErr w:type="gramStart"/>
      <w:r w:rsidRPr="00EC581B">
        <w:rPr>
          <w:rStyle w:val="None"/>
          <w:color w:val="auto"/>
          <w:lang w:val="en-US"/>
        </w:rPr>
        <w:t xml:space="preserve">.  </w:t>
      </w:r>
      <w:proofErr w:type="gramEnd"/>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4D8FBFBB" w:rsidR="00F5734E" w:rsidRDefault="00EE25E8" w:rsidP="499F5FAA">
      <w:pPr>
        <w:pStyle w:val="Example"/>
        <w:ind w:left="720"/>
        <w:rPr>
          <w:rStyle w:val="None"/>
          <w:i/>
          <w:iCs/>
        </w:rPr>
      </w:pPr>
      <w:r w:rsidRPr="499F5FAA">
        <w:rPr>
          <w:rStyle w:val="None"/>
          <w:b/>
        </w:rPr>
        <w:t>Correct</w:t>
      </w:r>
      <w:r w:rsidR="00F5734E" w:rsidRPr="499F5FAA">
        <w:rPr>
          <w:rStyle w:val="None"/>
          <w:b/>
        </w:rPr>
        <w:t>:</w:t>
      </w:r>
      <w:r w:rsidR="00F5734E" w:rsidRPr="499F5FAA">
        <w:rPr>
          <w:rStyle w:val="None"/>
        </w:rPr>
        <w:t> </w:t>
      </w:r>
      <w:r>
        <w:tab/>
      </w:r>
      <w:r w:rsidR="00F5734E" w:rsidRPr="499F5FAA">
        <w:rPr>
          <w:rStyle w:val="None"/>
          <w:i/>
          <w:iCs/>
        </w:rPr>
        <w:t xml:space="preserve">Jackson v. </w:t>
      </w:r>
      <w:proofErr w:type="spellStart"/>
      <w:r w:rsidR="00F5734E" w:rsidRPr="499F5FAA">
        <w:rPr>
          <w:rStyle w:val="None"/>
          <w:i/>
          <w:iCs/>
        </w:rPr>
        <w:t>Leviston</w:t>
      </w:r>
      <w:proofErr w:type="spellEnd"/>
      <w:r>
        <w:br/>
      </w:r>
      <w:r w:rsidRPr="499F5FAA">
        <w:rPr>
          <w:rStyle w:val="None"/>
          <w:b/>
        </w:rPr>
        <w:t>Incorrect</w:t>
      </w:r>
      <w:r w:rsidR="00F5734E" w:rsidRPr="499F5FAA">
        <w:rPr>
          <w:rStyle w:val="None"/>
          <w:b/>
        </w:rPr>
        <w:t>:</w:t>
      </w:r>
      <w:r w:rsidR="00F5734E" w:rsidRPr="499F5FAA">
        <w:rPr>
          <w:rStyle w:val="None"/>
        </w:rPr>
        <w:t> </w:t>
      </w:r>
      <w:r w:rsidR="002C421C">
        <w:rPr>
          <w:rStyle w:val="None"/>
        </w:rPr>
        <w:tab/>
      </w:r>
      <w:r w:rsidR="00F5734E" w:rsidRPr="499F5FAA">
        <w:rPr>
          <w:rStyle w:val="None"/>
          <w:i/>
          <w:iCs/>
        </w:rPr>
        <w:t xml:space="preserve">Curtis James Jackson III, p/k/a 50 Cent v. </w:t>
      </w:r>
      <w:proofErr w:type="spellStart"/>
      <w:r w:rsidR="00F5734E" w:rsidRPr="499F5FAA">
        <w:rPr>
          <w:rStyle w:val="None"/>
          <w:i/>
          <w:iCs/>
        </w:rPr>
        <w:t>Lastonia</w:t>
      </w:r>
      <w:proofErr w:type="spellEnd"/>
      <w:r w:rsidR="00F5734E" w:rsidRPr="499F5FAA">
        <w:rPr>
          <w:rStyle w:val="None"/>
          <w:i/>
          <w:iCs/>
        </w:rPr>
        <w:t xml:space="preserve"> </w:t>
      </w:r>
      <w:proofErr w:type="spellStart"/>
      <w:r w:rsidR="00F5734E" w:rsidRPr="499F5FAA">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 xml:space="preserve">Omit terms such as “L.L.C.” and “Inc.” that indicate the party is a business when that fact is made clear because the </w:t>
      </w:r>
      <w:proofErr w:type="gramStart"/>
      <w:r>
        <w:rPr>
          <w:rStyle w:val="None"/>
        </w:rPr>
        <w:t>party</w:t>
      </w:r>
      <w:proofErr w:type="gramEnd"/>
      <w:r>
        <w:rPr>
          <w:rStyle w:val="None"/>
        </w:rPr>
        <w:t xml:space="preserve">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xml:space="preserve">” when the case name also contains the name of an adversary; use the </w:t>
      </w:r>
      <w:proofErr w:type="gramStart"/>
      <w:r>
        <w:rPr>
          <w:rStyle w:val="None"/>
        </w:rPr>
        <w:t>adversary</w:t>
      </w:r>
      <w:proofErr w:type="gramEnd"/>
      <w:r>
        <w:rPr>
          <w:rStyle w:val="None"/>
        </w:rPr>
        <w:t xml:space="preserve">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United States v. </w:t>
      </w:r>
      <w:proofErr w:type="gramStart"/>
      <w:r w:rsidR="00F5734E">
        <w:rPr>
          <w:rStyle w:val="None"/>
          <w:i/>
          <w:iCs/>
        </w:rPr>
        <w:t>Ninety Five</w:t>
      </w:r>
      <w:proofErr w:type="gramEnd"/>
      <w:r w:rsidR="00F5734E">
        <w:rPr>
          <w:rStyle w:val="None"/>
          <w:i/>
          <w:iCs/>
        </w:rPr>
        <w:t xml:space="preser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 xml:space="preserve">Note that “United States” may </w:t>
      </w:r>
      <w:proofErr w:type="gramStart"/>
      <w:r>
        <w:rPr>
          <w:rStyle w:val="None"/>
        </w:rPr>
        <w:t>be abbreviated</w:t>
      </w:r>
      <w:proofErr w:type="gramEnd"/>
      <w:r>
        <w:rPr>
          <w:rStyle w:val="None"/>
        </w:rPr>
        <w:t xml:space="preserve">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Republic of Korea v. Ahn</w:t>
      </w:r>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Republic v. Anh</w:t>
      </w:r>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Korea v. Ahn</w:t>
      </w:r>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proofErr w:type="gramStart"/>
      <w:r>
        <w:rPr>
          <w:rStyle w:val="None"/>
          <w:i/>
          <w:iCs/>
        </w:rPr>
        <w:t>in rem</w:t>
      </w:r>
      <w:proofErr w:type="gramEnd"/>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 xml:space="preserve">The Commissioner of Internal Revenue should </w:t>
      </w:r>
      <w:proofErr w:type="gramStart"/>
      <w:r>
        <w:rPr>
          <w:rStyle w:val="None"/>
        </w:rPr>
        <w:t>be cited</w:t>
      </w:r>
      <w:proofErr w:type="gramEnd"/>
      <w:r>
        <w:rPr>
          <w:rStyle w:val="None"/>
        </w:rPr>
        <w:t xml:space="preserve"> as “Commissioner” (abbreviated as “Comm’r”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w:t>
      </w:r>
      <w:proofErr w:type="gramStart"/>
      <w:r w:rsidR="0096029F">
        <w:rPr>
          <w:rStyle w:val="None"/>
        </w:rPr>
        <w:t>are allowed</w:t>
      </w:r>
      <w:proofErr w:type="gramEnd"/>
      <w:r w:rsidR="0096029F">
        <w:rPr>
          <w:rStyle w:val="None"/>
        </w:rPr>
        <w:t xml:space="preserve">. </w:t>
      </w:r>
      <w:proofErr w:type="gramStart"/>
      <w:r>
        <w:rPr>
          <w:rStyle w:val="None"/>
        </w:rPr>
        <w:t xml:space="preserve">But </w:t>
      </w:r>
      <w:r w:rsidR="0051316F">
        <w:rPr>
          <w:rStyle w:val="None"/>
        </w:rPr>
        <w:t>generally</w:t>
      </w:r>
      <w:r w:rsidR="00BC4BFF">
        <w:rPr>
          <w:rStyle w:val="None"/>
        </w:rPr>
        <w:t>,</w:t>
      </w:r>
      <w:r w:rsidR="0051316F">
        <w:rPr>
          <w:rStyle w:val="None"/>
        </w:rPr>
        <w:t xml:space="preserve"> omit</w:t>
      </w:r>
      <w:proofErr w:type="gramEnd"/>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520C24DA"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Union Pacific R</w:t>
      </w:r>
      <w:r w:rsidR="00F927E7">
        <w:rPr>
          <w:rStyle w:val="None"/>
          <w:i/>
          <w:iCs/>
        </w:rPr>
        <w:t>ailro</w:t>
      </w:r>
      <w:r w:rsidR="00445F28">
        <w:rPr>
          <w:rStyle w:val="None"/>
          <w:i/>
          <w:iCs/>
        </w:rPr>
        <w:t>a</w:t>
      </w:r>
      <w:r w:rsidR="00F927E7">
        <w:rPr>
          <w:rStyle w:val="None"/>
          <w:i/>
          <w:iCs/>
        </w:rPr>
        <w:t>d</w:t>
      </w:r>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r>
        <w:rPr>
          <w:rStyle w:val="None"/>
          <w:i/>
          <w:iCs/>
        </w:rPr>
        <w:t>Liriano v. Hobart Corp. </w:t>
      </w:r>
      <w:r>
        <w:rPr>
          <w:rStyle w:val="None"/>
        </w:rPr>
        <w:t>(</w:t>
      </w:r>
      <w:r>
        <w:rPr>
          <w:rStyle w:val="None"/>
          <w:i/>
          <w:iCs/>
        </w:rPr>
        <w:t>Liriano II</w:t>
      </w:r>
      <w:r>
        <w:rPr>
          <w:rStyle w:val="None"/>
        </w:rPr>
        <w:t>), 92 N.Y.2d 232 (1998).</w:t>
      </w:r>
    </w:p>
    <w:p w14:paraId="3FF04451" w14:textId="7F71D952" w:rsidR="00F5734E" w:rsidRDefault="00F5734E" w:rsidP="005A0AFE">
      <w:pPr>
        <w:pStyle w:val="Example"/>
        <w:ind w:left="720"/>
        <w:rPr>
          <w:rStyle w:val="None"/>
        </w:rPr>
      </w:pPr>
      <w:r>
        <w:rPr>
          <w:rStyle w:val="None"/>
          <w:i/>
          <w:iCs/>
        </w:rPr>
        <w:t>Liriano v. Hobart Corp. </w:t>
      </w:r>
      <w:r>
        <w:rPr>
          <w:rStyle w:val="None"/>
        </w:rPr>
        <w:t>(</w:t>
      </w:r>
      <w:r w:rsidR="00EF0332">
        <w:rPr>
          <w:rStyle w:val="None"/>
          <w:i/>
          <w:iCs/>
        </w:rPr>
        <w:t>Lir</w:t>
      </w:r>
      <w:r>
        <w:rPr>
          <w:rStyle w:val="None"/>
          <w:i/>
          <w:iCs/>
        </w:rPr>
        <w:t>i</w:t>
      </w:r>
      <w:r w:rsidR="00EF0332">
        <w:rPr>
          <w:rStyle w:val="None"/>
          <w:i/>
          <w:iCs/>
        </w:rPr>
        <w:t>a</w:t>
      </w:r>
      <w:r>
        <w:rPr>
          <w:rStyle w:val="None"/>
          <w:i/>
          <w:iCs/>
        </w:rPr>
        <w:t>no III</w:t>
      </w:r>
      <w:r>
        <w:rPr>
          <w:rStyle w:val="None"/>
        </w:rPr>
        <w:t>), 170 F.3d 264, 266 (2d Cir. 1999) (citing </w:t>
      </w:r>
      <w:r>
        <w:rPr>
          <w:rStyle w:val="None"/>
          <w:i/>
          <w:iCs/>
        </w:rPr>
        <w:t>Liriano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 xml:space="preserve">If a mandamus action is known by the name of the judge against whom the writ </w:t>
      </w:r>
      <w:proofErr w:type="gramStart"/>
      <w:r>
        <w:rPr>
          <w:rStyle w:val="None"/>
        </w:rPr>
        <w:t>is sought</w:t>
      </w:r>
      <w:proofErr w:type="gramEnd"/>
      <w:r>
        <w:rPr>
          <w:rStyle w:val="None"/>
        </w:rPr>
        <w: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 xml:space="preserve">Cases known by a distinct </w:t>
      </w:r>
      <w:proofErr w:type="gramStart"/>
      <w:r>
        <w:rPr>
          <w:rStyle w:val="None"/>
        </w:rPr>
        <w:t>name</w:t>
      </w:r>
      <w:bookmarkEnd w:id="25"/>
      <w:proofErr w:type="gramEnd"/>
      <w:r>
        <w:rPr>
          <w:rStyle w:val="None"/>
        </w:rPr>
        <w:t xml:space="preserve"> </w:t>
      </w:r>
    </w:p>
    <w:p w14:paraId="7C09CC80" w14:textId="77777777" w:rsidR="00F5734E" w:rsidRDefault="00F5734E" w:rsidP="00DD3D75">
      <w:pPr>
        <w:pStyle w:val="Rule"/>
        <w:ind w:left="0"/>
        <w:rPr>
          <w:rStyle w:val="None"/>
        </w:rPr>
      </w:pPr>
      <w:r>
        <w:rPr>
          <w:rStyle w:val="None"/>
        </w:rPr>
        <w:t xml:space="preserve">If a case is known both by the reported name and a distinct short form name, always include the reported name in a full citation. The short name may </w:t>
      </w:r>
      <w:proofErr w:type="gramStart"/>
      <w:r>
        <w:rPr>
          <w:rStyle w:val="None"/>
        </w:rPr>
        <w:t>be included</w:t>
      </w:r>
      <w:proofErr w:type="gramEnd"/>
      <w:r>
        <w:rPr>
          <w:rStyle w:val="None"/>
        </w:rPr>
        <w:t xml:space="preserve">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 xml:space="preserve">Gucci America, Inc. v. </w:t>
            </w:r>
            <w:proofErr w:type="gramStart"/>
            <w:r>
              <w:rPr>
                <w:rStyle w:val="None"/>
                <w:i/>
                <w:iCs/>
                <w:sz w:val="20"/>
                <w:szCs w:val="20"/>
                <w:lang w:val="en-US"/>
              </w:rPr>
              <w:t>Guess?,</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 xml:space="preserve">Federal and state </w:t>
      </w:r>
      <w:proofErr w:type="gramStart"/>
      <w:r>
        <w:rPr>
          <w:rStyle w:val="None"/>
        </w:rPr>
        <w:t>jurisdictions</w:t>
      </w:r>
      <w:proofErr w:type="gramEnd"/>
      <w:r>
        <w:rPr>
          <w:rStyle w:val="None"/>
        </w:rPr>
        <w:t xml:space="preserve">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350"/>
      </w:tblGrid>
      <w:tr w:rsidR="00B6404F" w14:paraId="59BB5B5E" w14:textId="77777777" w:rsidTr="00B6404F">
        <w:tc>
          <w:tcPr>
            <w:tcW w:w="9576" w:type="dxa"/>
          </w:tcPr>
          <w:p w14:paraId="44CF2496" w14:textId="0B01F627" w:rsidR="00B6404F" w:rsidRDefault="00B6404F" w:rsidP="00B6404F">
            <w:pPr>
              <w:pStyle w:val="Rule"/>
              <w:ind w:left="0"/>
              <w:rPr>
                <w:rStyle w:val="None"/>
              </w:rPr>
            </w:pPr>
            <w:r>
              <w:rPr>
                <w:rStyle w:val="None"/>
              </w:rPr>
              <w:t xml:space="preserve">United States Supreme Court cases </w:t>
            </w:r>
            <w:proofErr w:type="gramStart"/>
            <w:r>
              <w:rPr>
                <w:rStyle w:val="None"/>
              </w:rPr>
              <w:t>are printed</w:t>
            </w:r>
            <w:proofErr w:type="gramEnd"/>
            <w:r>
              <w:rPr>
                <w:rStyle w:val="None"/>
              </w:rPr>
              <w:t xml:space="preserve"> in the official United States Reports, cited as &lt;vol.&gt; U.S. &lt;page&gt;. The publication of the United States Reports </w:t>
            </w:r>
            <w:proofErr w:type="gramStart"/>
            <w:r>
              <w:rPr>
                <w:rStyle w:val="None"/>
              </w:rPr>
              <w:t>is significantly delayed</w:t>
            </w:r>
            <w:proofErr w:type="gramEnd"/>
            <w:r>
              <w:rPr>
                <w:rStyle w:val="None"/>
              </w:rPr>
              <w:t xml:space="preserve"> from opinions’ decision date</w:t>
            </w:r>
            <w:r w:rsidR="007C5E45">
              <w:rPr>
                <w:rStyle w:val="None"/>
              </w:rPr>
              <w:t xml:space="preserve">, although </w:t>
            </w:r>
            <w:r w:rsidR="00E572A4">
              <w:rPr>
                <w:rStyle w:val="None"/>
              </w:rPr>
              <w:t xml:space="preserve">in October Term 2022, the Court </w:t>
            </w:r>
            <w:r w:rsidR="00EB4C38">
              <w:rPr>
                <w:rStyle w:val="None"/>
              </w:rPr>
              <w:t xml:space="preserve">began to release </w:t>
            </w:r>
            <w:r w:rsidR="0051199A">
              <w:rPr>
                <w:rStyle w:val="None"/>
              </w:rPr>
              <w:t xml:space="preserve">preliminary pagination </w:t>
            </w:r>
            <w:r w:rsidR="00EB4C38">
              <w:rPr>
                <w:rStyle w:val="None"/>
              </w:rPr>
              <w:t xml:space="preserve">for some </w:t>
            </w:r>
            <w:r w:rsidR="0051199A">
              <w:rPr>
                <w:rStyle w:val="None"/>
              </w:rPr>
              <w:t xml:space="preserve">cases. Where </w:t>
            </w:r>
            <w:r w:rsidR="00BD440D">
              <w:rPr>
                <w:rStyle w:val="None"/>
              </w:rPr>
              <w:t xml:space="preserve">pagination is </w:t>
            </w:r>
            <w:r w:rsidR="0051199A">
              <w:rPr>
                <w:rStyle w:val="None"/>
              </w:rPr>
              <w:t xml:space="preserve">available, </w:t>
            </w:r>
            <w:r w:rsidR="00EB4C38">
              <w:rPr>
                <w:rStyle w:val="None"/>
              </w:rPr>
              <w:t>the U</w:t>
            </w:r>
            <w:r w:rsidR="004335F9">
              <w:rPr>
                <w:rStyle w:val="None"/>
              </w:rPr>
              <w:t xml:space="preserve">nited States </w:t>
            </w:r>
            <w:r w:rsidR="00EB4C38">
              <w:rPr>
                <w:rStyle w:val="None"/>
              </w:rPr>
              <w:t xml:space="preserve">Reports citation should </w:t>
            </w:r>
            <w:proofErr w:type="gramStart"/>
            <w:r w:rsidR="00EB4C38">
              <w:rPr>
                <w:rStyle w:val="None"/>
              </w:rPr>
              <w:t xml:space="preserve">be </w:t>
            </w:r>
            <w:r w:rsidR="0051199A">
              <w:rPr>
                <w:rStyle w:val="None"/>
              </w:rPr>
              <w:t>used</w:t>
            </w:r>
            <w:proofErr w:type="gramEnd"/>
            <w:r>
              <w:rPr>
                <w:rStyle w:val="None"/>
              </w:rPr>
              <w:t xml:space="preserve">. </w:t>
            </w:r>
            <w:proofErr w:type="gramStart"/>
            <w:r w:rsidR="00BD440D">
              <w:rPr>
                <w:rStyle w:val="None"/>
              </w:rPr>
              <w:t>Otherwise</w:t>
            </w:r>
            <w:proofErr w:type="gramEnd"/>
            <w:r w:rsidR="00BD440D">
              <w:rPr>
                <w:rStyle w:val="None"/>
              </w:rPr>
              <w:t xml:space="preserve"> and until the official citation and pagination are released</w:t>
            </w:r>
            <w:r>
              <w:rPr>
                <w:rStyle w:val="None"/>
              </w:rPr>
              <w:t xml:space="preserve">, use </w:t>
            </w:r>
            <w:r w:rsidR="000C7C3F">
              <w:rPr>
                <w:rStyle w:val="None"/>
              </w:rPr>
              <w:t>West</w:t>
            </w:r>
            <w:r w:rsidR="00A74FA1">
              <w:rPr>
                <w:rStyle w:val="None"/>
              </w:rPr>
              <w:t>’s</w:t>
            </w:r>
            <w:r w:rsidR="000C7C3F">
              <w:rPr>
                <w:rStyle w:val="None"/>
              </w:rPr>
              <w:t xml:space="preserve"> </w:t>
            </w:r>
            <w:r>
              <w:rPr>
                <w:rStyle w:val="None"/>
              </w:rPr>
              <w:t>Supreme Court Report</w:t>
            </w:r>
            <w:r w:rsidR="000C7C3F">
              <w:rPr>
                <w:rStyle w:val="None"/>
              </w:rPr>
              <w:t>er</w:t>
            </w:r>
            <w:r>
              <w:rPr>
                <w:rStyle w:val="None"/>
              </w:rPr>
              <w:t xml:space="preserve">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w:t>
            </w:r>
            <w:proofErr w:type="gramStart"/>
            <w:r w:rsidRPr="00BD2104">
              <w:rPr>
                <w:rStyle w:val="None"/>
              </w:rPr>
              <w:t>are printed</w:t>
            </w:r>
            <w:proofErr w:type="gramEnd"/>
            <w:r w:rsidRPr="00BD2104">
              <w:rPr>
                <w:rStyle w:val="None"/>
              </w:rPr>
              <w:t xml:space="preserve">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 xml:space="preserve">Federal district court cases </w:t>
            </w:r>
            <w:proofErr w:type="gramStart"/>
            <w:r w:rsidRPr="00BD2104">
              <w:rPr>
                <w:rStyle w:val="None"/>
              </w:rPr>
              <w:t>are printed</w:t>
            </w:r>
            <w:proofErr w:type="gramEnd"/>
            <w:r w:rsidRPr="00BD2104">
              <w:rPr>
                <w:rStyle w:val="None"/>
              </w:rPr>
              <w:t xml:space="preserve">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w:t>
            </w:r>
            <w:proofErr w:type="gramStart"/>
            <w:r w:rsidRPr="00BD2104">
              <w:rPr>
                <w:rStyle w:val="None"/>
              </w:rPr>
              <w:t>m</w:t>
            </w:r>
            <w:r>
              <w:rPr>
                <w:rStyle w:val="None"/>
              </w:rPr>
              <w:t>any</w:t>
            </w:r>
            <w:proofErr w:type="gramEnd"/>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w:t>
      </w:r>
      <w:proofErr w:type="gramStart"/>
      <w:r>
        <w:rPr>
          <w:rStyle w:val="None"/>
          <w:lang w:val="en-US"/>
        </w:rPr>
        <w:t>reliable</w:t>
      </w:r>
      <w:proofErr w:type="gramEnd"/>
      <w:r>
        <w:rPr>
          <w:rStyle w:val="None"/>
          <w:lang w:val="en-US"/>
        </w:rPr>
        <w:t xml:space="preserv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w:t>
      </w:r>
      <w:proofErr w:type="gramStart"/>
      <w:r>
        <w:rPr>
          <w:rStyle w:val="None"/>
        </w:rPr>
        <w:t>don’t</w:t>
      </w:r>
      <w:proofErr w:type="gramEnd"/>
      <w:r>
        <w:rPr>
          <w:rStyle w:val="None"/>
        </w:rPr>
        <w:t xml:space="preserve">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36EEAB05" w:rsidR="00855572" w:rsidRPr="00855572" w:rsidRDefault="00F5734E" w:rsidP="00855572">
      <w:pPr>
        <w:pStyle w:val="Example"/>
        <w:ind w:firstLine="720"/>
        <w:rPr>
          <w:rStyle w:val="None"/>
        </w:rPr>
      </w:pPr>
      <w:r>
        <w:rPr>
          <w:rStyle w:val="None"/>
          <w:i/>
          <w:iCs/>
        </w:rPr>
        <w:t>Harden v. Playboy Enterprises, Inc.</w:t>
      </w:r>
      <w:r>
        <w:rPr>
          <w:rStyle w:val="None"/>
        </w:rPr>
        <w:t>, 261 Ill. App. 3d 443</w:t>
      </w:r>
      <w:r w:rsidR="00445F28">
        <w:rPr>
          <w:rStyle w:val="None"/>
        </w:rPr>
        <w:t>,</w:t>
      </w:r>
      <w:r>
        <w:rPr>
          <w:rStyle w:val="None"/>
        </w:rPr>
        <w:t xml:space="preserve">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w:t>
      </w:r>
      <w:proofErr w:type="gramStart"/>
      <w:r>
        <w:rPr>
          <w:rStyle w:val="None"/>
        </w:rPr>
        <w:t>being cited</w:t>
      </w:r>
      <w:proofErr w:type="gramEnd"/>
      <w:r>
        <w:rPr>
          <w:rStyle w:val="None"/>
        </w:rPr>
        <w:t xml:space="preserve">.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w:t>
      </w:r>
      <w:proofErr w:type="gramStart"/>
      <w:r w:rsidR="00F5734E">
        <w:rPr>
          <w:rStyle w:val="None"/>
        </w:rPr>
        <w:t>is found</w:t>
      </w:r>
      <w:proofErr w:type="gramEnd"/>
      <w:r w:rsidR="00F5734E">
        <w:rPr>
          <w:rStyle w:val="None"/>
        </w:rPr>
        <w:t xml:space="preserve">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w:t>
      </w:r>
      <w:proofErr w:type="gramStart"/>
      <w:r w:rsidR="00F5734E">
        <w:rPr>
          <w:rStyle w:val="None"/>
        </w:rPr>
        <w:t>are required</w:t>
      </w:r>
      <w:proofErr w:type="gramEnd"/>
      <w:r w:rsidR="00F5734E">
        <w:rPr>
          <w:rStyle w:val="None"/>
        </w:rPr>
        <w:t xml:space="preserve">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 xml:space="preserve">on full and short </w:t>
      </w:r>
      <w:proofErr w:type="gramStart"/>
      <w:r w:rsidR="00F5734E">
        <w:rPr>
          <w:rStyle w:val="None"/>
        </w:rPr>
        <w:t>citations generally</w:t>
      </w:r>
      <w:proofErr w:type="gramEnd"/>
      <w:r w:rsidR="00F5734E">
        <w:rPr>
          <w:rStyle w:val="None"/>
        </w:rPr>
        <w:t>.</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w:t>
      </w:r>
      <w:proofErr w:type="gramStart"/>
      <w:r>
        <w:rPr>
          <w:rStyle w:val="None"/>
        </w:rPr>
        <w:t>be used</w:t>
      </w:r>
      <w:proofErr w:type="gramEnd"/>
      <w:r>
        <w:rPr>
          <w:rStyle w:val="None"/>
        </w:rPr>
        <w:t xml:space="preserve"> to identify the page source for content of an explanatory parenthetical. </w:t>
      </w:r>
      <w:proofErr w:type="spellStart"/>
      <w:r>
        <w:rPr>
          <w:rStyle w:val="None"/>
        </w:rPr>
        <w:t>Pincites</w:t>
      </w:r>
      <w:proofErr w:type="spellEnd"/>
      <w:r>
        <w:rPr>
          <w:rStyle w:val="None"/>
        </w:rPr>
        <w:t xml:space="preserve"> can also </w:t>
      </w:r>
      <w:proofErr w:type="gramStart"/>
      <w:r>
        <w:rPr>
          <w:rStyle w:val="None"/>
        </w:rPr>
        <w:t>be used</w:t>
      </w:r>
      <w:proofErr w:type="gramEnd"/>
      <w:r>
        <w:rPr>
          <w:rStyle w:val="None"/>
        </w:rPr>
        <w:t xml:space="preserve">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vii (1952)</w:t>
      </w:r>
      <w:proofErr w:type="gramStart"/>
      <w:r w:rsidR="000C4B4A">
        <w:rPr>
          <w:rStyle w:val="None"/>
        </w:rPr>
        <w:t xml:space="preserve">. </w:t>
      </w:r>
      <w:r w:rsidR="00714039">
        <w:rPr>
          <w:rStyle w:val="None"/>
        </w:rPr>
        <w:t xml:space="preserve"> </w:t>
      </w:r>
      <w:proofErr w:type="gramEnd"/>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xml:space="preserve">, 460 F. Supp. 1026, 1026, 1028 (D.N.J. 1978) (dismissing a complaint charging that plaintiff, by reason of his illegal incarceration in jail, had </w:t>
      </w:r>
      <w:proofErr w:type="gramStart"/>
      <w:r>
        <w:rPr>
          <w:rStyle w:val="None"/>
        </w:rPr>
        <w:t>been deprived</w:t>
      </w:r>
      <w:proofErr w:type="gramEnd"/>
      <w:r>
        <w:rPr>
          <w:rStyle w:val="None"/>
        </w:rPr>
        <w:t xml:space="preserve">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w:t>
      </w:r>
      <w:proofErr w:type="gramStart"/>
      <w:r>
        <w:rPr>
          <w:rStyle w:val="None"/>
        </w:rPr>
        <w:t>.  </w:t>
      </w:r>
      <w:proofErr w:type="gramEnd"/>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Before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w:t>
      </w:r>
      <w:proofErr w:type="gramStart"/>
      <w:r>
        <w:rPr>
          <w:rStyle w:val="None"/>
        </w:rPr>
        <w:t>paragraphs</w:t>
      </w:r>
      <w:proofErr w:type="gramEnd"/>
      <w:r>
        <w:rPr>
          <w:rStyle w:val="None"/>
        </w:rPr>
        <w:t xml:space="preserve">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Couch v. Durrani</w:t>
      </w:r>
      <w:r>
        <w:rPr>
          <w:rStyle w:val="None"/>
        </w:rPr>
        <w:t>, 2021-Ohio-726, ¶ 9 (Ct. App. 2021).</w:t>
      </w:r>
    </w:p>
    <w:p w14:paraId="38815427" w14:textId="33087D39" w:rsidR="00F5734E" w:rsidRPr="00EF0332" w:rsidRDefault="00F5734E" w:rsidP="00F734C1">
      <w:pPr>
        <w:pStyle w:val="Example"/>
        <w:ind w:left="720"/>
        <w:rPr>
          <w:rStyle w:val="None"/>
          <w:i/>
        </w:rPr>
      </w:pPr>
      <w:r>
        <w:rPr>
          <w:rStyle w:val="None"/>
          <w:i/>
          <w:iCs/>
        </w:rPr>
        <w:t>Couch v. Durrani</w:t>
      </w:r>
      <w:r>
        <w:rPr>
          <w:rStyle w:val="None"/>
        </w:rPr>
        <w:t>, 2021-Ohio-726, ¶ ¶ 9-15 (Ct. App. 2021).</w:t>
      </w:r>
    </w:p>
    <w:p w14:paraId="21A805C2" w14:textId="4C976BF0" w:rsidR="00EF0332" w:rsidRPr="00EF0332" w:rsidRDefault="00EF0332" w:rsidP="00F734C1">
      <w:pPr>
        <w:pStyle w:val="Example"/>
        <w:ind w:left="720"/>
        <w:rPr>
          <w:rStyle w:val="None"/>
        </w:rPr>
      </w:pPr>
      <w:r>
        <w:rPr>
          <w:rStyle w:val="None"/>
          <w:i/>
        </w:rPr>
        <w:t>Couch</w:t>
      </w:r>
      <w:r>
        <w:rPr>
          <w:rStyle w:val="None"/>
        </w:rPr>
        <w:t>, 2021-Ohio-726, ¶ 15.</w:t>
      </w:r>
    </w:p>
    <w:p w14:paraId="54862C44" w14:textId="4A201E9C" w:rsidR="00F5734E" w:rsidRDefault="00F5734E" w:rsidP="00F734C1">
      <w:pPr>
        <w:pStyle w:val="Example"/>
        <w:ind w:left="720"/>
        <w:rPr>
          <w:rStyle w:val="None"/>
        </w:rPr>
      </w:pPr>
      <w:r>
        <w:rPr>
          <w:rStyle w:val="None"/>
          <w:i/>
          <w:iCs/>
        </w:rPr>
        <w:t>Id.</w:t>
      </w:r>
      <w:r>
        <w:rPr>
          <w:rStyle w:val="None"/>
        </w:rPr>
        <w:t xml:space="preserve">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 xml:space="preserve">Citing a </w:t>
      </w:r>
      <w:proofErr w:type="gramStart"/>
      <w:r>
        <w:rPr>
          <w:rStyle w:val="None"/>
        </w:rPr>
        <w:t>footnote</w:t>
      </w:r>
      <w:proofErr w:type="gramEnd"/>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Mattel, Inc. v. MGA Ent. Inc.</w:t>
      </w:r>
      <w:r>
        <w:rPr>
          <w:rStyle w:val="None"/>
        </w:rPr>
        <w:t>, 782 F. Supp. 2d 911 (C.D. Cal. 2011).</w:t>
      </w:r>
    </w:p>
    <w:p w14:paraId="3DADEBAE" w14:textId="4873253E" w:rsidR="00F5734E" w:rsidRDefault="00EF0332" w:rsidP="00FA6FB6">
      <w:pPr>
        <w:pStyle w:val="Example"/>
        <w:rPr>
          <w:rStyle w:val="None"/>
        </w:rPr>
      </w:pPr>
      <w:r>
        <w:rPr>
          <w:rStyle w:val="None"/>
          <w:i/>
          <w:iCs/>
        </w:rPr>
        <w:t>Barking Hound Villa</w:t>
      </w:r>
      <w:r w:rsidR="00F5734E">
        <w:rPr>
          <w:rStyle w:val="None"/>
          <w:i/>
          <w:iCs/>
        </w:rPr>
        <w:t xml:space="preserve">ge, LLC v. </w:t>
      </w:r>
      <w:proofErr w:type="spellStart"/>
      <w:r w:rsidR="00F5734E">
        <w:rPr>
          <w:rStyle w:val="None"/>
          <w:i/>
          <w:iCs/>
        </w:rPr>
        <w:t>Monyak</w:t>
      </w:r>
      <w:proofErr w:type="spellEnd"/>
      <w:r w:rsidR="00F5734E">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 xml:space="preserve">Use U.S. if the opinion </w:t>
            </w:r>
            <w:proofErr w:type="gramStart"/>
            <w:r>
              <w:rPr>
                <w:rStyle w:val="None"/>
                <w:sz w:val="20"/>
                <w:szCs w:val="20"/>
                <w:lang w:val="en-US"/>
              </w:rPr>
              <w:t>is published</w:t>
            </w:r>
            <w:proofErr w:type="gramEnd"/>
            <w:r>
              <w:rPr>
                <w:rStyle w:val="None"/>
                <w:sz w:val="20"/>
                <w:szCs w:val="20"/>
                <w:lang w:val="en-US"/>
              </w:rPr>
              <w:t xml:space="preserve">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w:t>
            </w:r>
            <w:proofErr w:type="gramStart"/>
            <w:r>
              <w:rPr>
                <w:rStyle w:val="None"/>
                <w:sz w:val="20"/>
                <w:szCs w:val="20"/>
                <w:lang w:val="en-US"/>
              </w:rPr>
              <w:t>sits, if</w:t>
            </w:r>
            <w:proofErr w:type="gramEnd"/>
            <w:r>
              <w:rPr>
                <w:rStyle w:val="None"/>
                <w:sz w:val="20"/>
                <w:szCs w:val="20"/>
                <w:lang w:val="en-US"/>
              </w:rPr>
              <w:t xml:space="preserve">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w:t>
            </w:r>
            <w:proofErr w:type="gramStart"/>
            <w:r>
              <w:rPr>
                <w:rStyle w:val="None"/>
                <w:sz w:val="20"/>
                <w:szCs w:val="20"/>
                <w:lang w:val="en-US"/>
              </w:rPr>
              <w:t>sits, if</w:t>
            </w:r>
            <w:proofErr w:type="gramEnd"/>
            <w:r>
              <w:rPr>
                <w:rStyle w:val="None"/>
                <w:sz w:val="20"/>
                <w:szCs w:val="20"/>
                <w:lang w:val="en-US"/>
              </w:rPr>
              <w:t xml:space="preserve">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Brown v. Swindell</w:t>
            </w:r>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General rule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Hamel v. Emp. Sec. Dep't</w:t>
      </w:r>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Hamel v. Emp. Sec. Dep't</w:t>
      </w:r>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w:t>
      </w:r>
      <w:proofErr w:type="gramStart"/>
      <w:r w:rsidR="00436A39">
        <w:rPr>
          <w:rStyle w:val="None"/>
        </w:rPr>
        <w:t>division</w:t>
      </w:r>
      <w:proofErr w:type="gramEnd"/>
      <w:r w:rsidR="00436A39">
        <w:rPr>
          <w:rStyle w:val="None"/>
        </w:rPr>
        <w:t xml:space="preserve"> </w:t>
      </w:r>
      <w:r w:rsidR="004A5BD7">
        <w:rPr>
          <w:rStyle w:val="None"/>
        </w:rPr>
        <w:t xml:space="preserve"> </w:t>
      </w:r>
    </w:p>
    <w:p w14:paraId="3DBEC501" w14:textId="1012BE93" w:rsidR="009A702D" w:rsidRDefault="009A702D" w:rsidP="00DC07EC">
      <w:pPr>
        <w:pStyle w:val="Rule"/>
        <w:ind w:left="0"/>
        <w:rPr>
          <w:rStyle w:val="None"/>
        </w:rPr>
      </w:pPr>
      <w:r>
        <w:rPr>
          <w:rStyle w:val="None"/>
        </w:rPr>
        <w:t xml:space="preserve">Where intermediate appellate departments or divisions are relevant to the point </w:t>
      </w:r>
      <w:proofErr w:type="gramStart"/>
      <w:r>
        <w:rPr>
          <w:rStyle w:val="None"/>
        </w:rPr>
        <w:t>being made</w:t>
      </w:r>
      <w:proofErr w:type="gramEnd"/>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w:t>
      </w:r>
      <w:proofErr w:type="gramStart"/>
      <w:r w:rsidR="009264C7">
        <w:rPr>
          <w:rStyle w:val="None"/>
        </w:rPr>
        <w:t>jurisdictions</w:t>
      </w:r>
      <w:proofErr w:type="gramEnd"/>
      <w:r w:rsidR="00DC07EC">
        <w:rPr>
          <w:rStyle w:val="None"/>
        </w:rPr>
        <w:t xml:space="preserve"> such as Florida and Texas where this information is </w:t>
      </w:r>
      <w:r w:rsidR="004A671A">
        <w:rPr>
          <w:rStyle w:val="None"/>
        </w:rPr>
        <w:t>required and where the format for such citations varies in local practice. For standard legal documents seeking a uniform national approach, add the department or division information to be clear and, if possible, consistent with the general uniform standard for citations to intermediate appellate courts.</w:t>
      </w:r>
    </w:p>
    <w:p w14:paraId="46278675" w14:textId="755DFEE2" w:rsidR="007C5319" w:rsidRDefault="007C5319" w:rsidP="00DC07EC">
      <w:pPr>
        <w:pStyle w:val="Rule"/>
        <w:ind w:left="0"/>
        <w:rPr>
          <w:rStyle w:val="None"/>
        </w:rPr>
      </w:pPr>
    </w:p>
    <w:p w14:paraId="57C836C1" w14:textId="77777777" w:rsidR="007C5319" w:rsidRPr="0027661F" w:rsidRDefault="007C5319" w:rsidP="007C5319">
      <w:pPr>
        <w:pStyle w:val="Example"/>
        <w:rPr>
          <w:rStyle w:val="None"/>
          <w:rFonts w:ascii="Georgia" w:hAnsi="Georgia"/>
          <w:b/>
          <w:bCs w:val="0"/>
        </w:rPr>
      </w:pPr>
      <w:r w:rsidRPr="0027661F">
        <w:rPr>
          <w:rStyle w:val="None"/>
          <w:rFonts w:ascii="Georgia" w:hAnsi="Georgia"/>
          <w:b/>
          <w:bCs w:val="0"/>
        </w:rPr>
        <w:t>Correct Example:</w:t>
      </w:r>
    </w:p>
    <w:p w14:paraId="36E96873" w14:textId="77777777" w:rsidR="007C5319" w:rsidRPr="0027661F" w:rsidRDefault="007C5319" w:rsidP="007C5319">
      <w:pPr>
        <w:pStyle w:val="Example"/>
        <w:rPr>
          <w:rStyle w:val="None"/>
          <w:rFonts w:ascii="Georgia" w:hAnsi="Georgia"/>
          <w:b/>
          <w:bCs w:val="0"/>
        </w:rPr>
      </w:pPr>
    </w:p>
    <w:p w14:paraId="6E3C1A96" w14:textId="1F821C76" w:rsidR="007C5319" w:rsidRPr="00846D6C" w:rsidRDefault="007C5319" w:rsidP="007C5319">
      <w:pPr>
        <w:pStyle w:val="Example"/>
        <w:rPr>
          <w:rFonts w:ascii="Georgia" w:hAnsi="Georgia"/>
          <w:iCs/>
          <w:color w:val="212121"/>
          <w:bdr w:val="none" w:sz="0" w:space="0" w:color="auto" w:frame="1"/>
          <w:shd w:val="clear" w:color="auto" w:fill="FFFFFF"/>
        </w:rPr>
      </w:pPr>
      <w:r>
        <w:rPr>
          <w:rFonts w:ascii="Georgia" w:hAnsi="Georgia"/>
          <w:iCs/>
          <w:color w:val="212121"/>
          <w:bdr w:val="none" w:sz="0" w:space="0" w:color="auto" w:frame="1"/>
          <w:shd w:val="clear" w:color="auto" w:fill="FFFFFF"/>
        </w:rPr>
        <w:t>Before the Florida Supreme Court addressed the question</w:t>
      </w:r>
      <w:r w:rsidR="00A95347">
        <w:rPr>
          <w:rFonts w:ascii="Georgia" w:hAnsi="Georgia"/>
          <w:iCs/>
          <w:color w:val="212121"/>
          <w:bdr w:val="none" w:sz="0" w:space="0" w:color="auto" w:frame="1"/>
          <w:shd w:val="clear" w:color="auto" w:fill="FFFFFF"/>
        </w:rPr>
        <w:t xml:space="preserve"> in 2018</w:t>
      </w:r>
      <w:r>
        <w:rPr>
          <w:rFonts w:ascii="Georgia" w:hAnsi="Georgia"/>
          <w:iCs/>
          <w:color w:val="212121"/>
          <w:bdr w:val="none" w:sz="0" w:space="0" w:color="auto" w:frame="1"/>
          <w:shd w:val="clear" w:color="auto" w:fill="FFFFFF"/>
        </w:rPr>
        <w:t xml:space="preserve">, Florida District Courts of Appeals </w:t>
      </w:r>
      <w:proofErr w:type="gramStart"/>
      <w:r>
        <w:rPr>
          <w:rFonts w:ascii="Georgia" w:hAnsi="Georgia"/>
          <w:iCs/>
          <w:color w:val="212121"/>
          <w:bdr w:val="none" w:sz="0" w:space="0" w:color="auto" w:frame="1"/>
          <w:shd w:val="clear" w:color="auto" w:fill="FFFFFF"/>
        </w:rPr>
        <w:t>were split</w:t>
      </w:r>
      <w:proofErr w:type="gramEnd"/>
      <w:r>
        <w:rPr>
          <w:rFonts w:ascii="Georgia" w:hAnsi="Georgia"/>
          <w:iCs/>
          <w:color w:val="212121"/>
          <w:bdr w:val="none" w:sz="0" w:space="0" w:color="auto" w:frame="1"/>
          <w:shd w:val="clear" w:color="auto" w:fill="FFFFFF"/>
        </w:rPr>
        <w:t xml:space="preserve"> on whether judges </w:t>
      </w:r>
      <w:r w:rsidR="00A95347">
        <w:rPr>
          <w:rFonts w:ascii="Georgia" w:hAnsi="Georgia"/>
          <w:iCs/>
          <w:color w:val="212121"/>
          <w:bdr w:val="none" w:sz="0" w:space="0" w:color="auto" w:frame="1"/>
          <w:shd w:val="clear" w:color="auto" w:fill="FFFFFF"/>
        </w:rPr>
        <w:t>must disqualify themselves from deciding a case when</w:t>
      </w:r>
      <w:r>
        <w:rPr>
          <w:rFonts w:ascii="Georgia" w:hAnsi="Georgia"/>
          <w:iCs/>
          <w:color w:val="212121"/>
          <w:bdr w:val="none" w:sz="0" w:space="0" w:color="auto" w:frame="1"/>
          <w:shd w:val="clear" w:color="auto" w:fill="FFFFFF"/>
        </w:rPr>
        <w:t xml:space="preserve"> they are social-media connections with one or more attorneys in </w:t>
      </w:r>
      <w:r w:rsidR="00A95347">
        <w:rPr>
          <w:rFonts w:ascii="Georgia" w:hAnsi="Georgia"/>
          <w:iCs/>
          <w:color w:val="212121"/>
          <w:bdr w:val="none" w:sz="0" w:space="0" w:color="auto" w:frame="1"/>
          <w:shd w:val="clear" w:color="auto" w:fill="FFFFFF"/>
        </w:rPr>
        <w:t>that</w:t>
      </w:r>
      <w:r>
        <w:rPr>
          <w:rFonts w:ascii="Georgia" w:hAnsi="Georgia"/>
          <w:iCs/>
          <w:color w:val="212121"/>
          <w:bdr w:val="none" w:sz="0" w:space="0" w:color="auto" w:frame="1"/>
          <w:shd w:val="clear" w:color="auto" w:fill="FFFFFF"/>
        </w:rPr>
        <w:t xml:space="preserve"> case. </w:t>
      </w:r>
      <w:r>
        <w:rPr>
          <w:rFonts w:ascii="Georgia" w:hAnsi="Georgia"/>
          <w:i/>
          <w:iCs/>
          <w:color w:val="212121"/>
          <w:bdr w:val="none" w:sz="0" w:space="0" w:color="auto" w:frame="1"/>
          <w:shd w:val="clear" w:color="auto" w:fill="FFFFFF"/>
        </w:rPr>
        <w:t>Compare</w:t>
      </w:r>
      <w:r>
        <w:rPr>
          <w:rFonts w:ascii="Georgia" w:hAnsi="Georgia"/>
          <w:iCs/>
          <w:color w:val="212121"/>
          <w:bdr w:val="none" w:sz="0" w:space="0" w:color="auto" w:frame="1"/>
          <w:shd w:val="clear" w:color="auto" w:fill="FFFFFF"/>
        </w:rPr>
        <w:t xml:space="preserve"> </w:t>
      </w:r>
      <w:r>
        <w:rPr>
          <w:rFonts w:ascii="Georgia" w:hAnsi="Georgia"/>
          <w:i/>
          <w:iCs/>
          <w:color w:val="212121"/>
          <w:bdr w:val="none" w:sz="0" w:space="0" w:color="auto" w:frame="1"/>
          <w:shd w:val="clear" w:color="auto" w:fill="FFFFFF"/>
        </w:rPr>
        <w:t xml:space="preserve">L. Offs. </w:t>
      </w:r>
      <w:r w:rsidR="00391F83">
        <w:rPr>
          <w:rFonts w:ascii="Georgia" w:hAnsi="Georgia"/>
          <w:i/>
          <w:iCs/>
          <w:color w:val="212121"/>
          <w:bdr w:val="none" w:sz="0" w:space="0" w:color="auto" w:frame="1"/>
          <w:shd w:val="clear" w:color="auto" w:fill="FFFFFF"/>
        </w:rPr>
        <w:t>o</w:t>
      </w:r>
      <w:r>
        <w:rPr>
          <w:rFonts w:ascii="Georgia" w:hAnsi="Georgia"/>
          <w:i/>
          <w:iCs/>
          <w:color w:val="212121"/>
          <w:bdr w:val="none" w:sz="0" w:space="0" w:color="auto" w:frame="1"/>
          <w:shd w:val="clear" w:color="auto" w:fill="FFFFFF"/>
        </w:rPr>
        <w:t xml:space="preserve">f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xml:space="preserve"> &amp;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P.A.</w:t>
      </w:r>
      <w:r>
        <w:rPr>
          <w:rFonts w:ascii="Georgia" w:hAnsi="Georgia"/>
          <w:i/>
          <w:iCs/>
          <w:color w:val="212121"/>
          <w:bdr w:val="none" w:sz="0" w:space="0" w:color="auto" w:frame="1"/>
          <w:shd w:val="clear" w:color="auto" w:fill="FFFFFF"/>
        </w:rPr>
        <w:t xml:space="preserve"> v. USAA</w:t>
      </w:r>
      <w:r w:rsidR="00065ECF">
        <w:rPr>
          <w:rFonts w:ascii="Georgia" w:hAnsi="Georgia"/>
          <w:iCs/>
          <w:color w:val="212121"/>
          <w:bdr w:val="none" w:sz="0" w:space="0" w:color="auto" w:frame="1"/>
          <w:shd w:val="clear" w:color="auto" w:fill="FFFFFF"/>
        </w:rPr>
        <w:t xml:space="preserve">, 229 So. 3d 408 (Fla. 3d Dist. Ct. App. 2017), </w:t>
      </w:r>
      <w:r w:rsidR="00065ECF">
        <w:rPr>
          <w:rFonts w:ascii="Georgia" w:hAnsi="Georgia"/>
          <w:i/>
          <w:iCs/>
          <w:color w:val="212121"/>
          <w:bdr w:val="none" w:sz="0" w:space="0" w:color="auto" w:frame="1"/>
          <w:shd w:val="clear" w:color="auto" w:fill="FFFFFF"/>
        </w:rPr>
        <w:t>approved</w:t>
      </w:r>
      <w:r w:rsidR="00F43159">
        <w:rPr>
          <w:rFonts w:ascii="Georgia" w:hAnsi="Georgia"/>
          <w:i/>
          <w:iCs/>
          <w:color w:val="212121"/>
          <w:bdr w:val="none" w:sz="0" w:space="0" w:color="auto" w:frame="1"/>
          <w:shd w:val="clear" w:color="auto" w:fill="FFFFFF"/>
        </w:rPr>
        <w:t xml:space="preserve"> by </w:t>
      </w:r>
      <w:r w:rsidR="00065ECF">
        <w:rPr>
          <w:rFonts w:ascii="Georgia" w:hAnsi="Georgia"/>
          <w:iCs/>
          <w:color w:val="212121"/>
          <w:bdr w:val="none" w:sz="0" w:space="0" w:color="auto" w:frame="1"/>
          <w:shd w:val="clear" w:color="auto" w:fill="FFFFFF"/>
        </w:rPr>
        <w:t xml:space="preserve">271 So. 3d 889 (Fla. 2018), </w:t>
      </w:r>
      <w:r w:rsidR="00065ECF">
        <w:rPr>
          <w:rFonts w:ascii="Georgia" w:hAnsi="Georgia"/>
          <w:i/>
          <w:iCs/>
          <w:color w:val="212121"/>
          <w:bdr w:val="none" w:sz="0" w:space="0" w:color="auto" w:frame="1"/>
          <w:shd w:val="clear" w:color="auto" w:fill="FFFFFF"/>
        </w:rPr>
        <w:t>with</w:t>
      </w:r>
      <w:r w:rsidR="00065ECF">
        <w:rPr>
          <w:rFonts w:ascii="Georgia" w:hAnsi="Georgia"/>
          <w:iCs/>
          <w:color w:val="212121"/>
          <w:bdr w:val="none" w:sz="0" w:space="0" w:color="auto" w:frame="1"/>
          <w:shd w:val="clear" w:color="auto" w:fill="FFFFFF"/>
        </w:rPr>
        <w:t xml:space="preserve"> </w:t>
      </w:r>
      <w:proofErr w:type="spellStart"/>
      <w:r w:rsidR="00846D6C">
        <w:rPr>
          <w:rFonts w:ascii="Georgia" w:hAnsi="Georgia"/>
          <w:i/>
          <w:iCs/>
          <w:color w:val="212121"/>
          <w:bdr w:val="none" w:sz="0" w:space="0" w:color="auto" w:frame="1"/>
          <w:shd w:val="clear" w:color="auto" w:fill="FFFFFF"/>
        </w:rPr>
        <w:t>Domville</w:t>
      </w:r>
      <w:proofErr w:type="spellEnd"/>
      <w:r w:rsidR="00846D6C">
        <w:rPr>
          <w:rFonts w:ascii="Georgia" w:hAnsi="Georgia"/>
          <w:i/>
          <w:iCs/>
          <w:color w:val="212121"/>
          <w:bdr w:val="none" w:sz="0" w:space="0" w:color="auto" w:frame="1"/>
          <w:shd w:val="clear" w:color="auto" w:fill="FFFFFF"/>
        </w:rPr>
        <w:t xml:space="preserve"> v. State</w:t>
      </w:r>
      <w:r w:rsidR="00F43159">
        <w:rPr>
          <w:rFonts w:ascii="Georgia" w:hAnsi="Georgia"/>
          <w:iCs/>
          <w:color w:val="212121"/>
          <w:bdr w:val="none" w:sz="0" w:space="0" w:color="auto" w:frame="1"/>
          <w:shd w:val="clear" w:color="auto" w:fill="FFFFFF"/>
        </w:rPr>
        <w:t xml:space="preserve">, 103 So. 3d 184 (Fla. 4th </w:t>
      </w:r>
      <w:r w:rsidR="00846D6C">
        <w:rPr>
          <w:rFonts w:ascii="Georgia" w:hAnsi="Georgia"/>
          <w:iCs/>
          <w:color w:val="212121"/>
          <w:bdr w:val="none" w:sz="0" w:space="0" w:color="auto" w:frame="1"/>
          <w:shd w:val="clear" w:color="auto" w:fill="FFFFFF"/>
        </w:rPr>
        <w:t xml:space="preserve">Dist. Ct. App. 2012), </w:t>
      </w:r>
      <w:r w:rsidR="00846D6C">
        <w:rPr>
          <w:rFonts w:ascii="Georgia" w:hAnsi="Georgia"/>
          <w:i/>
          <w:iCs/>
          <w:color w:val="212121"/>
          <w:bdr w:val="none" w:sz="0" w:space="0" w:color="auto" w:frame="1"/>
          <w:shd w:val="clear" w:color="auto" w:fill="FFFFFF"/>
        </w:rPr>
        <w:t>disapproved</w:t>
      </w:r>
      <w:r w:rsidR="00F43159">
        <w:rPr>
          <w:rFonts w:ascii="Georgia" w:hAnsi="Georgia"/>
          <w:i/>
          <w:iCs/>
          <w:color w:val="212121"/>
          <w:bdr w:val="none" w:sz="0" w:space="0" w:color="auto" w:frame="1"/>
          <w:shd w:val="clear" w:color="auto" w:fill="FFFFFF"/>
        </w:rPr>
        <w:t xml:space="preserve"> by</w:t>
      </w:r>
      <w:r w:rsidR="00391F83">
        <w:rPr>
          <w:rFonts w:ascii="Georgia" w:hAnsi="Georgia"/>
          <w:iCs/>
          <w:color w:val="212121"/>
          <w:bdr w:val="none" w:sz="0" w:space="0" w:color="auto" w:frame="1"/>
          <w:shd w:val="clear" w:color="auto" w:fill="FFFFFF"/>
        </w:rPr>
        <w:t xml:space="preserve"> </w:t>
      </w:r>
      <w:r w:rsidR="00391F83">
        <w:rPr>
          <w:rFonts w:ascii="Georgia" w:hAnsi="Georgia"/>
          <w:i/>
          <w:iCs/>
          <w:color w:val="212121"/>
          <w:bdr w:val="none" w:sz="0" w:space="0" w:color="auto" w:frame="1"/>
          <w:shd w:val="clear" w:color="auto" w:fill="FFFFFF"/>
        </w:rPr>
        <w:t xml:space="preserve">L. Offs. of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xml:space="preserve"> &amp;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P.A.</w:t>
      </w:r>
      <w:r w:rsidR="00391F83">
        <w:rPr>
          <w:rFonts w:ascii="Georgia" w:hAnsi="Georgia"/>
          <w:i/>
          <w:iCs/>
          <w:color w:val="212121"/>
          <w:bdr w:val="none" w:sz="0" w:space="0" w:color="auto" w:frame="1"/>
          <w:shd w:val="clear" w:color="auto" w:fill="FFFFFF"/>
        </w:rPr>
        <w:t xml:space="preserve"> v. USAA</w:t>
      </w:r>
      <w:r w:rsidR="00A95347">
        <w:rPr>
          <w:rFonts w:ascii="Georgia" w:hAnsi="Georgia"/>
          <w:iCs/>
          <w:color w:val="212121"/>
          <w:bdr w:val="none" w:sz="0" w:space="0" w:color="auto" w:frame="1"/>
          <w:shd w:val="clear" w:color="auto" w:fill="FFFFFF"/>
        </w:rPr>
        <w:t xml:space="preserve">, </w:t>
      </w:r>
      <w:r w:rsidR="00846D6C">
        <w:rPr>
          <w:rFonts w:ascii="Georgia" w:hAnsi="Georgia"/>
          <w:iCs/>
          <w:color w:val="212121"/>
          <w:bdr w:val="none" w:sz="0" w:space="0" w:color="auto" w:frame="1"/>
          <w:shd w:val="clear" w:color="auto" w:fill="FFFFFF"/>
        </w:rPr>
        <w:t>271 So. 3d 889 (Fla. 2018).</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 xml:space="preserve">Court abbreviations in case citations convey crucial information. For example, a case citing “N.Y.” refers to the highest court in the state of New York—the New York Court of Appeals. But “N.Y. Sup. Ct.” is the proper abbreviation for the New York Supreme Court—which </w:t>
      </w:r>
      <w:proofErr w:type="gramStart"/>
      <w:r>
        <w:rPr>
          <w:rStyle w:val="None"/>
          <w:lang w:val="en-US"/>
        </w:rPr>
        <w:t>some</w:t>
      </w:r>
      <w:proofErr w:type="gramEnd"/>
      <w:r>
        <w:rPr>
          <w:rStyle w:val="None"/>
          <w:lang w:val="en-US"/>
        </w:rPr>
        <w:t xml:space="preserve"> will be surprised to know is the name of the trial-level court in the state of New York, not the state high court. </w:t>
      </w:r>
      <w:proofErr w:type="gramStart"/>
      <w:r>
        <w:rPr>
          <w:rStyle w:val="None"/>
          <w:lang w:val="en-US"/>
        </w:rPr>
        <w:t>Generally</w:t>
      </w:r>
      <w:proofErr w:type="gramEnd"/>
      <w:r>
        <w:rPr>
          <w:rStyle w:val="None"/>
          <w:lang w:val="en-US"/>
        </w:rPr>
        <w:t xml:space="preserve">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 xml:space="preserve">Court indicated by </w:t>
      </w:r>
      <w:proofErr w:type="gramStart"/>
      <w:r>
        <w:rPr>
          <w:rStyle w:val="None"/>
        </w:rPr>
        <w:t>reporter</w:t>
      </w:r>
      <w:proofErr w:type="gramEnd"/>
    </w:p>
    <w:p w14:paraId="13696B80" w14:textId="77777777" w:rsidR="00F5734E" w:rsidRDefault="00F5734E" w:rsidP="00823846">
      <w:pPr>
        <w:pStyle w:val="Rule"/>
        <w:ind w:left="0"/>
        <w:rPr>
          <w:rStyle w:val="None"/>
        </w:rPr>
      </w:pPr>
      <w:r>
        <w:rPr>
          <w:rStyle w:val="None"/>
        </w:rPr>
        <w:t xml:space="preserve">If the identity of the court </w:t>
      </w:r>
      <w:proofErr w:type="gramStart"/>
      <w:r>
        <w:rPr>
          <w:rStyle w:val="None"/>
        </w:rPr>
        <w:t>is clearly and unambiguously indicated</w:t>
      </w:r>
      <w:proofErr w:type="gramEnd"/>
      <w:r>
        <w:rPr>
          <w:rStyle w:val="None"/>
        </w:rPr>
        <w:t xml:space="preserve"> by the reporter’s name, do not include the court in the parenthetical information with the year. When writing to a court and governed by local rules requiring parallel citations, the court’s identity may </w:t>
      </w:r>
      <w:proofErr w:type="gramStart"/>
      <w:r>
        <w:rPr>
          <w:rStyle w:val="None"/>
        </w:rPr>
        <w:t>be indicated</w:t>
      </w:r>
      <w:proofErr w:type="gramEnd"/>
      <w:r>
        <w:rPr>
          <w:rStyle w:val="None"/>
        </w:rPr>
        <w:t xml:space="preserve">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 xml:space="preserve">Year indicated in medium-neutral </w:t>
      </w:r>
      <w:proofErr w:type="gramStart"/>
      <w:r>
        <w:rPr>
          <w:rStyle w:val="None"/>
        </w:rPr>
        <w:t>citation</w:t>
      </w:r>
      <w:proofErr w:type="gramEnd"/>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w:t>
      </w:r>
      <w:proofErr w:type="gramStart"/>
      <w:r>
        <w:rPr>
          <w:rStyle w:val="None"/>
        </w:rPr>
        <w:t>is clearly and unambiguously indicated</w:t>
      </w:r>
      <w:proofErr w:type="gramEnd"/>
      <w:r>
        <w:rPr>
          <w:rStyle w:val="None"/>
        </w:rPr>
        <w:t xml:space="preserve">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Water &amp; Energy Sys. Tech., Inc. v. Keil</w:t>
      </w:r>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proofErr w:type="gramStart"/>
      <w:r w:rsidRPr="000325F3">
        <w:t>Some</w:t>
      </w:r>
      <w:proofErr w:type="gramEnd"/>
      <w:r w:rsidRPr="000325F3">
        <w:t xml:space="preserve"> opinions are so new and pending that they have not yet been assigned to reporters.</w:t>
      </w:r>
      <w:r w:rsidR="00E35F1F">
        <w:t xml:space="preserve"> These early opinions </w:t>
      </w:r>
      <w:proofErr w:type="gramStart"/>
      <w:r w:rsidR="00E35F1F">
        <w:t>are referred</w:t>
      </w:r>
      <w:proofErr w:type="gramEnd"/>
      <w:r w:rsidR="00E35F1F">
        <w:t xml:space="preserve"> to as “slip opinions,” presumably because they are (or historically, were) rendered on slips of paper rather than in printed bound volumes.</w:t>
      </w:r>
      <w:r w:rsidRPr="000325F3">
        <w:t xml:space="preserve"> </w:t>
      </w:r>
    </w:p>
    <w:p w14:paraId="63FCD10E" w14:textId="7A75DAC7" w:rsidR="00F5734E" w:rsidRPr="000325F3" w:rsidRDefault="00F5734E" w:rsidP="000325F3">
      <w:pPr>
        <w:pStyle w:val="Rule"/>
        <w:ind w:left="0"/>
      </w:pPr>
      <w:proofErr w:type="gramStart"/>
      <w:r w:rsidRPr="000325F3">
        <w:t>Some</w:t>
      </w:r>
      <w:proofErr w:type="gramEnd"/>
      <w:r w:rsidRPr="000325F3">
        <w:t xml:space="preserve"> opinions are designated “</w:t>
      </w:r>
      <w:r w:rsidR="00E35F1F">
        <w:t>not for publication</w:t>
      </w:r>
      <w:r w:rsidRPr="000325F3">
        <w:t xml:space="preserve">” by the issuing court and will never be assigned an </w:t>
      </w:r>
      <w:r w:rsidR="00E35F1F">
        <w:t>official reporter citation</w:t>
      </w:r>
      <w:r w:rsidRPr="000325F3">
        <w:t xml:space="preserve">. Pending and unreported cases </w:t>
      </w:r>
      <w:proofErr w:type="gramStart"/>
      <w:r w:rsidRPr="000325F3">
        <w:t>generally can</w:t>
      </w:r>
      <w:proofErr w:type="gramEnd"/>
      <w:r w:rsidRPr="000325F3">
        <w:t xml:space="preserve">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Pr>
          <w:rStyle w:val="None"/>
          <w:b/>
          <w:bCs/>
        </w:rPr>
        <w:t xml:space="preserve"> </w:t>
      </w:r>
      <w:r>
        <w:rPr>
          <w:rStyle w:val="None"/>
        </w:rPr>
        <w:t xml:space="preserve">LEXIS and Westlaw or </w:t>
      </w:r>
      <w:proofErr w:type="gramStart"/>
      <w:r>
        <w:rPr>
          <w:rStyle w:val="None"/>
        </w:rPr>
        <w:t>other</w:t>
      </w:r>
      <w:proofErr w:type="gramEnd"/>
      <w:r>
        <w:rPr>
          <w:rStyle w:val="None"/>
        </w:rPr>
        <w:t xml:space="preserve">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w:t>
      </w:r>
      <w:proofErr w:type="gramStart"/>
      <w:r>
        <w:rPr>
          <w:rStyle w:val="None"/>
        </w:rPr>
        <w:t>similar to</w:t>
      </w:r>
      <w:proofErr w:type="gramEnd"/>
      <w:r>
        <w:rPr>
          <w:rStyle w:val="None"/>
        </w:rPr>
        <w:t xml:space="preserve">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w:t>
      </w:r>
      <w:proofErr w:type="gramStart"/>
      <w:r w:rsidR="00871FA4">
        <w:rPr>
          <w:rStyle w:val="None"/>
        </w:rPr>
        <w:t>are indicated</w:t>
      </w:r>
      <w:proofErr w:type="gramEnd"/>
      <w:r w:rsidR="00871FA4">
        <w:rPr>
          <w:rStyle w:val="None"/>
        </w:rPr>
        <w:t xml:space="preserve">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proofErr w:type="gramStart"/>
      <w:r>
        <w:rPr>
          <w:rStyle w:val="None"/>
        </w:rPr>
        <w:t>Some</w:t>
      </w:r>
      <w:proofErr w:type="gramEnd"/>
      <w:r>
        <w:rPr>
          <w:rStyle w:val="None"/>
        </w:rPr>
        <w:t xml:space="preserv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2503E497" w14:textId="77777777" w:rsidR="00F5734E" w:rsidRDefault="00F5734E" w:rsidP="00D0245A">
      <w:pPr>
        <w:pStyle w:val="Example"/>
        <w:rPr>
          <w:rFonts w:ascii="Georgia" w:hAnsi="Georgia"/>
        </w:rPr>
      </w:pPr>
      <w:r>
        <w:rPr>
          <w:rStyle w:val="None"/>
          <w:b/>
        </w:rPr>
        <w:t xml:space="preserve">Example: </w:t>
      </w:r>
    </w:p>
    <w:p w14:paraId="216547CE" w14:textId="3F37F3EA" w:rsidR="00F5734E"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609531B2" w14:textId="77777777" w:rsidR="00E0390C" w:rsidRPr="00D0245A" w:rsidRDefault="00E0390C" w:rsidP="00D0245A">
      <w:pPr>
        <w:pStyle w:val="Example"/>
        <w:rPr>
          <w:rStyle w:val="None"/>
        </w:rPr>
      </w:pPr>
    </w:p>
    <w:p w14:paraId="4897872C" w14:textId="77777777" w:rsidR="00E0390C" w:rsidRDefault="00E0390C" w:rsidP="00E0390C">
      <w:pPr>
        <w:pStyle w:val="InklingTitle"/>
      </w:pPr>
      <w:r>
        <w:t>Indigo Inkling</w:t>
      </w:r>
    </w:p>
    <w:p w14:paraId="78297806" w14:textId="77777777" w:rsidR="00E0390C" w:rsidRDefault="00E0390C" w:rsidP="00E0390C">
      <w:pPr>
        <w:pStyle w:val="Inkling"/>
      </w:pPr>
    </w:p>
    <w:p w14:paraId="69EE8499" w14:textId="1AD390C5" w:rsidR="00E0390C" w:rsidRDefault="00E0390C" w:rsidP="00E0390C">
      <w:pPr>
        <w:pStyle w:val="Inkling"/>
      </w:pPr>
      <w:r>
        <w:t xml:space="preserve">The Law Librarians for Indigenous Inclusive Citation Practices advocates for </w:t>
      </w:r>
      <w:r>
        <w:rPr>
          <w:i/>
          <w:iCs/>
        </w:rPr>
        <w:t>The Bluebook</w:t>
      </w:r>
      <w:r>
        <w:t xml:space="preserve">—and uniform citation practices generally—to include information on citing Indigenous sources of law. As </w:t>
      </w:r>
      <w:r w:rsidRPr="00A65EB8">
        <w:t>they note on their website</w:t>
      </w:r>
      <w:r w:rsidR="00A65EB8">
        <w:t xml:space="preserve"> at </w:t>
      </w:r>
      <w:hyperlink r:id="rId10" w:history="1">
        <w:r w:rsidR="00A65EB8" w:rsidRPr="0001544D">
          <w:rPr>
            <w:rStyle w:val="Hyperlink"/>
          </w:rPr>
          <w:t>www.lawlibrariansforindigenousinclusivecitationpractices.org</w:t>
        </w:r>
      </w:hyperlink>
      <w:r w:rsidR="00A65EB8">
        <w:t>,</w:t>
      </w:r>
      <w:r>
        <w:t xml:space="preserve"> “[t]he 574 tribal governments in this country produce thousands of statutes, regulations, and case law each year that collectively bind millions of Americans.” </w:t>
      </w:r>
    </w:p>
    <w:p w14:paraId="7E61DCB0" w14:textId="77777777" w:rsidR="00E0390C" w:rsidRDefault="00E0390C" w:rsidP="00E0390C">
      <w:pPr>
        <w:pStyle w:val="Inkling"/>
      </w:pPr>
    </w:p>
    <w:p w14:paraId="0B5C367D" w14:textId="77777777" w:rsidR="00E0390C" w:rsidRDefault="00E0390C" w:rsidP="00E0390C">
      <w:pPr>
        <w:pStyle w:val="Inkling"/>
      </w:pPr>
      <w:r>
        <w:t xml:space="preserve">For standard legal documents, we would advise generally following the rules shown in </w:t>
      </w:r>
      <w:r>
        <w:rPr>
          <w:i/>
          <w:iCs/>
        </w:rPr>
        <w:t xml:space="preserve">The Indigo </w:t>
      </w:r>
      <w:r w:rsidRPr="00D13469">
        <w:rPr>
          <w:i/>
          <w:iCs/>
        </w:rPr>
        <w:t>Book</w:t>
      </w:r>
      <w:r>
        <w:t>, in concert with applicable tribal court rules. Tribal code citations may follow the same basic format shown in Rules R16-R17, for example:</w:t>
      </w:r>
      <w:r>
        <w:br/>
      </w:r>
    </w:p>
    <w:p w14:paraId="6BA31846" w14:textId="77777777" w:rsidR="00E0390C" w:rsidRDefault="00E0390C" w:rsidP="00E0390C">
      <w:pPr>
        <w:pStyle w:val="Inkling"/>
        <w:ind w:firstLine="720"/>
      </w:pPr>
      <w:r>
        <w:t>15. N.N.C. § 614(A) (as amended by Navajo Nation Council Resolution No. CO-48-14, Nov. 7, 2014).</w:t>
      </w:r>
    </w:p>
    <w:p w14:paraId="6AE71E7A" w14:textId="77777777" w:rsidR="00E0390C" w:rsidRDefault="00E0390C" w:rsidP="00E0390C">
      <w:pPr>
        <w:pStyle w:val="Inkling"/>
      </w:pPr>
    </w:p>
    <w:p w14:paraId="3F8921A3" w14:textId="77777777" w:rsidR="00E0390C" w:rsidRDefault="00E0390C" w:rsidP="00E0390C">
      <w:pPr>
        <w:pStyle w:val="Inkling"/>
      </w:pPr>
      <w:r>
        <w:t>A case decided by a tribal judicial authority may be able to be cited consistently with Rule R11 by name, reporter, and volume—if it is printed in one of the tribal law reporters. Or it may be cited using the format for slip opinions and cases found exclusively online (R12.4.2).</w:t>
      </w:r>
    </w:p>
    <w:p w14:paraId="0ADC32AD" w14:textId="77777777" w:rsidR="00E0390C" w:rsidRDefault="00E0390C" w:rsidP="00E0390C">
      <w:pPr>
        <w:pStyle w:val="Inkling"/>
      </w:pPr>
    </w:p>
    <w:p w14:paraId="3C90BCC3" w14:textId="77777777" w:rsidR="00E0390C" w:rsidRDefault="00E0390C" w:rsidP="00E0390C">
      <w:pPr>
        <w:pStyle w:val="Inkling"/>
        <w:ind w:firstLine="720"/>
      </w:pPr>
      <w:r>
        <w:rPr>
          <w:i/>
          <w:iCs/>
        </w:rPr>
        <w:t>Navajo Nation v. Hunter</w:t>
      </w:r>
      <w:r>
        <w:t>, 7 Nav. R. 194, 195 (Nav. Sup. Ct. 1996).</w:t>
      </w:r>
    </w:p>
    <w:p w14:paraId="17A65B3C" w14:textId="77777777" w:rsidR="00E0390C" w:rsidRDefault="00E0390C" w:rsidP="00E0390C">
      <w:pPr>
        <w:pStyle w:val="Inkling"/>
      </w:pPr>
    </w:p>
    <w:p w14:paraId="6406D0D4" w14:textId="77777777" w:rsidR="00E0390C" w:rsidRDefault="00E0390C" w:rsidP="00A65EB8">
      <w:pPr>
        <w:pStyle w:val="Inkling"/>
        <w:ind w:left="720"/>
      </w:pPr>
      <w:r>
        <w:rPr>
          <w:i/>
          <w:iCs/>
        </w:rPr>
        <w:t>Corp. of the Pres. of the Church of Jesus Christ of Latter-Day Saints v. Window Rock Dist. Ct.</w:t>
      </w:r>
      <w:r>
        <w:t>, No. SC-CV-42-18, 2018 WL 7149968 (Nav. Sup. Ct. Dec. 28, 2018).</w:t>
      </w:r>
    </w:p>
    <w:p w14:paraId="74865285" w14:textId="77777777" w:rsidR="00E0390C" w:rsidRDefault="00E0390C" w:rsidP="00E0390C">
      <w:pPr>
        <w:pStyle w:val="Inkling"/>
      </w:pPr>
    </w:p>
    <w:p w14:paraId="60189BAB" w14:textId="77777777" w:rsidR="00E0390C" w:rsidRDefault="00E0390C" w:rsidP="00E0390C">
      <w:pPr>
        <w:pStyle w:val="Inkling"/>
        <w:ind w:left="720"/>
      </w:pPr>
      <w:r>
        <w:rPr>
          <w:i/>
          <w:iCs/>
        </w:rPr>
        <w:t>In re Lotus Justice</w:t>
      </w:r>
      <w:r>
        <w:t xml:space="preserve">, No. SC-2022-01, slip op. (Cherokee Sup. Ct. Feb. 14, 2022), </w:t>
      </w:r>
      <w:hyperlink r:id="rId11" w:history="1">
        <w:r w:rsidRPr="00941458">
          <w:rPr>
            <w:rStyle w:val="Hyperlink"/>
          </w:rPr>
          <w:t>https://www.cherokeecourts.org/Portals/cherokeecourts/Documents/Supreme%20Court/Order%20and%20Opinions/SC-22-01%202-Notice%202-14-22.pdf?ver=2022-02-14-142814-147</w:t>
        </w:r>
      </w:hyperlink>
    </w:p>
    <w:p w14:paraId="2B18E9EE" w14:textId="77777777" w:rsidR="00E0390C" w:rsidRDefault="00E0390C" w:rsidP="00E0390C">
      <w:pPr>
        <w:pStyle w:val="Inkling"/>
      </w:pPr>
    </w:p>
    <w:p w14:paraId="75D31E22" w14:textId="77777777" w:rsidR="00E0390C" w:rsidRDefault="00E0390C" w:rsidP="00E0390C">
      <w:pPr>
        <w:pStyle w:val="Inkling"/>
      </w:pPr>
      <w:r>
        <w:t xml:space="preserve">Abbreviations for tribal sources can be found at reference sites for Indigenous and Tribal Law such as the National Indian Law Library including its Tribal Law Gateway and Research Guides, </w:t>
      </w:r>
      <w:hyperlink r:id="rId12" w:history="1">
        <w:r w:rsidRPr="00941458">
          <w:rPr>
            <w:rStyle w:val="Hyperlink"/>
          </w:rPr>
          <w:t>http://www.narf.org/nill/triballaw/index.html</w:t>
        </w:r>
      </w:hyperlink>
      <w:r>
        <w:t xml:space="preserve">. A table of tribal nations is available at the Bureau of Indian Affairs’ Tribal Leaders Directory for federally recognized tribes, </w:t>
      </w:r>
      <w:hyperlink r:id="rId13" w:history="1">
        <w:r w:rsidRPr="00941458">
          <w:rPr>
            <w:rStyle w:val="Hyperlink"/>
          </w:rPr>
          <w:t>https://www.bia.gov/service/tribal-leaders-directory</w:t>
        </w:r>
      </w:hyperlink>
      <w:r>
        <w:t>. Many U.S. and Canadian law schools also have helpful research guides posted on their law library websites. For academic legal documents, follow the citation conventions set forth at the relevant publication.</w:t>
      </w:r>
    </w:p>
    <w:p w14:paraId="30D358B9" w14:textId="168175B8" w:rsidR="003D78F7" w:rsidRPr="003D78F7" w:rsidRDefault="003D78F7" w:rsidP="003D78F7">
      <w:pPr>
        <w:textAlignment w:val="baseline"/>
        <w:rPr>
          <w:rFonts w:ascii="Segoe UI" w:eastAsia="Times New Roman" w:hAnsi="Segoe UI" w:cs="Segoe UI"/>
          <w:color w:val="000000"/>
          <w:sz w:val="21"/>
          <w:szCs w:val="21"/>
        </w:rPr>
      </w:pPr>
      <w:r w:rsidRPr="003D78F7">
        <w:rPr>
          <w:rFonts w:ascii="inherit" w:eastAsia="Times New Roman" w:hAnsi="inherit" w:cs="Calibri"/>
          <w:color w:val="000000"/>
          <w:bdr w:val="none" w:sz="0" w:space="0" w:color="auto" w:frame="1"/>
        </w:rPr>
        <w:t> </w:t>
      </w: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Ward v. Rock Against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1F04268C" w:rsidR="00F5734E" w:rsidRDefault="00F5734E" w:rsidP="00AC21D1">
      <w:pPr>
        <w:pStyle w:val="Example"/>
        <w:rPr>
          <w:rStyle w:val="None"/>
        </w:rPr>
      </w:pPr>
      <w:r w:rsidRPr="00AC21D1">
        <w:rPr>
          <w:rStyle w:val="None"/>
          <w:i/>
          <w:iCs/>
        </w:rPr>
        <w:t>Dep’t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7D4793DC" w14:textId="77777777" w:rsidR="00E92964" w:rsidRPr="00AC21D1" w:rsidRDefault="00E92964" w:rsidP="00AC21D1">
      <w:pPr>
        <w:pStyle w:val="Example"/>
      </w:pP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w:t>
      </w:r>
      <w:proofErr w:type="gramStart"/>
      <w:r>
        <w:rPr>
          <w:rStyle w:val="None"/>
        </w:rPr>
        <w:t>on the order of</w:t>
      </w:r>
      <w:proofErr w:type="gramEnd"/>
      <w:r>
        <w:rPr>
          <w:rStyle w:val="None"/>
        </w:rPr>
        <w:t xml:space="preserve">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96FA763" w:rsidR="00F5734E" w:rsidRDefault="00F5734E" w:rsidP="00AC21D1">
      <w:pPr>
        <w:pStyle w:val="Example"/>
        <w:rPr>
          <w:rStyle w:val="None"/>
        </w:rPr>
      </w:pPr>
      <w:r>
        <w:rPr>
          <w:rStyle w:val="None"/>
          <w:i/>
          <w:iCs/>
        </w:rPr>
        <w:t>Dep’t of Revenue v. James B. Beam Distilling Co.</w:t>
      </w:r>
      <w:r>
        <w:rPr>
          <w:rStyle w:val="None"/>
        </w:rPr>
        <w:t>, 377 U.S. 341, 349 (1964) (7–2 decision) (Black, J., dissenting) (disagreeing with Justice Goldberg as to the relative merits of bourbon and scotch).</w:t>
      </w:r>
    </w:p>
    <w:p w14:paraId="4B758849" w14:textId="76FA3427" w:rsidR="00C11BD3" w:rsidRDefault="00C11BD3" w:rsidP="00AC21D1">
      <w:pPr>
        <w:pStyle w:val="Example"/>
        <w:rPr>
          <w:rStyle w:val="None"/>
        </w:rPr>
      </w:pPr>
    </w:p>
    <w:p w14:paraId="2CB1F0A3" w14:textId="77777777" w:rsidR="00C11BD3" w:rsidRDefault="00C11BD3" w:rsidP="00C11BD3">
      <w:pPr>
        <w:pStyle w:val="InklingTitle"/>
      </w:pPr>
      <w:r>
        <w:t>Indigo Inkling</w:t>
      </w:r>
    </w:p>
    <w:p w14:paraId="41695C14" w14:textId="77777777" w:rsidR="00C11BD3" w:rsidRDefault="00C11BD3" w:rsidP="00C11BD3">
      <w:pPr>
        <w:pStyle w:val="Inkling"/>
      </w:pPr>
    </w:p>
    <w:p w14:paraId="6A298E62" w14:textId="00DC2A03" w:rsidR="00C11BD3" w:rsidRDefault="00C11BD3" w:rsidP="00C11BD3">
      <w:pPr>
        <w:pStyle w:val="Inkling"/>
        <w:rPr>
          <w:rStyle w:val="normaltextrun"/>
        </w:rPr>
      </w:pPr>
      <w:r w:rsidRPr="00C11BD3">
        <w:t>The United States Suprem</w:t>
      </w:r>
      <w:r>
        <w:t>e</w:t>
      </w:r>
      <w:r w:rsidRPr="00C11BD3">
        <w:t xml:space="preserve"> Court is famous for hearing oral arguments and issuing judicial opinions, but it has recently increased the practice of making decisions through the so-called “shadow docket</w:t>
      </w:r>
      <w:r w:rsidRPr="00C11BD3">
        <w:rPr>
          <w:rStyle w:val="normaltextrun"/>
        </w:rPr>
        <w:t xml:space="preserve">.” E.g., Stephen I. Vladeck, </w:t>
      </w:r>
      <w:r w:rsidRPr="00C11BD3">
        <w:rPr>
          <w:rStyle w:val="normaltextrun"/>
          <w:i/>
        </w:rPr>
        <w:t>The Solicitor Gen</w:t>
      </w:r>
      <w:r>
        <w:rPr>
          <w:rStyle w:val="normaltextrun"/>
          <w:i/>
        </w:rPr>
        <w:t>er</w:t>
      </w:r>
      <w:r w:rsidRPr="00C11BD3">
        <w:rPr>
          <w:rStyle w:val="normaltextrun"/>
          <w:i/>
        </w:rPr>
        <w:t>al and the Shadow Docket</w:t>
      </w:r>
      <w:r w:rsidRPr="00C11BD3">
        <w:rPr>
          <w:rStyle w:val="normaltextrun"/>
        </w:rPr>
        <w:t xml:space="preserve">, 133 Harv. L. Rev. 123 (2019); William Baude, </w:t>
      </w:r>
      <w:r w:rsidRPr="00C11BD3">
        <w:rPr>
          <w:rStyle w:val="normaltextrun"/>
          <w:i/>
        </w:rPr>
        <w:t>Foreword: The Supreme Court’s Shadow Docket</w:t>
      </w:r>
      <w:r w:rsidRPr="00C11BD3">
        <w:rPr>
          <w:rStyle w:val="normaltextrun"/>
        </w:rPr>
        <w:t>, 9 N.Y.U. J.L. &amp; Liberty 1 (2015). These rulings are issued without full briefing and argument and, in many cases, without identifying a particular justice as the author.</w:t>
      </w:r>
      <w:r>
        <w:rPr>
          <w:rStyle w:val="normaltextrun"/>
        </w:rPr>
        <w:t xml:space="preserve"> </w:t>
      </w:r>
    </w:p>
    <w:p w14:paraId="08D63697" w14:textId="77777777" w:rsidR="00C11BD3" w:rsidRDefault="00C11BD3" w:rsidP="00C11BD3">
      <w:pPr>
        <w:pStyle w:val="Inkling"/>
        <w:rPr>
          <w:rStyle w:val="normaltextrun"/>
        </w:rPr>
      </w:pPr>
    </w:p>
    <w:p w14:paraId="4DB77DE4" w14:textId="656F42F7" w:rsidR="00C11BD3" w:rsidRPr="00C11BD3" w:rsidRDefault="00C11BD3" w:rsidP="00C11BD3">
      <w:pPr>
        <w:pStyle w:val="Inkling"/>
        <w:rPr>
          <w:rStyle w:val="normaltextrun"/>
        </w:rPr>
      </w:pPr>
      <w:r w:rsidRPr="00C11BD3">
        <w:rPr>
          <w:rStyle w:val="normaltextrun"/>
        </w:rPr>
        <w:t>To cite Supreme Court dispositions on its shadow docket, follow Indigo Book Rules R11-R12 on cases citations to the extent possible.</w:t>
      </w:r>
      <w:r>
        <w:rPr>
          <w:rStyle w:val="normaltextrun"/>
        </w:rPr>
        <w:t xml:space="preserve"> </w:t>
      </w:r>
      <w:r w:rsidRPr="00C11BD3">
        <w:rPr>
          <w:rStyle w:val="normaltextrun"/>
        </w:rPr>
        <w:t xml:space="preserve">For example, provide a citation to Supreme Court Reports until the official United States Reports citation with pagination becomes available. </w:t>
      </w:r>
    </w:p>
    <w:p w14:paraId="136570BE" w14:textId="77777777" w:rsidR="00C11BD3" w:rsidRPr="00C11BD3" w:rsidRDefault="00C11BD3" w:rsidP="00C11BD3">
      <w:pPr>
        <w:pStyle w:val="Inkling"/>
        <w:rPr>
          <w:rStyle w:val="normaltextrun"/>
        </w:rPr>
      </w:pPr>
    </w:p>
    <w:p w14:paraId="35A2E57E" w14:textId="77777777" w:rsidR="00C11BD3" w:rsidRPr="00C11BD3" w:rsidRDefault="00C11BD3" w:rsidP="00C11BD3">
      <w:pPr>
        <w:pStyle w:val="Inkling"/>
      </w:pPr>
      <w:r w:rsidRPr="00C11BD3">
        <w:rPr>
          <w:rStyle w:val="normaltextrun"/>
        </w:rPr>
        <w:t>A parenthetical may be used to indicate the type of ruling, following the title or other information provided with the ruling:</w:t>
      </w:r>
    </w:p>
    <w:p w14:paraId="454ADCA7" w14:textId="77777777" w:rsidR="00C11BD3" w:rsidRPr="00C11BD3" w:rsidRDefault="00C11BD3" w:rsidP="00C11BD3">
      <w:pPr>
        <w:pStyle w:val="Inkling"/>
      </w:pPr>
      <w:r w:rsidRPr="00C11BD3">
        <w:rPr>
          <w:rStyle w:val="eop"/>
        </w:rPr>
        <w:t> </w:t>
      </w:r>
    </w:p>
    <w:p w14:paraId="63FFD040" w14:textId="77777777" w:rsidR="00C11BD3" w:rsidRPr="00C11BD3" w:rsidRDefault="00C11BD3" w:rsidP="00C11BD3">
      <w:pPr>
        <w:pStyle w:val="Inkling"/>
        <w:ind w:firstLine="720"/>
      </w:pPr>
      <w:r w:rsidRPr="00C11BD3">
        <w:rPr>
          <w:rStyle w:val="normaltextrun"/>
          <w:i/>
        </w:rPr>
        <w:t>Tandon v. Newsom</w:t>
      </w:r>
      <w:r w:rsidRPr="00C11BD3">
        <w:rPr>
          <w:rStyle w:val="normaltextrun"/>
        </w:rPr>
        <w:t>, 141 S. Ct. 1294 (2021) (per curiam).</w:t>
      </w:r>
      <w:r w:rsidRPr="00C11BD3">
        <w:rPr>
          <w:rStyle w:val="eop"/>
        </w:rPr>
        <w:t> </w:t>
      </w:r>
      <w:r w:rsidRPr="00C11BD3">
        <w:br/>
      </w:r>
      <w:r w:rsidRPr="00C11BD3">
        <w:rPr>
          <w:rStyle w:val="eop"/>
        </w:rPr>
        <w:t> </w:t>
      </w:r>
    </w:p>
    <w:p w14:paraId="67E5226E" w14:textId="77777777" w:rsidR="00C11BD3" w:rsidRPr="00C11BD3" w:rsidRDefault="00C11BD3" w:rsidP="00C11BD3">
      <w:pPr>
        <w:pStyle w:val="Inkling"/>
        <w:ind w:firstLine="720"/>
      </w:pPr>
      <w:r w:rsidRPr="00C11BD3">
        <w:rPr>
          <w:rStyle w:val="normaltextrun"/>
          <w:i/>
        </w:rPr>
        <w:t>Maryland v. King</w:t>
      </w:r>
      <w:r w:rsidRPr="00C11BD3">
        <w:rPr>
          <w:rStyle w:val="normaltextrun"/>
        </w:rPr>
        <w:t>, 133 S. Ct. 1 (2012) (Roberts, C.J., in chambers).</w:t>
      </w:r>
      <w:r w:rsidRPr="00C11BD3">
        <w:rPr>
          <w:rStyle w:val="eop"/>
        </w:rPr>
        <w:t> </w:t>
      </w:r>
    </w:p>
    <w:p w14:paraId="5C66C77A" w14:textId="77777777" w:rsidR="00C11BD3" w:rsidRPr="00C11BD3" w:rsidRDefault="00C11BD3" w:rsidP="00C11BD3">
      <w:pPr>
        <w:pStyle w:val="Inkling"/>
      </w:pPr>
      <w:r w:rsidRPr="00C11BD3">
        <w:rPr>
          <w:rStyle w:val="eop"/>
        </w:rPr>
        <w:t> </w:t>
      </w:r>
    </w:p>
    <w:p w14:paraId="6DFF7446" w14:textId="77777777" w:rsidR="00C11BD3" w:rsidRPr="00C11BD3" w:rsidRDefault="00C11BD3" w:rsidP="00C11BD3">
      <w:pPr>
        <w:pStyle w:val="Inkling"/>
      </w:pPr>
      <w:r w:rsidRPr="00C11BD3">
        <w:rPr>
          <w:rStyle w:val="normaltextrun"/>
        </w:rPr>
        <w:t xml:space="preserve">Use the above parentheticals only if the disposition explictly indicates it is per curiam or issued by a particular justice in chambers. Other rulings are not labeled as per curiam or signed in chambers. The traditional rule for citing such decisions was to add the parenthetical “(mem.)” after the citation: </w:t>
      </w:r>
    </w:p>
    <w:p w14:paraId="7C1CA347" w14:textId="77777777" w:rsidR="00C11BD3" w:rsidRPr="00C11BD3" w:rsidRDefault="00C11BD3" w:rsidP="00C11BD3">
      <w:pPr>
        <w:pStyle w:val="Inkling"/>
      </w:pPr>
      <w:r w:rsidRPr="00C11BD3">
        <w:rPr>
          <w:rStyle w:val="eop"/>
        </w:rPr>
        <w:t> </w:t>
      </w:r>
    </w:p>
    <w:p w14:paraId="71B0D2C0" w14:textId="77777777" w:rsidR="00C11BD3" w:rsidRPr="00C11BD3" w:rsidRDefault="00C11BD3" w:rsidP="00C11BD3">
      <w:pPr>
        <w:pStyle w:val="Inkling"/>
        <w:ind w:firstLine="720"/>
      </w:pPr>
      <w:r w:rsidRPr="00097871">
        <w:rPr>
          <w:rStyle w:val="normaltextrun"/>
          <w:i/>
        </w:rPr>
        <w:t>United States v. Higgs</w:t>
      </w:r>
      <w:r w:rsidRPr="00C11BD3">
        <w:rPr>
          <w:rStyle w:val="normaltextrun"/>
        </w:rPr>
        <w:t>, 141 S. Ct. 645 (2021) (mem.).</w:t>
      </w:r>
      <w:r w:rsidRPr="00C11BD3">
        <w:rPr>
          <w:rStyle w:val="eop"/>
        </w:rPr>
        <w:t> </w:t>
      </w:r>
    </w:p>
    <w:p w14:paraId="2792089C" w14:textId="77777777" w:rsidR="00C11BD3" w:rsidRPr="00C11BD3" w:rsidRDefault="00C11BD3" w:rsidP="00C11BD3">
      <w:pPr>
        <w:pStyle w:val="Inkling"/>
      </w:pPr>
      <w:r w:rsidRPr="00C11BD3">
        <w:rPr>
          <w:rStyle w:val="eop"/>
        </w:rPr>
        <w:t> </w:t>
      </w:r>
    </w:p>
    <w:p w14:paraId="28612210" w14:textId="77777777" w:rsidR="00C11BD3" w:rsidRPr="00C11BD3" w:rsidRDefault="00C11BD3" w:rsidP="00C11BD3">
      <w:pPr>
        <w:pStyle w:val="Inkling"/>
      </w:pPr>
      <w:r w:rsidRPr="00C11BD3">
        <w:rPr>
          <w:rStyle w:val="normaltextrun"/>
        </w:rPr>
        <w:t>The decisions falling into this category are not typically labeled “memorandum” by the Court itself; rather, this label comes from traditional citation practice to indicate what would otherwise look the same as a full opinion. Thus, we submit that other more descriptive parentheticals may be used in addition to or instead of (mem.) to indicate the posture of the decision: </w:t>
      </w:r>
      <w:r w:rsidRPr="00C11BD3">
        <w:rPr>
          <w:rStyle w:val="eop"/>
        </w:rPr>
        <w:t> </w:t>
      </w:r>
    </w:p>
    <w:p w14:paraId="31648E0A" w14:textId="77777777" w:rsidR="00C11BD3" w:rsidRPr="00C11BD3" w:rsidRDefault="00C11BD3" w:rsidP="00C11BD3">
      <w:pPr>
        <w:pStyle w:val="Inkling"/>
      </w:pPr>
      <w:r w:rsidRPr="00C11BD3">
        <w:rPr>
          <w:rStyle w:val="eop"/>
        </w:rPr>
        <w:t> </w:t>
      </w:r>
    </w:p>
    <w:p w14:paraId="79A9E162" w14:textId="77777777" w:rsidR="00C11BD3" w:rsidRPr="00C11BD3" w:rsidRDefault="00C11BD3" w:rsidP="00C11BD3">
      <w:pPr>
        <w:pStyle w:val="Inkling"/>
        <w:ind w:left="720"/>
      </w:pPr>
      <w:r w:rsidRPr="00C11BD3">
        <w:rPr>
          <w:rStyle w:val="normaltextrun"/>
          <w:i/>
        </w:rPr>
        <w:t>United States v. Higgs</w:t>
      </w:r>
      <w:r w:rsidRPr="00C11BD3">
        <w:rPr>
          <w:rStyle w:val="normaltextrun"/>
        </w:rPr>
        <w:t>, 141 S. Ct. 645 (2021) (emergency vacatur of stay and reversal, designating Indiana as state for inmate’s execution under 18 U.S.C. § 3596).</w:t>
      </w:r>
      <w:r w:rsidRPr="00C11BD3">
        <w:rPr>
          <w:rStyle w:val="eop"/>
        </w:rPr>
        <w:t> </w:t>
      </w:r>
    </w:p>
    <w:p w14:paraId="05385EF2" w14:textId="77777777" w:rsidR="00C11BD3" w:rsidRPr="00C11BD3" w:rsidRDefault="00C11BD3" w:rsidP="00C11BD3">
      <w:pPr>
        <w:pStyle w:val="Inkling"/>
      </w:pPr>
      <w:r w:rsidRPr="00C11BD3">
        <w:rPr>
          <w:rStyle w:val="eop"/>
        </w:rPr>
        <w:t> </w:t>
      </w:r>
    </w:p>
    <w:p w14:paraId="5E9F2495" w14:textId="77777777" w:rsidR="00C11BD3" w:rsidRPr="00C11BD3" w:rsidRDefault="00C11BD3" w:rsidP="00C11BD3">
      <w:pPr>
        <w:pStyle w:val="Inkling"/>
        <w:ind w:firstLine="720"/>
      </w:pPr>
      <w:r w:rsidRPr="00C11BD3">
        <w:rPr>
          <w:rStyle w:val="normaltextrun"/>
          <w:i/>
        </w:rPr>
        <w:t>Whole Woman’s Health v. Jackson</w:t>
      </w:r>
      <w:r w:rsidRPr="00C11BD3">
        <w:rPr>
          <w:rStyle w:val="normaltextrun"/>
        </w:rPr>
        <w:t>, 141 S. Ct. 2494 (2021) (mem.) (unsigned, on application for injunctive relief).</w:t>
      </w:r>
      <w:r w:rsidRPr="00C11BD3">
        <w:rPr>
          <w:rStyle w:val="eop"/>
        </w:rPr>
        <w:t> </w:t>
      </w:r>
    </w:p>
    <w:p w14:paraId="1A4B4A96" w14:textId="77777777" w:rsidR="00C11BD3" w:rsidRPr="00C11BD3" w:rsidRDefault="00C11BD3" w:rsidP="00C11BD3">
      <w:pPr>
        <w:pStyle w:val="Inkling"/>
      </w:pPr>
      <w:r w:rsidRPr="00C11BD3">
        <w:rPr>
          <w:rStyle w:val="eop"/>
        </w:rPr>
        <w:t> </w:t>
      </w:r>
    </w:p>
    <w:p w14:paraId="557929E4" w14:textId="77777777" w:rsidR="00C11BD3" w:rsidRPr="00C11BD3" w:rsidRDefault="00C11BD3" w:rsidP="00C11BD3">
      <w:pPr>
        <w:pStyle w:val="Inkling"/>
      </w:pPr>
      <w:r w:rsidRPr="00C11BD3">
        <w:rPr>
          <w:rStyle w:val="normaltextrun"/>
        </w:rPr>
        <w:t xml:space="preserve">Shadow-docket decisions by the majority of the Court can be, and recently often are, accompanied by signed concurring or dissenting opinions. Dissents and other statements attached to the decision may be indicated in a similar fashion to concurrences and dissents from fully argued opinions on the merits. When one justice concurs or dissents in an opinion attached to a shadow docket decision and one or more justices join that opinion, indicate only the authoring justice. Indicate a pincite to concurring or dissenting opinions. The parenthetical (mem.) or other appropriate notation may optionally be included as well, to indicate that the concurrence or dissent is referring to an action that does not itself constitute a full formal opinion. </w:t>
      </w:r>
    </w:p>
    <w:p w14:paraId="24490205" w14:textId="77777777" w:rsidR="00C11BD3" w:rsidRPr="00C11BD3" w:rsidRDefault="00C11BD3" w:rsidP="00C11BD3">
      <w:pPr>
        <w:pStyle w:val="Inkling"/>
      </w:pPr>
      <w:r w:rsidRPr="00C11BD3">
        <w:rPr>
          <w:rStyle w:val="eop"/>
        </w:rPr>
        <w:t> </w:t>
      </w:r>
    </w:p>
    <w:p w14:paraId="1FDF4CC4" w14:textId="77777777" w:rsidR="00C11BD3" w:rsidRPr="00C11BD3" w:rsidRDefault="00C11BD3" w:rsidP="00C11BD3">
      <w:pPr>
        <w:pStyle w:val="Inkling"/>
        <w:ind w:left="720"/>
      </w:pPr>
      <w:r w:rsidRPr="00C11BD3">
        <w:rPr>
          <w:rStyle w:val="normaltextrun"/>
          <w:i/>
        </w:rPr>
        <w:t>Ala. Ass’n of Realtors v. Dep’t  of Health &amp; Hum. Servs.</w:t>
      </w:r>
      <w:r w:rsidRPr="00C11BD3">
        <w:rPr>
          <w:rStyle w:val="normaltextrun"/>
        </w:rPr>
        <w:t>, 141 S. Ct. 2485, 2485 (2021) (mem.) (Roberts, C.J., concurring).</w:t>
      </w:r>
      <w:r w:rsidRPr="00C11BD3">
        <w:rPr>
          <w:rStyle w:val="eop"/>
        </w:rPr>
        <w:t> </w:t>
      </w:r>
    </w:p>
    <w:p w14:paraId="5490B19A" w14:textId="77777777" w:rsidR="00C11BD3" w:rsidRPr="00C11BD3" w:rsidRDefault="00C11BD3" w:rsidP="00C11BD3">
      <w:pPr>
        <w:pStyle w:val="Inkling"/>
      </w:pPr>
      <w:r w:rsidRPr="00C11BD3">
        <w:rPr>
          <w:rStyle w:val="eop"/>
        </w:rPr>
        <w:t> </w:t>
      </w:r>
    </w:p>
    <w:p w14:paraId="44004FCC" w14:textId="77777777" w:rsidR="00C11BD3" w:rsidRDefault="00C11BD3" w:rsidP="00C11BD3">
      <w:pPr>
        <w:pStyle w:val="Inkling"/>
        <w:ind w:firstLine="720"/>
        <w:rPr>
          <w:rStyle w:val="normaltextrun"/>
        </w:rPr>
      </w:pPr>
      <w:r w:rsidRPr="00C11BD3">
        <w:rPr>
          <w:rStyle w:val="normaltextrun"/>
          <w:i/>
        </w:rPr>
        <w:t>United States v. Higgs</w:t>
      </w:r>
      <w:r w:rsidRPr="00C11BD3">
        <w:rPr>
          <w:rStyle w:val="normaltextrun"/>
        </w:rPr>
        <w:t>, 141 S. Ct. 645, 647 (2021) (Sotomayor, J., dissenting from vote).</w:t>
      </w:r>
    </w:p>
    <w:p w14:paraId="03D5F5F3" w14:textId="4261FBA9" w:rsidR="00C11BD3" w:rsidRPr="00C11BD3" w:rsidRDefault="00C11BD3" w:rsidP="00C11BD3">
      <w:pPr>
        <w:pStyle w:val="Inkling"/>
        <w:ind w:firstLine="720"/>
        <w:rPr>
          <w:rStyle w:val="None"/>
        </w:rPr>
      </w:pPr>
      <w:r w:rsidRPr="00C11BD3">
        <w:rPr>
          <w:rStyle w:val="normaltextrun"/>
        </w:rPr>
        <w:t> </w:t>
      </w:r>
      <w:r w:rsidRPr="00C11BD3">
        <w:rPr>
          <w:rStyle w:val="eop"/>
        </w:rPr>
        <w:t> </w:t>
      </w:r>
      <w:bookmarkStart w:id="28" w:name="_Toc78928054"/>
    </w:p>
    <w:p w14:paraId="28CB52B9" w14:textId="454F0740" w:rsidR="00F5734E" w:rsidRPr="007D1359" w:rsidRDefault="00F5734E" w:rsidP="003E5933">
      <w:pPr>
        <w:pStyle w:val="Heading3"/>
        <w:rPr>
          <w:rStyle w:val="None"/>
          <w:b w:val="0"/>
          <w:bCs w:val="0"/>
          <w:sz w:val="27"/>
          <w:szCs w:val="27"/>
        </w:rPr>
      </w:pPr>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8"/>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 xml:space="preserve">When citing a case, include the subsequent history of the case, subject to </w:t>
      </w:r>
      <w:proofErr w:type="gramStart"/>
      <w:r w:rsidRPr="003367D7">
        <w:rPr>
          <w:rStyle w:val="None"/>
        </w:rPr>
        <w:t>several</w:t>
      </w:r>
      <w:proofErr w:type="gramEnd"/>
      <w:r w:rsidRPr="003367D7">
        <w:rPr>
          <w:rStyle w:val="None"/>
        </w:rPr>
        <w:t xml:space="preserve">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w:t>
      </w:r>
      <w:proofErr w:type="gramStart"/>
      <w:r>
        <w:rPr>
          <w:rStyle w:val="None"/>
          <w:lang w:val="en-US"/>
        </w:rPr>
        <w:t>an important role</w:t>
      </w:r>
      <w:proofErr w:type="gramEnd"/>
      <w:r>
        <w:rPr>
          <w:rStyle w:val="None"/>
          <w:lang w:val="en-US"/>
        </w:rPr>
        <w:t xml:space="preserve"> in defining what the law is. To figure out the difference between good law and bad law, we </w:t>
      </w:r>
      <w:proofErr w:type="gramStart"/>
      <w:r>
        <w:rPr>
          <w:rStyle w:val="None"/>
          <w:lang w:val="en-US"/>
        </w:rPr>
        <w:t>have to</w:t>
      </w:r>
      <w:proofErr w:type="gramEnd"/>
      <w:r>
        <w:rPr>
          <w:rStyle w:val="None"/>
          <w:lang w:val="en-US"/>
        </w:rPr>
        <w:t xml:space="preserve"> look at the case’s subsequent history to make sure it was not vacated or reversed on the point being relied upon in a cited assertion. These types of important subsequent history </w:t>
      </w:r>
      <w:proofErr w:type="gramStart"/>
      <w:r>
        <w:rPr>
          <w:rStyle w:val="None"/>
          <w:lang w:val="en-US"/>
        </w:rPr>
        <w:t>are required</w:t>
      </w:r>
      <w:proofErr w:type="gramEnd"/>
      <w:r>
        <w:rPr>
          <w:rStyle w:val="None"/>
          <w:lang w:val="en-US"/>
        </w:rPr>
        <w:t xml:space="preserve"> by the Uniform System of Citation. On the other hand, some subsequent history is </w:t>
      </w:r>
      <w:proofErr w:type="gramStart"/>
      <w:r>
        <w:rPr>
          <w:rStyle w:val="None"/>
          <w:lang w:val="en-US"/>
        </w:rPr>
        <w:t>generally unimportant</w:t>
      </w:r>
      <w:proofErr w:type="gramEnd"/>
      <w:r>
        <w:rPr>
          <w:rStyle w:val="None"/>
          <w:lang w:val="en-US"/>
        </w:rPr>
        <w:t xml:space="preserve">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w:t>
      </w:r>
      <w:proofErr w:type="gramStart"/>
      <w:r>
        <w:rPr>
          <w:rStyle w:val="None"/>
          <w:lang w:val="en-US"/>
        </w:rPr>
        <w:t>some</w:t>
      </w:r>
      <w:proofErr w:type="gramEnd"/>
      <w:r>
        <w:rPr>
          <w:rStyle w:val="None"/>
          <w:lang w:val="en-US"/>
        </w:rPr>
        <w:t xml:space="preserv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 xml:space="preserve">Note that subsequent history is the history of that </w:t>
      </w:r>
      <w:proofErr w:type="gramStart"/>
      <w:r>
        <w:rPr>
          <w:rStyle w:val="None"/>
          <w:lang w:val="en-US"/>
        </w:rPr>
        <w:t>particular case</w:t>
      </w:r>
      <w:proofErr w:type="gramEnd"/>
      <w:r>
        <w:rPr>
          <w:rStyle w:val="None"/>
          <w:lang w:val="en-US"/>
        </w:rPr>
        <w:t xml:space="preserv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t>
      </w:r>
      <w:proofErr w:type="gramStart"/>
      <w:r>
        <w:rPr>
          <w:rStyle w:val="None"/>
          <w:lang w:val="en-US"/>
        </w:rPr>
        <w:t>was later overruled</w:t>
      </w:r>
      <w:proofErr w:type="gramEnd"/>
      <w:r>
        <w:rPr>
          <w:rStyle w:val="None"/>
          <w:lang w:val="en-US"/>
        </w:rPr>
        <w:t>,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w:t>
      </w:r>
      <w:proofErr w:type="gramStart"/>
      <w:r w:rsidR="00A76812">
        <w:rPr>
          <w:rStyle w:val="None"/>
        </w:rPr>
        <w:t>being made</w:t>
      </w:r>
      <w:proofErr w:type="gramEnd"/>
      <w:r w:rsidR="00A76812">
        <w:rPr>
          <w:rStyle w:val="None"/>
        </w:rPr>
        <w:t>.</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429FF135"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 xml:space="preserve">italicized, </w:t>
      </w:r>
      <w:r w:rsidR="003F7350">
        <w:rPr>
          <w:rStyle w:val="None"/>
        </w:rPr>
        <w:t xml:space="preserve">and </w:t>
      </w:r>
      <w:r w:rsidR="003A0688">
        <w:rPr>
          <w:rStyle w:val="None"/>
        </w:rPr>
        <w:t>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 xml:space="preserve">whether the primary case </w:t>
      </w:r>
      <w:proofErr w:type="gramStart"/>
      <w:r w:rsidR="00ED5BE6">
        <w:rPr>
          <w:rStyle w:val="None"/>
        </w:rPr>
        <w:t>being cited</w:t>
      </w:r>
      <w:proofErr w:type="gramEnd"/>
      <w:r w:rsidR="00ED5BE6">
        <w:rPr>
          <w:rStyle w:val="None"/>
        </w:rPr>
        <w:t xml:space="preserve">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301"/>
        <w:gridCol w:w="4209"/>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 xml:space="preserve">Case </w:t>
            </w:r>
            <w:proofErr w:type="gramStart"/>
            <w:r>
              <w:rPr>
                <w:rStyle w:val="None"/>
              </w:rPr>
              <w:t>was affirmed</w:t>
            </w:r>
            <w:proofErr w:type="gramEnd"/>
            <w:r>
              <w:rPr>
                <w:rStyle w:val="None"/>
              </w:rPr>
              <w:t xml:space="preserve">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proofErr w:type="gramStart"/>
            <w:r w:rsidRPr="00136CD8">
              <w:rPr>
                <w:rStyle w:val="None"/>
                <w:i/>
                <w:iCs/>
              </w:rPr>
              <w:t>rev’d</w:t>
            </w:r>
            <w:proofErr w:type="spellEnd"/>
            <w:proofErr w:type="gram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 xml:space="preserve">Case has </w:t>
            </w:r>
            <w:proofErr w:type="gramStart"/>
            <w:r>
              <w:rPr>
                <w:rStyle w:val="None"/>
              </w:rPr>
              <w:t>been reversed</w:t>
            </w:r>
            <w:proofErr w:type="gramEnd"/>
            <w:r w:rsidR="003A0688">
              <w:rPr>
                <w:rStyle w:val="None"/>
              </w:rPr>
              <w:t>.</w:t>
            </w:r>
            <w:r w:rsidR="00E82704">
              <w:rPr>
                <w:rStyle w:val="None"/>
              </w:rPr>
              <w:t xml:space="preserve"> Note this subsequent history can be combined with </w:t>
            </w:r>
            <w:proofErr w:type="spellStart"/>
            <w:proofErr w:type="gramStart"/>
            <w:r w:rsidR="00E82704">
              <w:rPr>
                <w:rStyle w:val="None"/>
                <w:i/>
                <w:iCs/>
              </w:rPr>
              <w:t>rev’d</w:t>
            </w:r>
            <w:proofErr w:type="spellEnd"/>
            <w:proofErr w:type="gram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proofErr w:type="gramStart"/>
            <w:r w:rsidRPr="00136CD8">
              <w:rPr>
                <w:rStyle w:val="None"/>
                <w:i/>
                <w:iCs/>
              </w:rPr>
              <w:t>rev’d</w:t>
            </w:r>
            <w:proofErr w:type="spellEnd"/>
            <w:proofErr w:type="gram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 xml:space="preserve">Case has </w:t>
            </w:r>
            <w:proofErr w:type="gramStart"/>
            <w:r>
              <w:rPr>
                <w:rStyle w:val="None"/>
              </w:rPr>
              <w:t>been reversed</w:t>
            </w:r>
            <w:proofErr w:type="gramEnd"/>
            <w:r>
              <w:rPr>
                <w:rStyle w:val="None"/>
              </w:rPr>
              <w:t xml:space="preserve">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 xml:space="preserve">cert. </w:t>
            </w:r>
            <w:proofErr w:type="gramStart"/>
            <w:r>
              <w:rPr>
                <w:rStyle w:val="None"/>
                <w:i/>
                <w:iCs/>
              </w:rPr>
              <w:t>denied</w:t>
            </w:r>
            <w:proofErr w:type="gramEnd"/>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proofErr w:type="gramStart"/>
            <w:r w:rsidR="003A0688">
              <w:rPr>
                <w:rStyle w:val="None"/>
              </w:rPr>
              <w:t>only</w:t>
            </w:r>
            <w:proofErr w:type="gramEnd"/>
            <w:r w:rsidR="003A0688">
              <w:rPr>
                <w:rStyle w:val="None"/>
              </w:rPr>
              <w:t xml:space="preserve">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 xml:space="preserve">Case </w:t>
            </w:r>
            <w:proofErr w:type="gramStart"/>
            <w:r>
              <w:rPr>
                <w:rStyle w:val="None"/>
              </w:rPr>
              <w:t>was vacated</w:t>
            </w:r>
            <w:proofErr w:type="gramEnd"/>
            <w:r>
              <w:rPr>
                <w:rStyle w:val="None"/>
              </w:rPr>
              <w:t xml:space="preserve">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In re Verizon Internet Servs., Inc.</w:t>
      </w:r>
      <w:r w:rsidRPr="00755409">
        <w:rPr>
          <w:rStyle w:val="None"/>
        </w:rPr>
        <w:t>, 257 F. Supp. 2d 244 (D.D.C. 2003), </w:t>
      </w:r>
      <w:proofErr w:type="spellStart"/>
      <w:proofErr w:type="gramStart"/>
      <w:r w:rsidRPr="00755409">
        <w:rPr>
          <w:rStyle w:val="None"/>
          <w:i/>
          <w:iCs/>
        </w:rPr>
        <w:t>rev’d</w:t>
      </w:r>
      <w:proofErr w:type="spellEnd"/>
      <w:proofErr w:type="gram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Servs., Inc.</w:t>
      </w:r>
      <w:r w:rsidRPr="00755409">
        <w:rPr>
          <w:rStyle w:val="None"/>
        </w:rPr>
        <w:t xml:space="preserve">, 351 F.3d 1229 (D.C. Cir. 2003). </w:t>
      </w:r>
    </w:p>
    <w:p w14:paraId="5A4EA4A4" w14:textId="4057203F" w:rsidR="00F5734E" w:rsidRPr="00755409" w:rsidRDefault="00F009ED" w:rsidP="003F7350">
      <w:pPr>
        <w:pStyle w:val="Example"/>
        <w:ind w:firstLine="720"/>
        <w:rPr>
          <w:rStyle w:val="None"/>
        </w:rPr>
      </w:pPr>
      <w:r w:rsidRPr="00755409">
        <w:rPr>
          <w:rStyle w:val="None"/>
        </w:rPr>
        <w:t>—</w:t>
      </w:r>
      <w:r w:rsidR="00F5734E" w:rsidRPr="00755409">
        <w:rPr>
          <w:rStyle w:val="None"/>
        </w:rPr>
        <w:t xml:space="preserve">Note: This subsequent history </w:t>
      </w:r>
      <w:proofErr w:type="gramStart"/>
      <w:r w:rsidR="00F5734E" w:rsidRPr="00755409">
        <w:rPr>
          <w:rStyle w:val="None"/>
        </w:rPr>
        <w:t>is always required</w:t>
      </w:r>
      <w:proofErr w:type="gramEnd"/>
      <w:r w:rsidR="00F5734E" w:rsidRPr="00755409">
        <w:rPr>
          <w:rStyle w:val="None"/>
        </w:rPr>
        <w:t xml:space="preserve">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0CF552C7" w:rsidR="00F5734E" w:rsidRPr="00755409" w:rsidRDefault="00F009ED" w:rsidP="003F7350">
      <w:pPr>
        <w:pStyle w:val="Example"/>
        <w:ind w:firstLine="720"/>
        <w:rPr>
          <w:rStyle w:val="None"/>
        </w:rPr>
      </w:pPr>
      <w:r w:rsidRPr="00755409">
        <w:rPr>
          <w:rStyle w:val="None"/>
        </w:rPr>
        <w:t>—</w:t>
      </w:r>
      <w:r w:rsidR="00F5734E" w:rsidRPr="00755409">
        <w:rPr>
          <w:rStyle w:val="None"/>
        </w:rPr>
        <w:t xml:space="preserve">Note: This would be an appropriate citation while the Supreme Court’s decision and opinion remained pending. After the opinion, it is unlikely that this citation would </w:t>
      </w:r>
      <w:proofErr w:type="gramStart"/>
      <w:r w:rsidR="00F5734E" w:rsidRPr="00755409">
        <w:rPr>
          <w:rStyle w:val="None"/>
        </w:rPr>
        <w:t>be needed</w:t>
      </w:r>
      <w:proofErr w:type="gramEnd"/>
      <w:r w:rsidR="00F5734E" w:rsidRPr="00755409">
        <w:rPr>
          <w:rStyle w:val="None"/>
        </w:rPr>
        <w:t xml:space="preserve"> since the Supreme Court opinion itself is the final authority.</w:t>
      </w:r>
      <w:r w:rsidR="00A811EF" w:rsidRPr="00755409">
        <w:rPr>
          <w:rStyle w:val="None"/>
        </w:rPr>
        <w:t xml:space="preserve"> </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Env't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 xml:space="preserve">Note: This denial of certiorari </w:t>
      </w:r>
      <w:proofErr w:type="gramStart"/>
      <w:r w:rsidR="00F5734E" w:rsidRPr="00755409">
        <w:rPr>
          <w:rStyle w:val="None"/>
        </w:rPr>
        <w:t>is included</w:t>
      </w:r>
      <w:proofErr w:type="gramEnd"/>
      <w:r w:rsidR="00F5734E" w:rsidRPr="00755409">
        <w:rPr>
          <w:rStyle w:val="None"/>
        </w:rPr>
        <w:t xml:space="preserve">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5ACDC3D4"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 xml:space="preserve">collateral </w:t>
      </w:r>
      <w:proofErr w:type="gramStart"/>
      <w:r>
        <w:rPr>
          <w:rStyle w:val="None"/>
        </w:rPr>
        <w:t>litigatio</w:t>
      </w:r>
      <w:r w:rsidR="004449CB">
        <w:rPr>
          <w:rStyle w:val="None"/>
        </w:rPr>
        <w:t>n</w:t>
      </w:r>
      <w:proofErr w:type="gramEnd"/>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w:t>
      </w:r>
      <w:proofErr w:type="gramStart"/>
      <w:r w:rsidR="00BC36D8">
        <w:rPr>
          <w:rStyle w:val="None"/>
        </w:rPr>
        <w:t xml:space="preserve">is </w:t>
      </w:r>
      <w:r w:rsidR="00BC36D8">
        <w:rPr>
          <w:rStyle w:val="None"/>
          <w:i/>
          <w:iCs/>
        </w:rPr>
        <w:t>overruled</w:t>
      </w:r>
      <w:proofErr w:type="gramEnd"/>
      <w:r w:rsidR="00BC36D8">
        <w:rPr>
          <w:rStyle w:val="None"/>
          <w:i/>
          <w:iCs/>
        </w:rPr>
        <w:t xml:space="preserve">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w:t>
      </w:r>
      <w:proofErr w:type="gramStart"/>
      <w:r>
        <w:rPr>
          <w:rStyle w:val="None"/>
        </w:rPr>
        <w:t>is superseded</w:t>
      </w:r>
      <w:proofErr w:type="gramEnd"/>
      <w:r>
        <w:rPr>
          <w:rStyle w:val="None"/>
        </w:rPr>
        <w:t xml:space="preserve"> by statute or by a constitutional amendment. </w:t>
      </w:r>
      <w:r w:rsidR="00711E25">
        <w:rPr>
          <w:rStyle w:val="None"/>
        </w:rPr>
        <w:t xml:space="preserve">The subsequent legislative or constitutional history may </w:t>
      </w:r>
      <w:proofErr w:type="gramStart"/>
      <w:r w:rsidR="00711E25">
        <w:rPr>
          <w:rStyle w:val="None"/>
        </w:rPr>
        <w:t>be noted</w:t>
      </w:r>
      <w:proofErr w:type="gramEnd"/>
      <w:r w:rsidR="00711E25">
        <w:rPr>
          <w:rStyle w:val="None"/>
        </w:rPr>
        <w:t xml:space="preserve">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Mut. Ins. Co.</w:t>
      </w:r>
      <w:r w:rsidRPr="00E30769">
        <w:rPr>
          <w:rStyle w:val="None"/>
        </w:rPr>
        <w:t xml:space="preserve">, 379 N.W.2d 860 (Wis. Ct. App. 1985), </w:t>
      </w:r>
      <w:r w:rsidR="001B7BE4" w:rsidRPr="001B4056">
        <w:rPr>
          <w:rStyle w:val="None"/>
          <w:i/>
          <w:iCs/>
        </w:rPr>
        <w:t>overruled by Hull v. St. Farm Mut.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2535F510"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w:t>
      </w:r>
      <w:r w:rsidR="008978F1">
        <w:rPr>
          <w:rStyle w:val="None"/>
        </w:rPr>
        <w:t xml:space="preserve">§ </w:t>
      </w:r>
      <w:r w:rsidRPr="00E30769">
        <w:rPr>
          <w:rStyle w:val="None"/>
        </w:rPr>
        <w:t>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w:t>
      </w:r>
      <w:r w:rsidR="008978F1">
        <w:rPr>
          <w:rStyle w:val="None"/>
          <w:i/>
          <w:iCs/>
        </w:rPr>
        <w:t>h</w:t>
      </w:r>
      <w:r w:rsidR="00F356BB" w:rsidRPr="001B4056">
        <w:rPr>
          <w:rStyle w:val="None"/>
          <w:i/>
          <w:iCs/>
        </w:rPr>
        <w:t>.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(“under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Comm’r</w:t>
      </w:r>
      <w:r>
        <w:rPr>
          <w:rStyle w:val="None"/>
          <w:lang w:val="en-US"/>
        </w:rPr>
        <w:t>, 939 F.2d 44 (3d Cir. 1991), </w:t>
      </w:r>
      <w:proofErr w:type="spellStart"/>
      <w:proofErr w:type="gramStart"/>
      <w:r>
        <w:rPr>
          <w:rStyle w:val="None"/>
          <w:i/>
          <w:iCs/>
          <w:lang w:val="en-US"/>
        </w:rPr>
        <w:t>rev’d</w:t>
      </w:r>
      <w:proofErr w:type="spellEnd"/>
      <w:proofErr w:type="gramEnd"/>
      <w:r>
        <w:rPr>
          <w:rStyle w:val="None"/>
          <w:i/>
          <w:iCs/>
          <w:lang w:val="en-US"/>
        </w:rPr>
        <w:t xml:space="preserve"> sub nom. Horn v. Comm’r</w:t>
      </w:r>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xml:space="preserve"> provide the new case name if either the parties’ names </w:t>
      </w:r>
      <w:proofErr w:type="gramStart"/>
      <w:r>
        <w:rPr>
          <w:rStyle w:val="None"/>
          <w:lang w:val="en-US"/>
        </w:rPr>
        <w:t>are merely reversed</w:t>
      </w:r>
      <w:proofErr w:type="gramEnd"/>
      <w:r>
        <w:rPr>
          <w:rStyle w:val="None"/>
          <w:lang w:val="en-US"/>
        </w:rPr>
        <w:t xml:space="preserve">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 xml:space="preserve">United States v. </w:t>
      </w:r>
      <w:proofErr w:type="gramStart"/>
      <w:r>
        <w:rPr>
          <w:rStyle w:val="None"/>
          <w:i/>
          <w:iCs/>
          <w:lang w:val="en-US"/>
        </w:rPr>
        <w:t>Schmuck</w:t>
      </w:r>
      <w:proofErr w:type="gramEnd"/>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 xml:space="preserve">United States v. </w:t>
      </w:r>
      <w:proofErr w:type="gramStart"/>
      <w:r>
        <w:rPr>
          <w:rStyle w:val="None"/>
          <w:i/>
          <w:iCs/>
          <w:lang w:val="en-US"/>
        </w:rPr>
        <w:t>Schmuck</w:t>
      </w:r>
      <w:proofErr w:type="gramEnd"/>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690153F3" w:rsidR="00F5734E" w:rsidRDefault="00F5734E" w:rsidP="00800FB1">
      <w:pPr>
        <w:pStyle w:val="Example"/>
        <w:rPr>
          <w:rStyle w:val="None"/>
        </w:rPr>
      </w:pPr>
      <w:r w:rsidRPr="75F4831C">
        <w:rPr>
          <w:rStyle w:val="None"/>
          <w:i/>
          <w:iCs/>
        </w:rPr>
        <w:t xml:space="preserve">Rives v. </w:t>
      </w:r>
      <w:proofErr w:type="spellStart"/>
      <w:r w:rsidRPr="75F4831C">
        <w:rPr>
          <w:rStyle w:val="None"/>
          <w:i/>
          <w:iCs/>
        </w:rPr>
        <w:t>Wilborne</w:t>
      </w:r>
      <w:proofErr w:type="spellEnd"/>
      <w:r w:rsidRPr="75F4831C">
        <w:rPr>
          <w:rStyle w:val="None"/>
        </w:rPr>
        <w:t>, 6 Ala. 45, 47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8B7D48F" w:rsidR="00F5734E" w:rsidRDefault="00F5734E" w:rsidP="004631F5">
      <w:pPr>
        <w:pStyle w:val="Inkling"/>
        <w:rPr>
          <w:rStyle w:val="None"/>
          <w:lang w:val="en-US"/>
        </w:rPr>
      </w:pPr>
      <w:r w:rsidRPr="75F4831C">
        <w:rPr>
          <w:rStyle w:val="None"/>
          <w:lang w:val="en-US"/>
        </w:rPr>
        <w:t xml:space="preserve">Legal citation is not just a set of formatting rules, but an expression of ethics, an expression extending far beyond the dictate to </w:t>
      </w:r>
      <w:proofErr w:type="gramStart"/>
      <w:r w:rsidRPr="75F4831C">
        <w:rPr>
          <w:rStyle w:val="None"/>
          <w:lang w:val="en-US"/>
        </w:rPr>
        <w:t>literally cite</w:t>
      </w:r>
      <w:proofErr w:type="gramEnd"/>
      <w:r w:rsidRPr="75F4831C">
        <w:rPr>
          <w:rStyle w:val="None"/>
          <w:lang w:val="en-US"/>
        </w:rPr>
        <w:t xml:space="preserv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sidRPr="75F4831C">
        <w:rPr>
          <w:rStyle w:val="None"/>
          <w:i/>
          <w:iCs/>
          <w:lang w:val="en-US"/>
        </w:rPr>
        <w:t>See, e.g.</w:t>
      </w:r>
      <w:r w:rsidRPr="75F4831C">
        <w:rPr>
          <w:rStyle w:val="None"/>
          <w:lang w:val="en-US"/>
        </w:rPr>
        <w:t xml:space="preserve">, Susie Salmon, </w:t>
      </w:r>
      <w:r w:rsidRPr="75F4831C">
        <w:rPr>
          <w:rStyle w:val="None"/>
          <w:i/>
          <w:iCs/>
          <w:lang w:val="en-US"/>
        </w:rPr>
        <w:t>Shedding the Uniform: Beyond a “Uniform System of Citation” to a More Efficient Fit</w:t>
      </w:r>
      <w:r w:rsidRPr="75F4831C">
        <w:rPr>
          <w:rStyle w:val="None"/>
          <w:lang w:val="en-US"/>
        </w:rPr>
        <w:t xml:space="preserve">, 99 </w:t>
      </w:r>
      <w:proofErr w:type="spellStart"/>
      <w:r w:rsidRPr="75F4831C">
        <w:rPr>
          <w:rStyle w:val="None"/>
          <w:lang w:val="en-US"/>
        </w:rPr>
        <w:t>Marq</w:t>
      </w:r>
      <w:proofErr w:type="spellEnd"/>
      <w:r w:rsidRPr="75F4831C">
        <w:rPr>
          <w:rStyle w:val="None"/>
          <w:lang w:val="en-US"/>
        </w:rPr>
        <w:t xml:space="preserve">. L. Rev. 763 (2016); </w:t>
      </w:r>
      <w:r w:rsidR="00A47667">
        <w:rPr>
          <w:rStyle w:val="None"/>
          <w:lang w:val="en-US"/>
        </w:rPr>
        <w:t xml:space="preserve">Jennifer Elisa Chapman, </w:t>
      </w:r>
      <w:r w:rsidR="003D6FED" w:rsidRPr="00A47667">
        <w:rPr>
          <w:rStyle w:val="None"/>
          <w:i/>
          <w:iCs/>
          <w:lang w:val="en-US"/>
        </w:rPr>
        <w:t>Citation Ethics: Towards an Ethical Framework of Legal Citation</w:t>
      </w:r>
      <w:r w:rsidR="003D6FED" w:rsidRPr="003D6FED">
        <w:rPr>
          <w:rStyle w:val="None"/>
          <w:lang w:val="en-US"/>
        </w:rPr>
        <w:t xml:space="preserve">, in </w:t>
      </w:r>
      <w:r w:rsidR="003D6FED" w:rsidRPr="00A47667">
        <w:rPr>
          <w:rStyle w:val="None"/>
          <w:i/>
          <w:iCs/>
          <w:lang w:val="en-US"/>
        </w:rPr>
        <w:t>The Role of Citation in the Law: A Yale Law School Symposium</w:t>
      </w:r>
      <w:r w:rsidR="003D6FED" w:rsidRPr="003D6FED">
        <w:rPr>
          <w:rStyle w:val="None"/>
          <w:lang w:val="en-US"/>
        </w:rPr>
        <w:t xml:space="preserve"> (Michael </w:t>
      </w:r>
      <w:proofErr w:type="spellStart"/>
      <w:r w:rsidR="003D6FED" w:rsidRPr="003D6FED">
        <w:rPr>
          <w:rStyle w:val="None"/>
          <w:lang w:val="en-US"/>
        </w:rPr>
        <w:t>Chiorazzi</w:t>
      </w:r>
      <w:proofErr w:type="spellEnd"/>
      <w:r w:rsidR="003D6FED" w:rsidRPr="003D6FED">
        <w:rPr>
          <w:rStyle w:val="None"/>
          <w:lang w:val="en-US"/>
        </w:rPr>
        <w:t xml:space="preserve"> ed., 2022)</w:t>
      </w:r>
      <w:r w:rsidR="00A47667">
        <w:rPr>
          <w:rStyle w:val="None"/>
          <w:lang w:val="en-US"/>
        </w:rPr>
        <w:t xml:space="preserve">, </w:t>
      </w:r>
      <w:r w:rsidRPr="75F4831C">
        <w:rPr>
          <w:rStyle w:val="None"/>
          <w:i/>
          <w:iCs/>
          <w:lang w:val="en-US"/>
        </w:rPr>
        <w:t>available at</w:t>
      </w:r>
      <w:r w:rsidRPr="75F4831C">
        <w:rPr>
          <w:rStyle w:val="None"/>
          <w:lang w:val="en-US"/>
        </w:rPr>
        <w:t xml:space="preserve"> https://ssrn.com/abstract=3856202. Citation of cases involving enslaved persons are one example. Historically, these cases </w:t>
      </w:r>
      <w:proofErr w:type="gramStart"/>
      <w:r w:rsidRPr="75F4831C">
        <w:rPr>
          <w:rStyle w:val="None"/>
          <w:lang w:val="en-US"/>
        </w:rPr>
        <w:t>were cited</w:t>
      </w:r>
      <w:proofErr w:type="gramEnd"/>
      <w:r w:rsidRPr="75F4831C">
        <w:rPr>
          <w:rStyle w:val="None"/>
          <w:lang w:val="en-US"/>
        </w:rPr>
        <w:t xml:space="preserve"> no differently than any other case. As of January 2021, the latest printing of </w:t>
      </w:r>
      <w:r w:rsidRPr="75F4831C">
        <w:rPr>
          <w:rStyle w:val="None"/>
          <w:i/>
          <w:iCs/>
          <w:lang w:val="en-US"/>
        </w:rPr>
        <w:t>The Bluebook</w:t>
      </w:r>
      <w:r w:rsidRPr="75F4831C">
        <w:rPr>
          <w:rStyle w:val="None"/>
          <w:lang w:val="en-US"/>
        </w:rPr>
        <w:t xml:space="preserve"> (21st ed.) added a rule to expand the citation for such cases, which must now include a parenthetical indicating that an enslaved person or people were parties or at issue in the case. This Second Edition of </w:t>
      </w:r>
      <w:r w:rsidRPr="75F4831C">
        <w:rPr>
          <w:rStyle w:val="None"/>
          <w:i/>
          <w:iCs/>
          <w:lang w:val="en-US"/>
        </w:rPr>
        <w:t>The Indigo Book</w:t>
      </w:r>
      <w:r w:rsidRPr="75F4831C">
        <w:rPr>
          <w:rStyle w:val="None"/>
          <w:lang w:val="en-US"/>
        </w:rPr>
        <w:t xml:space="preserve"> expresses this rule and 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29" w:name="_Toc78928055"/>
      <w:r>
        <w:rPr>
          <w:rStyle w:val="None"/>
          <w:sz w:val="27"/>
          <w:szCs w:val="27"/>
        </w:rPr>
        <w:t>R15</w:t>
      </w:r>
      <w:r w:rsidR="00A64F1E">
        <w:rPr>
          <w:rStyle w:val="None"/>
          <w:sz w:val="27"/>
          <w:szCs w:val="27"/>
        </w:rPr>
        <w:tab/>
      </w:r>
      <w:r>
        <w:rPr>
          <w:rStyle w:val="None"/>
          <w:sz w:val="27"/>
          <w:szCs w:val="27"/>
        </w:rPr>
        <w:t>Short Form Citation for Cases</w:t>
      </w:r>
      <w:bookmarkEnd w:id="29"/>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 xml:space="preserve">Once a case has </w:t>
      </w:r>
      <w:proofErr w:type="gramStart"/>
      <w:r>
        <w:rPr>
          <w:rStyle w:val="None"/>
        </w:rPr>
        <w:t>been cited</w:t>
      </w:r>
      <w:proofErr w:type="gramEnd"/>
      <w:r>
        <w:rPr>
          <w:rStyle w:val="None"/>
        </w:rPr>
        <w:t xml:space="preserve">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AC76DF" w:rsidR="00F5734E" w:rsidRDefault="00713552" w:rsidP="00A032DC">
      <w:pPr>
        <w:pStyle w:val="Rule"/>
        <w:ind w:left="0"/>
        <w:rPr>
          <w:rStyle w:val="None"/>
        </w:rPr>
      </w:pPr>
      <w:r w:rsidRPr="75F4831C">
        <w:rPr>
          <w:rStyle w:val="None"/>
        </w:rPr>
        <w:t>For the case name, u</w:t>
      </w:r>
      <w:r w:rsidR="00F5734E" w:rsidRPr="75F4831C">
        <w:rPr>
          <w:rStyle w:val="None"/>
        </w:rPr>
        <w:t xml:space="preserve">se the chosen party’s name—usually the first-named party’s name—consistent with these rules for selecting a short-form citation and consistent with the abbreviation rules in </w:t>
      </w:r>
      <w:r w:rsidR="00F5734E" w:rsidRPr="75F4831C">
        <w:rPr>
          <w:rStyle w:val="Rulereferencecharacterstyle"/>
        </w:rPr>
        <w:t>Rule R11</w:t>
      </w:r>
      <w:r w:rsidR="00F5734E" w:rsidRPr="75F4831C">
        <w:rPr>
          <w:rStyle w:val="None"/>
        </w:rPr>
        <w:t xml:space="preserve"> for all case names (full citation or short citation). </w:t>
      </w:r>
      <w:r w:rsidRPr="75F4831C">
        <w:rPr>
          <w:rStyle w:val="None"/>
        </w:rPr>
        <w:t xml:space="preserve">For the citation format, include the volume of the reporter, the reporter, the word “at” and the </w:t>
      </w:r>
      <w:proofErr w:type="spellStart"/>
      <w:r w:rsidRPr="75F4831C">
        <w:rPr>
          <w:rStyle w:val="None"/>
        </w:rPr>
        <w:t>pincite</w:t>
      </w:r>
      <w:proofErr w:type="spellEnd"/>
      <w:r w:rsidRPr="75F4831C">
        <w:rPr>
          <w:rStyle w:val="None"/>
        </w:rPr>
        <w:t xml:space="preserve"> to the page </w:t>
      </w:r>
      <w:proofErr w:type="gramStart"/>
      <w:r w:rsidRPr="75F4831C">
        <w:rPr>
          <w:rStyle w:val="None"/>
        </w:rPr>
        <w:t>being cited</w:t>
      </w:r>
      <w:proofErr w:type="gramEnd"/>
      <w:r w:rsidRPr="75F4831C">
        <w:rPr>
          <w:rStyle w:val="None"/>
        </w:rPr>
        <w:t>.</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w:t>
      </w:r>
      <w:proofErr w:type="gramStart"/>
      <w:r>
        <w:rPr>
          <w:rStyle w:val="None"/>
        </w:rPr>
        <w:t>fair market value</w:t>
      </w:r>
      <w:proofErr w:type="gramEnd"/>
      <w:r>
        <w:rPr>
          <w:rStyle w:val="None"/>
        </w:rPr>
        <w:t xml:space="preserve"> of property due to the flying balls. 233 N.E.2d at 219.</w:t>
      </w:r>
    </w:p>
    <w:p w14:paraId="2B99FBF8" w14:textId="77777777" w:rsidR="00531564" w:rsidRDefault="00531564" w:rsidP="00A032DC">
      <w:pPr>
        <w:pStyle w:val="Example"/>
        <w:rPr>
          <w:rStyle w:val="None"/>
        </w:rPr>
      </w:pP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w:t>
      </w:r>
      <w:proofErr w:type="gramStart"/>
      <w:r w:rsidR="00F5734E">
        <w:rPr>
          <w:rStyle w:val="None"/>
        </w:rPr>
        <w:t>fair market value</w:t>
      </w:r>
      <w:proofErr w:type="gramEnd"/>
      <w:r w:rsidR="00F5734E">
        <w:rPr>
          <w:rStyle w:val="None"/>
        </w:rPr>
        <w:t xml:space="preserv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32E6D9F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r w:rsidR="00686376">
        <w:rPr>
          <w:rStyle w:val="None"/>
        </w:rPr>
        <w:t>in</w:t>
      </w:r>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 xml:space="preserve">Case names can be long, so various short-citation forms must </w:t>
      </w:r>
      <w:proofErr w:type="gramStart"/>
      <w:r>
        <w:t>be used</w:t>
      </w:r>
      <w:proofErr w:type="gramEnd"/>
      <w:r>
        <w:t xml:space="preserve">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w:t>
      </w:r>
      <w:proofErr w:type="gramStart"/>
      <w:r w:rsidR="00B3073C">
        <w:t>be used</w:t>
      </w:r>
      <w:proofErr w:type="gramEnd"/>
      <w:r w:rsidR="00B3073C">
        <w:t xml:space="preserve">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 xml:space="preserve">When a short form may be </w:t>
      </w:r>
      <w:proofErr w:type="gramStart"/>
      <w:r>
        <w:rPr>
          <w:rStyle w:val="None"/>
        </w:rPr>
        <w:t>used</w:t>
      </w:r>
      <w:proofErr w:type="gramEnd"/>
    </w:p>
    <w:p w14:paraId="261B5F22" w14:textId="4CE537F3" w:rsidR="005A1C17" w:rsidRDefault="00867859" w:rsidP="00AB39EA">
      <w:pPr>
        <w:pStyle w:val="Rule"/>
        <w:ind w:left="0"/>
        <w:rPr>
          <w:rStyle w:val="None"/>
        </w:rPr>
      </w:pPr>
      <w:r>
        <w:rPr>
          <w:rStyle w:val="None"/>
        </w:rPr>
        <w:t xml:space="preserve">Once a case has </w:t>
      </w:r>
      <w:proofErr w:type="gramStart"/>
      <w:r>
        <w:rPr>
          <w:rStyle w:val="None"/>
        </w:rPr>
        <w:t>been cited</w:t>
      </w:r>
      <w:proofErr w:type="gramEnd"/>
      <w:r>
        <w:rPr>
          <w:rStyle w:val="None"/>
        </w:rPr>
        <w:t xml:space="preserve">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w:t>
      </w:r>
      <w:proofErr w:type="gramStart"/>
      <w:r>
        <w:rPr>
          <w:rStyle w:val="None"/>
        </w:rPr>
        <w:t xml:space="preserve">be </w:t>
      </w:r>
      <w:r w:rsidR="002A0C7D">
        <w:rPr>
          <w:rStyle w:val="None"/>
        </w:rPr>
        <w:t>applied</w:t>
      </w:r>
      <w:proofErr w:type="gramEnd"/>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 xml:space="preserve">As with full citations, the case name </w:t>
      </w:r>
      <w:proofErr w:type="gramStart"/>
      <w:r w:rsidR="00F5734E">
        <w:rPr>
          <w:rStyle w:val="None"/>
        </w:rPr>
        <w:t>is italicized</w:t>
      </w:r>
      <w:proofErr w:type="gramEnd"/>
      <w:r w:rsidR="00F5734E">
        <w:rPr>
          <w:rStyle w:val="None"/>
        </w:rPr>
        <w:t xml:space="preserve"> but the comma after the case name is not italicized.</w:t>
      </w:r>
      <w:r w:rsidR="00C064EF">
        <w:rPr>
          <w:rStyle w:val="None"/>
        </w:rPr>
        <w:t xml:space="preserve"> </w:t>
      </w:r>
      <w:r w:rsidR="00860712">
        <w:rPr>
          <w:rStyle w:val="None"/>
        </w:rPr>
        <w:t xml:space="preserve">The shortened citation form omits the “v.” (for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w:t>
      </w:r>
      <w:proofErr w:type="gramStart"/>
      <w:r>
        <w:rPr>
          <w:rStyle w:val="None"/>
        </w:rPr>
        <w:t>is incorporated</w:t>
      </w:r>
      <w:proofErr w:type="gramEnd"/>
      <w:r>
        <w:rPr>
          <w:rStyle w:val="None"/>
        </w:rPr>
        <w:t xml:space="preserve">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 xml:space="preserve">Exceptions to using the first party of the case </w:t>
      </w:r>
      <w:proofErr w:type="gramStart"/>
      <w:r>
        <w:rPr>
          <w:rStyle w:val="None"/>
        </w:rPr>
        <w:t>name</w:t>
      </w:r>
      <w:proofErr w:type="gramEnd"/>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w:t>
      </w:r>
      <w:proofErr w:type="gramStart"/>
      <w:r>
        <w:rPr>
          <w:rStyle w:val="None"/>
        </w:rPr>
        <w:t>is used</w:t>
      </w:r>
      <w:proofErr w:type="gramEnd"/>
      <w:r>
        <w:rPr>
          <w:rStyle w:val="None"/>
        </w:rPr>
        <w:t xml:space="preserve">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Gonzalez v. Raich</w:t>
      </w:r>
      <w:r>
        <w:rPr>
          <w:rStyle w:val="None"/>
        </w:rPr>
        <w:t>, 545 U.S. 1 (2005) becomes </w:t>
      </w:r>
      <w:r>
        <w:rPr>
          <w:rStyle w:val="None"/>
          <w:i/>
          <w:iCs/>
        </w:rPr>
        <w:t>Raich</w:t>
      </w:r>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 xml:space="preserve">Shortening party </w:t>
      </w:r>
      <w:proofErr w:type="gramStart"/>
      <w:r>
        <w:rPr>
          <w:rStyle w:val="None"/>
        </w:rPr>
        <w:t>names</w:t>
      </w:r>
      <w:proofErr w:type="gramEnd"/>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w:t>
      </w:r>
      <w:proofErr w:type="gramStart"/>
      <w:r>
        <w:rPr>
          <w:rStyle w:val="None"/>
        </w:rPr>
        <w:t>at</w:t>
      </w:r>
      <w:proofErr w:type="gramEnd"/>
      <w:r>
        <w:rPr>
          <w:rStyle w:val="None"/>
        </w:rPr>
        <w:t xml:space="preserve">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25B39E4E"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00107BE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xml:space="preserve"> as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w:t>
      </w:r>
      <w:proofErr w:type="gramStart"/>
      <w:r>
        <w:rPr>
          <w:rStyle w:val="None"/>
        </w:rPr>
        <w:t>be copyrighted</w:t>
      </w:r>
      <w:proofErr w:type="gramEnd"/>
      <w:r>
        <w:rPr>
          <w:rStyle w:val="None"/>
        </w:rPr>
        <w:t xml:space="preserve">.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28C493FB" w:rsidR="00F5734E" w:rsidRDefault="00F5734E" w:rsidP="00FF4865">
      <w:pPr>
        <w:pStyle w:val="Example"/>
      </w:pPr>
      <w:r>
        <w:rPr>
          <w:rStyle w:val="None"/>
        </w:rPr>
        <w:t xml:space="preserve">Fair use is </w:t>
      </w:r>
      <w:proofErr w:type="gramStart"/>
      <w:r>
        <w:rPr>
          <w:rStyle w:val="None"/>
        </w:rPr>
        <w:t>ultimately a</w:t>
      </w:r>
      <w:proofErr w:type="gramEnd"/>
      <w:r>
        <w:rPr>
          <w:rStyle w:val="None"/>
        </w:rPr>
        <w:t xml:space="preserve"> legal question because the question “primarily involves legal work.” </w:t>
      </w:r>
      <w:r>
        <w:rPr>
          <w:rStyle w:val="None"/>
          <w:i/>
          <w:iCs/>
        </w:rPr>
        <w:t>Google LLC v. Oracle Am., Inc.</w:t>
      </w:r>
      <w:r>
        <w:rPr>
          <w:rStyle w:val="None"/>
        </w:rPr>
        <w:t>, 141 S. C</w:t>
      </w:r>
      <w:r w:rsidR="00686376">
        <w:rPr>
          <w:rStyle w:val="None"/>
        </w:rPr>
        <w:t>t. 1183, 1199 (2021). Although “subsidiary factual questions</w:t>
      </w:r>
      <w:r>
        <w:rPr>
          <w:rStyle w:val="None"/>
        </w:rPr>
        <w:t>”</w:t>
      </w:r>
      <w:r w:rsidR="00686376">
        <w:rPr>
          <w:rStyle w:val="None"/>
        </w:rPr>
        <w:t xml:space="preserve"> may be involved,</w:t>
      </w:r>
      <w:r>
        <w:rPr>
          <w:rStyle w:val="None"/>
        </w:rPr>
        <w:t xml:space="preserve">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w:t>
      </w:r>
      <w:proofErr w:type="gramStart"/>
      <w:r w:rsidRPr="005B163B">
        <w:rPr>
          <w:rStyle w:val="None"/>
        </w:rPr>
        <w:t>references</w:t>
      </w:r>
      <w:proofErr w:type="gramEnd"/>
    </w:p>
    <w:p w14:paraId="458808AF" w14:textId="77777777" w:rsidR="00F5734E" w:rsidRDefault="00F5734E" w:rsidP="00FF4865">
      <w:pPr>
        <w:pStyle w:val="Rule"/>
        <w:ind w:left="0"/>
      </w:pPr>
      <w:r>
        <w:rPr>
          <w:rStyle w:val="None"/>
          <w:i/>
          <w:iCs/>
        </w:rPr>
        <w:t>Id.</w:t>
      </w:r>
      <w:r>
        <w:rPr>
          <w:rStyle w:val="None"/>
        </w:rPr>
        <w:t xml:space="preserve"> should </w:t>
      </w:r>
      <w:proofErr w:type="gramStart"/>
      <w:r>
        <w:rPr>
          <w:rStyle w:val="None"/>
        </w:rPr>
        <w:t>be used</w:t>
      </w:r>
      <w:proofErr w:type="gramEnd"/>
      <w:r>
        <w:rPr>
          <w:rStyle w:val="None"/>
        </w:rPr>
        <w:t xml:space="preserve">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Pr="00F43159" w:rsidRDefault="00F5734E" w:rsidP="00F43159">
      <w:pPr>
        <w:pStyle w:val="InklingTitle"/>
        <w:rPr>
          <w:rStyle w:val="None"/>
        </w:rPr>
      </w:pPr>
      <w:r w:rsidRPr="00F43159">
        <w:rPr>
          <w:rStyle w:val="None"/>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18EBA54D" w:rsidR="00F5734E" w:rsidRPr="00F43159" w:rsidRDefault="00F5734E" w:rsidP="00F43159">
      <w:pPr>
        <w:pStyle w:val="Inkling"/>
        <w:rPr>
          <w:rStyle w:val="None"/>
        </w:rPr>
      </w:pPr>
      <w:r w:rsidRPr="00F43159">
        <w:rPr>
          <w:rStyle w:val="None"/>
        </w:rPr>
        <w:t>The short form id.</w:t>
      </w:r>
      <w:r w:rsidR="00685687" w:rsidRPr="00F43159">
        <w:rPr>
          <w:rStyle w:val="None"/>
        </w:rPr>
        <w:t>—capitalized as Id. when it starts a citation sentence—</w:t>
      </w:r>
      <w:r w:rsidRPr="00F43159">
        <w:rPr>
          <w:rStyle w:val="None"/>
        </w:rPr>
        <w:t>can be used only to refer to the immediately preceding citation</w:t>
      </w:r>
      <w:r w:rsidR="00685687" w:rsidRPr="00F43159">
        <w:rPr>
          <w:rStyle w:val="None"/>
        </w:rPr>
        <w:t xml:space="preserve">. </w:t>
      </w:r>
      <w:r w:rsidR="00F47D33" w:rsidRPr="00F43159">
        <w:rPr>
          <w:rStyle w:val="None"/>
        </w:rPr>
        <w:t xml:space="preserve">The standard for what is immediately preceding is strict. </w:t>
      </w:r>
      <w:r w:rsidRPr="00F43159">
        <w:rPr>
          <w:rStyle w:val="None"/>
        </w:rPr>
        <w:t xml:space="preserve">Do not use id. simply because a full citation has been given somewhere </w:t>
      </w:r>
      <w:r w:rsidR="00686376" w:rsidRPr="00F43159">
        <w:rPr>
          <w:rStyle w:val="None"/>
        </w:rPr>
        <w:t xml:space="preserve">at some point </w:t>
      </w:r>
      <w:r w:rsidRPr="00F43159">
        <w:rPr>
          <w:rStyle w:val="None"/>
        </w:rPr>
        <w:t>previously in the text</w:t>
      </w:r>
      <w:r w:rsidR="00F47D33" w:rsidRPr="00F43159">
        <w:rPr>
          <w:rStyle w:val="None"/>
        </w:rPr>
        <w:t>; it is not catchall short citation but must be tailored to context</w:t>
      </w:r>
      <w:r w:rsidRPr="00F43159">
        <w:rPr>
          <w:rStyle w:val="None"/>
        </w:rPr>
        <w:t>. Id.</w:t>
      </w:r>
      <w:r w:rsidR="00686376" w:rsidRPr="00F43159">
        <w:rPr>
          <w:rStyle w:val="None"/>
        </w:rPr>
        <w:t xml:space="preserve"> can be used after a citation </w:t>
      </w:r>
      <w:r w:rsidR="00F47D33" w:rsidRPr="00F43159">
        <w:rPr>
          <w:rStyle w:val="None"/>
        </w:rPr>
        <w:t>to a single source (a full or a short citation, the important characteristic being a citation to one and only one source). Id.</w:t>
      </w:r>
      <w:r w:rsidR="00686376" w:rsidRPr="00F43159">
        <w:rPr>
          <w:rStyle w:val="None"/>
        </w:rPr>
        <w:t xml:space="preserve"> cannot follow a</w:t>
      </w:r>
      <w:r w:rsidRPr="00F43159">
        <w:rPr>
          <w:rStyle w:val="None"/>
        </w:rPr>
        <w:t xml:space="preserve"> string citation </w:t>
      </w:r>
      <w:r w:rsidR="00F47D33" w:rsidRPr="00F43159">
        <w:rPr>
          <w:rStyle w:val="None"/>
        </w:rPr>
        <w:t>listing</w:t>
      </w:r>
      <w:r w:rsidR="00686376" w:rsidRPr="00F43159">
        <w:rPr>
          <w:rStyle w:val="None"/>
        </w:rPr>
        <w:t xml:space="preserve"> two or more sources. </w:t>
      </w:r>
      <w:r w:rsidR="00F47D33" w:rsidRPr="00F43159">
        <w:rPr>
          <w:rStyle w:val="None"/>
        </w:rPr>
        <w:t xml:space="preserve">It also cannot be used after </w:t>
      </w:r>
      <w:r w:rsidRPr="00F43159">
        <w:rPr>
          <w:rStyle w:val="None"/>
        </w:rPr>
        <w:t>any</w:t>
      </w:r>
      <w:r w:rsidR="00F47D33" w:rsidRPr="00F43159">
        <w:rPr>
          <w:rStyle w:val="None"/>
        </w:rPr>
        <w:t xml:space="preserve"> intervening</w:t>
      </w:r>
      <w:r w:rsidRPr="00F43159">
        <w:rPr>
          <w:rStyle w:val="None"/>
        </w:rPr>
        <w:t xml:space="preserve"> </w:t>
      </w:r>
      <w:r w:rsidR="00F47D33" w:rsidRPr="00F43159">
        <w:rPr>
          <w:rStyle w:val="None"/>
        </w:rPr>
        <w:t xml:space="preserve">textual </w:t>
      </w:r>
      <w:r w:rsidRPr="00F43159">
        <w:rPr>
          <w:rStyle w:val="None"/>
        </w:rPr>
        <w:t>ref</w:t>
      </w:r>
      <w:r w:rsidR="00F47D33" w:rsidRPr="00F43159">
        <w:rPr>
          <w:rStyle w:val="None"/>
        </w:rPr>
        <w:t>erence, such as mentioning a different case or other authority by name. Citing multiple sources in a string or mentioning other intervening sources</w:t>
      </w:r>
      <w:r w:rsidRPr="00F43159">
        <w:rPr>
          <w:rStyle w:val="None"/>
        </w:rPr>
        <w:t xml:space="preserve"> </w:t>
      </w:r>
      <w:r w:rsidR="00686376" w:rsidRPr="00F43159">
        <w:rPr>
          <w:rStyle w:val="None"/>
        </w:rPr>
        <w:t>creates possible ambiguity and thus makes id. unhelpful and incorrect.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deral">
    <w:altName w:val="Cambria"/>
    <w:charset w:val="00"/>
    <w:family w:val="roman"/>
    <w:pitch w:val="default"/>
  </w:font>
  <w:font w:name="Monaco">
    <w:altName w:val="Courier New"/>
    <w:charset w:val="4D"/>
    <w:family w:val="auto"/>
    <w:pitch w:val="variable"/>
    <w:sig w:usb0="A00002FF" w:usb1="500039FB" w:usb2="00000000" w:usb3="00000000" w:csb0="00000197"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379290">
    <w:abstractNumId w:val="12"/>
  </w:num>
  <w:num w:numId="2" w16cid:durableId="19947213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451424">
    <w:abstractNumId w:val="14"/>
  </w:num>
  <w:num w:numId="4" w16cid:durableId="11241556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7747169">
    <w:abstractNumId w:val="17"/>
  </w:num>
  <w:num w:numId="6" w16cid:durableId="2097285610">
    <w:abstractNumId w:val="10"/>
  </w:num>
  <w:num w:numId="7" w16cid:durableId="1472405169">
    <w:abstractNumId w:val="16"/>
  </w:num>
  <w:num w:numId="8" w16cid:durableId="1497719369">
    <w:abstractNumId w:val="9"/>
  </w:num>
  <w:num w:numId="9" w16cid:durableId="410153851">
    <w:abstractNumId w:val="7"/>
  </w:num>
  <w:num w:numId="10" w16cid:durableId="967708195">
    <w:abstractNumId w:val="6"/>
  </w:num>
  <w:num w:numId="11" w16cid:durableId="1386027277">
    <w:abstractNumId w:val="5"/>
  </w:num>
  <w:num w:numId="12" w16cid:durableId="972832137">
    <w:abstractNumId w:val="4"/>
  </w:num>
  <w:num w:numId="13" w16cid:durableId="395592234">
    <w:abstractNumId w:val="8"/>
  </w:num>
  <w:num w:numId="14" w16cid:durableId="1889411038">
    <w:abstractNumId w:val="3"/>
  </w:num>
  <w:num w:numId="15" w16cid:durableId="318117946">
    <w:abstractNumId w:val="2"/>
  </w:num>
  <w:num w:numId="16" w16cid:durableId="324749939">
    <w:abstractNumId w:val="1"/>
  </w:num>
  <w:num w:numId="17" w16cid:durableId="1357080938">
    <w:abstractNumId w:val="0"/>
  </w:num>
  <w:num w:numId="18" w16cid:durableId="637104077">
    <w:abstractNumId w:val="10"/>
  </w:num>
  <w:num w:numId="19" w16cid:durableId="991636846">
    <w:abstractNumId w:val="15"/>
  </w:num>
  <w:num w:numId="20" w16cid:durableId="1544440162">
    <w:abstractNumId w:val="20"/>
  </w:num>
  <w:num w:numId="21" w16cid:durableId="206766937">
    <w:abstractNumId w:val="11"/>
  </w:num>
  <w:num w:numId="22" w16cid:durableId="1655328127">
    <w:abstractNumId w:val="22"/>
  </w:num>
  <w:num w:numId="23" w16cid:durableId="652760427">
    <w:abstractNumId w:val="13"/>
  </w:num>
  <w:num w:numId="24" w16cid:durableId="447510028">
    <w:abstractNumId w:val="21"/>
  </w:num>
  <w:num w:numId="25" w16cid:durableId="10060556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4E"/>
    <w:rsid w:val="00000FC3"/>
    <w:rsid w:val="00003A97"/>
    <w:rsid w:val="000062CA"/>
    <w:rsid w:val="00007F30"/>
    <w:rsid w:val="00013E9A"/>
    <w:rsid w:val="0001794F"/>
    <w:rsid w:val="000251ED"/>
    <w:rsid w:val="00030943"/>
    <w:rsid w:val="000325F3"/>
    <w:rsid w:val="00041555"/>
    <w:rsid w:val="00042C7E"/>
    <w:rsid w:val="00043DDE"/>
    <w:rsid w:val="000477FA"/>
    <w:rsid w:val="00050411"/>
    <w:rsid w:val="00050D8E"/>
    <w:rsid w:val="00061EB7"/>
    <w:rsid w:val="00065C55"/>
    <w:rsid w:val="00065ECF"/>
    <w:rsid w:val="00082F37"/>
    <w:rsid w:val="00083161"/>
    <w:rsid w:val="0009086B"/>
    <w:rsid w:val="00097871"/>
    <w:rsid w:val="000A2C8E"/>
    <w:rsid w:val="000A3D86"/>
    <w:rsid w:val="000B2F1A"/>
    <w:rsid w:val="000C4B4A"/>
    <w:rsid w:val="000C7C3F"/>
    <w:rsid w:val="000C7EF9"/>
    <w:rsid w:val="000D0B7B"/>
    <w:rsid w:val="000D5152"/>
    <w:rsid w:val="000D5864"/>
    <w:rsid w:val="000D7E18"/>
    <w:rsid w:val="000E140E"/>
    <w:rsid w:val="000F0FD4"/>
    <w:rsid w:val="000F4FE2"/>
    <w:rsid w:val="000F6953"/>
    <w:rsid w:val="000F6E36"/>
    <w:rsid w:val="0010295B"/>
    <w:rsid w:val="00107BE0"/>
    <w:rsid w:val="00110911"/>
    <w:rsid w:val="001157FA"/>
    <w:rsid w:val="00122483"/>
    <w:rsid w:val="00124323"/>
    <w:rsid w:val="0012610C"/>
    <w:rsid w:val="001262D6"/>
    <w:rsid w:val="001273B1"/>
    <w:rsid w:val="001308B4"/>
    <w:rsid w:val="00136CD8"/>
    <w:rsid w:val="00140ED6"/>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A5A30"/>
    <w:rsid w:val="002C421C"/>
    <w:rsid w:val="002C6E0C"/>
    <w:rsid w:val="002D795F"/>
    <w:rsid w:val="002E551D"/>
    <w:rsid w:val="002F3335"/>
    <w:rsid w:val="003144AA"/>
    <w:rsid w:val="00333A33"/>
    <w:rsid w:val="003356D3"/>
    <w:rsid w:val="003367D7"/>
    <w:rsid w:val="00350FE1"/>
    <w:rsid w:val="00353401"/>
    <w:rsid w:val="00355DFB"/>
    <w:rsid w:val="003610E3"/>
    <w:rsid w:val="00366383"/>
    <w:rsid w:val="00376621"/>
    <w:rsid w:val="00377B6F"/>
    <w:rsid w:val="00381D79"/>
    <w:rsid w:val="00383A01"/>
    <w:rsid w:val="00391F83"/>
    <w:rsid w:val="003A0688"/>
    <w:rsid w:val="003A580A"/>
    <w:rsid w:val="003B0691"/>
    <w:rsid w:val="003C088A"/>
    <w:rsid w:val="003C359C"/>
    <w:rsid w:val="003C62F1"/>
    <w:rsid w:val="003D1967"/>
    <w:rsid w:val="003D6FED"/>
    <w:rsid w:val="003D78F7"/>
    <w:rsid w:val="003E5933"/>
    <w:rsid w:val="003F1043"/>
    <w:rsid w:val="003F7350"/>
    <w:rsid w:val="003F7CE5"/>
    <w:rsid w:val="00401430"/>
    <w:rsid w:val="00402ABF"/>
    <w:rsid w:val="0041179D"/>
    <w:rsid w:val="004214B7"/>
    <w:rsid w:val="00423CA4"/>
    <w:rsid w:val="004335F9"/>
    <w:rsid w:val="00436A39"/>
    <w:rsid w:val="0044390A"/>
    <w:rsid w:val="004447BA"/>
    <w:rsid w:val="004449CB"/>
    <w:rsid w:val="00445F28"/>
    <w:rsid w:val="00446B5A"/>
    <w:rsid w:val="004528F4"/>
    <w:rsid w:val="004631F5"/>
    <w:rsid w:val="00463341"/>
    <w:rsid w:val="004752B2"/>
    <w:rsid w:val="0048614A"/>
    <w:rsid w:val="0049366A"/>
    <w:rsid w:val="0049646C"/>
    <w:rsid w:val="004A58A0"/>
    <w:rsid w:val="004A5BD7"/>
    <w:rsid w:val="004A671A"/>
    <w:rsid w:val="004B1F40"/>
    <w:rsid w:val="004B6E2B"/>
    <w:rsid w:val="004E1FC5"/>
    <w:rsid w:val="004F0002"/>
    <w:rsid w:val="004F32EB"/>
    <w:rsid w:val="004F3DD0"/>
    <w:rsid w:val="004F56D8"/>
    <w:rsid w:val="0051199A"/>
    <w:rsid w:val="0051316F"/>
    <w:rsid w:val="00515FB7"/>
    <w:rsid w:val="00516A4C"/>
    <w:rsid w:val="005266C0"/>
    <w:rsid w:val="00531564"/>
    <w:rsid w:val="00543C2D"/>
    <w:rsid w:val="00556A89"/>
    <w:rsid w:val="00556B38"/>
    <w:rsid w:val="00573D0F"/>
    <w:rsid w:val="00575583"/>
    <w:rsid w:val="005839A9"/>
    <w:rsid w:val="0058654E"/>
    <w:rsid w:val="00597F26"/>
    <w:rsid w:val="005A0AFE"/>
    <w:rsid w:val="005A13A0"/>
    <w:rsid w:val="005A1C17"/>
    <w:rsid w:val="005B163B"/>
    <w:rsid w:val="005E4A85"/>
    <w:rsid w:val="005F49B1"/>
    <w:rsid w:val="005F4B6C"/>
    <w:rsid w:val="00600423"/>
    <w:rsid w:val="00604A58"/>
    <w:rsid w:val="00606AD7"/>
    <w:rsid w:val="00616CD0"/>
    <w:rsid w:val="006344AE"/>
    <w:rsid w:val="00644066"/>
    <w:rsid w:val="006462E3"/>
    <w:rsid w:val="00653B7C"/>
    <w:rsid w:val="006662DA"/>
    <w:rsid w:val="00667D1C"/>
    <w:rsid w:val="0067151B"/>
    <w:rsid w:val="006760A5"/>
    <w:rsid w:val="00680836"/>
    <w:rsid w:val="00681994"/>
    <w:rsid w:val="00681C0B"/>
    <w:rsid w:val="00685687"/>
    <w:rsid w:val="00686376"/>
    <w:rsid w:val="0069199F"/>
    <w:rsid w:val="006B05D1"/>
    <w:rsid w:val="006B345C"/>
    <w:rsid w:val="006C2F8E"/>
    <w:rsid w:val="006D588C"/>
    <w:rsid w:val="006D71E5"/>
    <w:rsid w:val="006E462E"/>
    <w:rsid w:val="006E78DF"/>
    <w:rsid w:val="006F2AA8"/>
    <w:rsid w:val="00711E25"/>
    <w:rsid w:val="00712D7B"/>
    <w:rsid w:val="00713552"/>
    <w:rsid w:val="00714039"/>
    <w:rsid w:val="00716289"/>
    <w:rsid w:val="00723052"/>
    <w:rsid w:val="00723897"/>
    <w:rsid w:val="00736FAA"/>
    <w:rsid w:val="00741217"/>
    <w:rsid w:val="00741B68"/>
    <w:rsid w:val="0074298C"/>
    <w:rsid w:val="00755409"/>
    <w:rsid w:val="00756994"/>
    <w:rsid w:val="007576E3"/>
    <w:rsid w:val="00762E12"/>
    <w:rsid w:val="00765EEA"/>
    <w:rsid w:val="00783C24"/>
    <w:rsid w:val="007A07D8"/>
    <w:rsid w:val="007A5B84"/>
    <w:rsid w:val="007B0C69"/>
    <w:rsid w:val="007C16A9"/>
    <w:rsid w:val="007C5319"/>
    <w:rsid w:val="007C5E45"/>
    <w:rsid w:val="007C703F"/>
    <w:rsid w:val="007D1359"/>
    <w:rsid w:val="007D1918"/>
    <w:rsid w:val="007D6DFF"/>
    <w:rsid w:val="007F198E"/>
    <w:rsid w:val="007F1C88"/>
    <w:rsid w:val="00800FB1"/>
    <w:rsid w:val="00802853"/>
    <w:rsid w:val="00823846"/>
    <w:rsid w:val="00824419"/>
    <w:rsid w:val="00832748"/>
    <w:rsid w:val="00841420"/>
    <w:rsid w:val="00846D6C"/>
    <w:rsid w:val="00855572"/>
    <w:rsid w:val="00857B34"/>
    <w:rsid w:val="00860712"/>
    <w:rsid w:val="00865748"/>
    <w:rsid w:val="00867859"/>
    <w:rsid w:val="00871FA4"/>
    <w:rsid w:val="00875C82"/>
    <w:rsid w:val="00894A68"/>
    <w:rsid w:val="008978F1"/>
    <w:rsid w:val="008A0E38"/>
    <w:rsid w:val="008A7D6A"/>
    <w:rsid w:val="008C28EB"/>
    <w:rsid w:val="008C5302"/>
    <w:rsid w:val="008C6667"/>
    <w:rsid w:val="008D1151"/>
    <w:rsid w:val="008F0D28"/>
    <w:rsid w:val="008F496C"/>
    <w:rsid w:val="009070D8"/>
    <w:rsid w:val="0091205B"/>
    <w:rsid w:val="00922B49"/>
    <w:rsid w:val="009264C7"/>
    <w:rsid w:val="00927E26"/>
    <w:rsid w:val="00932DEE"/>
    <w:rsid w:val="00936B40"/>
    <w:rsid w:val="00940823"/>
    <w:rsid w:val="0095421B"/>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47667"/>
    <w:rsid w:val="00A566A5"/>
    <w:rsid w:val="00A61249"/>
    <w:rsid w:val="00A62A72"/>
    <w:rsid w:val="00A64F1E"/>
    <w:rsid w:val="00A65EB8"/>
    <w:rsid w:val="00A74FA1"/>
    <w:rsid w:val="00A7595B"/>
    <w:rsid w:val="00A76812"/>
    <w:rsid w:val="00A811EF"/>
    <w:rsid w:val="00A81540"/>
    <w:rsid w:val="00A93C97"/>
    <w:rsid w:val="00A95347"/>
    <w:rsid w:val="00AB39EA"/>
    <w:rsid w:val="00AC21D1"/>
    <w:rsid w:val="00AD0991"/>
    <w:rsid w:val="00AD7DD6"/>
    <w:rsid w:val="00AE4590"/>
    <w:rsid w:val="00AF08CE"/>
    <w:rsid w:val="00AF2030"/>
    <w:rsid w:val="00AF4F48"/>
    <w:rsid w:val="00B0105D"/>
    <w:rsid w:val="00B07CD5"/>
    <w:rsid w:val="00B07FA5"/>
    <w:rsid w:val="00B167A6"/>
    <w:rsid w:val="00B236E7"/>
    <w:rsid w:val="00B3073C"/>
    <w:rsid w:val="00B40C2A"/>
    <w:rsid w:val="00B43C8F"/>
    <w:rsid w:val="00B54845"/>
    <w:rsid w:val="00B55AF5"/>
    <w:rsid w:val="00B6404F"/>
    <w:rsid w:val="00B86837"/>
    <w:rsid w:val="00B90CCB"/>
    <w:rsid w:val="00BA4743"/>
    <w:rsid w:val="00BA5FCD"/>
    <w:rsid w:val="00BA60EC"/>
    <w:rsid w:val="00BB2137"/>
    <w:rsid w:val="00BB7CA4"/>
    <w:rsid w:val="00BC36D8"/>
    <w:rsid w:val="00BC43C3"/>
    <w:rsid w:val="00BC4BFF"/>
    <w:rsid w:val="00BC719B"/>
    <w:rsid w:val="00BD2104"/>
    <w:rsid w:val="00BD2AAB"/>
    <w:rsid w:val="00BD440D"/>
    <w:rsid w:val="00BD5B2C"/>
    <w:rsid w:val="00BD62AE"/>
    <w:rsid w:val="00BE1C23"/>
    <w:rsid w:val="00BE43D8"/>
    <w:rsid w:val="00BF3C3B"/>
    <w:rsid w:val="00C054F0"/>
    <w:rsid w:val="00C064EF"/>
    <w:rsid w:val="00C11BD3"/>
    <w:rsid w:val="00C13095"/>
    <w:rsid w:val="00C14F64"/>
    <w:rsid w:val="00C209C8"/>
    <w:rsid w:val="00C2218F"/>
    <w:rsid w:val="00C40A67"/>
    <w:rsid w:val="00C519CF"/>
    <w:rsid w:val="00C51D53"/>
    <w:rsid w:val="00C60818"/>
    <w:rsid w:val="00C67B26"/>
    <w:rsid w:val="00C84658"/>
    <w:rsid w:val="00C92286"/>
    <w:rsid w:val="00CA63AF"/>
    <w:rsid w:val="00CB5E9C"/>
    <w:rsid w:val="00CB7FC4"/>
    <w:rsid w:val="00CC75D3"/>
    <w:rsid w:val="00CD0C39"/>
    <w:rsid w:val="00CD2CF7"/>
    <w:rsid w:val="00CF6869"/>
    <w:rsid w:val="00D0245A"/>
    <w:rsid w:val="00D02C14"/>
    <w:rsid w:val="00D20E29"/>
    <w:rsid w:val="00D21A70"/>
    <w:rsid w:val="00D57300"/>
    <w:rsid w:val="00D6631A"/>
    <w:rsid w:val="00D766FE"/>
    <w:rsid w:val="00D864D3"/>
    <w:rsid w:val="00D96B56"/>
    <w:rsid w:val="00DC07EC"/>
    <w:rsid w:val="00DD3D75"/>
    <w:rsid w:val="00DE2A9F"/>
    <w:rsid w:val="00DE3DBD"/>
    <w:rsid w:val="00DF5969"/>
    <w:rsid w:val="00E00688"/>
    <w:rsid w:val="00E0390C"/>
    <w:rsid w:val="00E04CC0"/>
    <w:rsid w:val="00E064A1"/>
    <w:rsid w:val="00E1618B"/>
    <w:rsid w:val="00E20CF0"/>
    <w:rsid w:val="00E25C13"/>
    <w:rsid w:val="00E30769"/>
    <w:rsid w:val="00E35F1F"/>
    <w:rsid w:val="00E501D6"/>
    <w:rsid w:val="00E5265C"/>
    <w:rsid w:val="00E572A4"/>
    <w:rsid w:val="00E62767"/>
    <w:rsid w:val="00E65995"/>
    <w:rsid w:val="00E67D4A"/>
    <w:rsid w:val="00E7471C"/>
    <w:rsid w:val="00E7649A"/>
    <w:rsid w:val="00E80C7A"/>
    <w:rsid w:val="00E82704"/>
    <w:rsid w:val="00E92964"/>
    <w:rsid w:val="00E97F51"/>
    <w:rsid w:val="00EA26CE"/>
    <w:rsid w:val="00EA6280"/>
    <w:rsid w:val="00EB4C38"/>
    <w:rsid w:val="00EC4DD9"/>
    <w:rsid w:val="00EC581B"/>
    <w:rsid w:val="00ED5BE6"/>
    <w:rsid w:val="00EE25E8"/>
    <w:rsid w:val="00EE55EC"/>
    <w:rsid w:val="00EF0332"/>
    <w:rsid w:val="00F009ED"/>
    <w:rsid w:val="00F07668"/>
    <w:rsid w:val="00F124DD"/>
    <w:rsid w:val="00F356BB"/>
    <w:rsid w:val="00F36AB7"/>
    <w:rsid w:val="00F376E1"/>
    <w:rsid w:val="00F43159"/>
    <w:rsid w:val="00F44847"/>
    <w:rsid w:val="00F47D33"/>
    <w:rsid w:val="00F5217B"/>
    <w:rsid w:val="00F521AF"/>
    <w:rsid w:val="00F5734E"/>
    <w:rsid w:val="00F6671B"/>
    <w:rsid w:val="00F7141F"/>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 w:val="1382BF0D"/>
    <w:rsid w:val="1BD198F1"/>
    <w:rsid w:val="3E533694"/>
    <w:rsid w:val="499F5FAA"/>
    <w:rsid w:val="4F6A9982"/>
    <w:rsid w:val="56FDEACC"/>
    <w:rsid w:val="6807D189"/>
    <w:rsid w:val="687F2D7D"/>
    <w:rsid w:val="75F48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88"/>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color w:val="000000"/>
      <w:u w:val="single" w:color="00000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 w:type="paragraph" w:customStyle="1" w:styleId="paragraph">
    <w:name w:val="paragraph"/>
    <w:basedOn w:val="Normal"/>
    <w:rsid w:val="00575583"/>
    <w:pPr>
      <w:spacing w:before="100" w:beforeAutospacing="1" w:after="100" w:afterAutospacing="1"/>
    </w:pPr>
    <w:rPr>
      <w:rFonts w:eastAsia="Times New Roman"/>
    </w:rPr>
  </w:style>
  <w:style w:type="character" w:customStyle="1" w:styleId="normaltextrun">
    <w:name w:val="normaltextrun"/>
    <w:basedOn w:val="DefaultParagraphFont"/>
    <w:rsid w:val="00575583"/>
  </w:style>
  <w:style w:type="character" w:customStyle="1" w:styleId="eop">
    <w:name w:val="eop"/>
    <w:basedOn w:val="DefaultParagraphFont"/>
    <w:rsid w:val="00575583"/>
  </w:style>
  <w:style w:type="character" w:customStyle="1" w:styleId="scxw12233825">
    <w:name w:val="scxw12233825"/>
    <w:basedOn w:val="DefaultParagraphFont"/>
    <w:rsid w:val="00575583"/>
  </w:style>
  <w:style w:type="character" w:styleId="FollowedHyperlink">
    <w:name w:val="FollowedHyperlink"/>
    <w:basedOn w:val="DefaultParagraphFont"/>
    <w:uiPriority w:val="99"/>
    <w:semiHidden/>
    <w:unhideWhenUsed/>
    <w:rsid w:val="00A65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4507">
      <w:bodyDiv w:val="1"/>
      <w:marLeft w:val="0"/>
      <w:marRight w:val="0"/>
      <w:marTop w:val="0"/>
      <w:marBottom w:val="0"/>
      <w:divBdr>
        <w:top w:val="none" w:sz="0" w:space="0" w:color="auto"/>
        <w:left w:val="none" w:sz="0" w:space="0" w:color="auto"/>
        <w:bottom w:val="none" w:sz="0" w:space="0" w:color="auto"/>
        <w:right w:val="none" w:sz="0" w:space="0" w:color="auto"/>
      </w:divBdr>
      <w:divsChild>
        <w:div w:id="1880194458">
          <w:marLeft w:val="0"/>
          <w:marRight w:val="0"/>
          <w:marTop w:val="0"/>
          <w:marBottom w:val="0"/>
          <w:divBdr>
            <w:top w:val="none" w:sz="0" w:space="0" w:color="auto"/>
            <w:left w:val="none" w:sz="0" w:space="0" w:color="auto"/>
            <w:bottom w:val="none" w:sz="0" w:space="0" w:color="auto"/>
            <w:right w:val="none" w:sz="0" w:space="0" w:color="auto"/>
          </w:divBdr>
        </w:div>
        <w:div w:id="758722034">
          <w:marLeft w:val="0"/>
          <w:marRight w:val="0"/>
          <w:marTop w:val="0"/>
          <w:marBottom w:val="0"/>
          <w:divBdr>
            <w:top w:val="none" w:sz="0" w:space="0" w:color="auto"/>
            <w:left w:val="none" w:sz="0" w:space="0" w:color="auto"/>
            <w:bottom w:val="none" w:sz="0" w:space="0" w:color="auto"/>
            <w:right w:val="none" w:sz="0" w:space="0" w:color="auto"/>
          </w:divBdr>
        </w:div>
        <w:div w:id="734011879">
          <w:marLeft w:val="0"/>
          <w:marRight w:val="0"/>
          <w:marTop w:val="0"/>
          <w:marBottom w:val="0"/>
          <w:divBdr>
            <w:top w:val="none" w:sz="0" w:space="0" w:color="auto"/>
            <w:left w:val="none" w:sz="0" w:space="0" w:color="auto"/>
            <w:bottom w:val="none" w:sz="0" w:space="0" w:color="auto"/>
            <w:right w:val="none" w:sz="0" w:space="0" w:color="auto"/>
          </w:divBdr>
        </w:div>
        <w:div w:id="674381734">
          <w:marLeft w:val="0"/>
          <w:marRight w:val="0"/>
          <w:marTop w:val="0"/>
          <w:marBottom w:val="0"/>
          <w:divBdr>
            <w:top w:val="none" w:sz="0" w:space="0" w:color="auto"/>
            <w:left w:val="none" w:sz="0" w:space="0" w:color="auto"/>
            <w:bottom w:val="none" w:sz="0" w:space="0" w:color="auto"/>
            <w:right w:val="none" w:sz="0" w:space="0" w:color="auto"/>
          </w:divBdr>
        </w:div>
        <w:div w:id="1729764110">
          <w:marLeft w:val="0"/>
          <w:marRight w:val="0"/>
          <w:marTop w:val="0"/>
          <w:marBottom w:val="0"/>
          <w:divBdr>
            <w:top w:val="none" w:sz="0" w:space="0" w:color="auto"/>
            <w:left w:val="none" w:sz="0" w:space="0" w:color="auto"/>
            <w:bottom w:val="none" w:sz="0" w:space="0" w:color="auto"/>
            <w:right w:val="none" w:sz="0" w:space="0" w:color="auto"/>
          </w:divBdr>
        </w:div>
        <w:div w:id="2100061302">
          <w:marLeft w:val="0"/>
          <w:marRight w:val="0"/>
          <w:marTop w:val="0"/>
          <w:marBottom w:val="0"/>
          <w:divBdr>
            <w:top w:val="none" w:sz="0" w:space="0" w:color="auto"/>
            <w:left w:val="none" w:sz="0" w:space="0" w:color="auto"/>
            <w:bottom w:val="none" w:sz="0" w:space="0" w:color="auto"/>
            <w:right w:val="none" w:sz="0" w:space="0" w:color="auto"/>
          </w:divBdr>
        </w:div>
        <w:div w:id="871455280">
          <w:marLeft w:val="0"/>
          <w:marRight w:val="0"/>
          <w:marTop w:val="0"/>
          <w:marBottom w:val="0"/>
          <w:divBdr>
            <w:top w:val="none" w:sz="0" w:space="0" w:color="auto"/>
            <w:left w:val="none" w:sz="0" w:space="0" w:color="auto"/>
            <w:bottom w:val="none" w:sz="0" w:space="0" w:color="auto"/>
            <w:right w:val="none" w:sz="0" w:space="0" w:color="auto"/>
          </w:divBdr>
        </w:div>
        <w:div w:id="299727157">
          <w:marLeft w:val="0"/>
          <w:marRight w:val="0"/>
          <w:marTop w:val="0"/>
          <w:marBottom w:val="0"/>
          <w:divBdr>
            <w:top w:val="none" w:sz="0" w:space="0" w:color="auto"/>
            <w:left w:val="none" w:sz="0" w:space="0" w:color="auto"/>
            <w:bottom w:val="none" w:sz="0" w:space="0" w:color="auto"/>
            <w:right w:val="none" w:sz="0" w:space="0" w:color="auto"/>
          </w:divBdr>
        </w:div>
        <w:div w:id="554121426">
          <w:marLeft w:val="0"/>
          <w:marRight w:val="0"/>
          <w:marTop w:val="0"/>
          <w:marBottom w:val="0"/>
          <w:divBdr>
            <w:top w:val="none" w:sz="0" w:space="0" w:color="auto"/>
            <w:left w:val="none" w:sz="0" w:space="0" w:color="auto"/>
            <w:bottom w:val="none" w:sz="0" w:space="0" w:color="auto"/>
            <w:right w:val="none" w:sz="0" w:space="0" w:color="auto"/>
          </w:divBdr>
        </w:div>
        <w:div w:id="1572500581">
          <w:marLeft w:val="0"/>
          <w:marRight w:val="0"/>
          <w:marTop w:val="0"/>
          <w:marBottom w:val="0"/>
          <w:divBdr>
            <w:top w:val="none" w:sz="0" w:space="0" w:color="auto"/>
            <w:left w:val="none" w:sz="0" w:space="0" w:color="auto"/>
            <w:bottom w:val="none" w:sz="0" w:space="0" w:color="auto"/>
            <w:right w:val="none" w:sz="0" w:space="0" w:color="auto"/>
          </w:divBdr>
        </w:div>
        <w:div w:id="1888950447">
          <w:marLeft w:val="0"/>
          <w:marRight w:val="0"/>
          <w:marTop w:val="0"/>
          <w:marBottom w:val="0"/>
          <w:divBdr>
            <w:top w:val="none" w:sz="0" w:space="0" w:color="auto"/>
            <w:left w:val="none" w:sz="0" w:space="0" w:color="auto"/>
            <w:bottom w:val="none" w:sz="0" w:space="0" w:color="auto"/>
            <w:right w:val="none" w:sz="0" w:space="0" w:color="auto"/>
          </w:divBdr>
        </w:div>
        <w:div w:id="28843731">
          <w:marLeft w:val="0"/>
          <w:marRight w:val="0"/>
          <w:marTop w:val="0"/>
          <w:marBottom w:val="0"/>
          <w:divBdr>
            <w:top w:val="none" w:sz="0" w:space="0" w:color="auto"/>
            <w:left w:val="none" w:sz="0" w:space="0" w:color="auto"/>
            <w:bottom w:val="none" w:sz="0" w:space="0" w:color="auto"/>
            <w:right w:val="none" w:sz="0" w:space="0" w:color="auto"/>
          </w:divBdr>
        </w:div>
        <w:div w:id="335693826">
          <w:marLeft w:val="0"/>
          <w:marRight w:val="0"/>
          <w:marTop w:val="0"/>
          <w:marBottom w:val="0"/>
          <w:divBdr>
            <w:top w:val="none" w:sz="0" w:space="0" w:color="auto"/>
            <w:left w:val="none" w:sz="0" w:space="0" w:color="auto"/>
            <w:bottom w:val="none" w:sz="0" w:space="0" w:color="auto"/>
            <w:right w:val="none" w:sz="0" w:space="0" w:color="auto"/>
          </w:divBdr>
        </w:div>
      </w:divsChild>
    </w:div>
    <w:div w:id="297104743">
      <w:bodyDiv w:val="1"/>
      <w:marLeft w:val="0"/>
      <w:marRight w:val="0"/>
      <w:marTop w:val="0"/>
      <w:marBottom w:val="0"/>
      <w:divBdr>
        <w:top w:val="none" w:sz="0" w:space="0" w:color="auto"/>
        <w:left w:val="none" w:sz="0" w:space="0" w:color="auto"/>
        <w:bottom w:val="none" w:sz="0" w:space="0" w:color="auto"/>
        <w:right w:val="none" w:sz="0" w:space="0" w:color="auto"/>
      </w:divBdr>
      <w:divsChild>
        <w:div w:id="1773936746">
          <w:marLeft w:val="0"/>
          <w:marRight w:val="0"/>
          <w:marTop w:val="0"/>
          <w:marBottom w:val="0"/>
          <w:divBdr>
            <w:top w:val="none" w:sz="0" w:space="0" w:color="auto"/>
            <w:left w:val="none" w:sz="0" w:space="0" w:color="auto"/>
            <w:bottom w:val="none" w:sz="0" w:space="0" w:color="auto"/>
            <w:right w:val="none" w:sz="0" w:space="0" w:color="auto"/>
          </w:divBdr>
        </w:div>
      </w:divsChild>
    </w:div>
    <w:div w:id="851407836">
      <w:bodyDiv w:val="1"/>
      <w:marLeft w:val="0"/>
      <w:marRight w:val="0"/>
      <w:marTop w:val="0"/>
      <w:marBottom w:val="0"/>
      <w:divBdr>
        <w:top w:val="none" w:sz="0" w:space="0" w:color="auto"/>
        <w:left w:val="none" w:sz="0" w:space="0" w:color="auto"/>
        <w:bottom w:val="none" w:sz="0" w:space="0" w:color="auto"/>
        <w:right w:val="none" w:sz="0" w:space="0" w:color="auto"/>
      </w:divBdr>
    </w:div>
    <w:div w:id="1116095252">
      <w:bodyDiv w:val="1"/>
      <w:marLeft w:val="0"/>
      <w:marRight w:val="0"/>
      <w:marTop w:val="0"/>
      <w:marBottom w:val="0"/>
      <w:divBdr>
        <w:top w:val="none" w:sz="0" w:space="0" w:color="auto"/>
        <w:left w:val="none" w:sz="0" w:space="0" w:color="auto"/>
        <w:bottom w:val="none" w:sz="0" w:space="0" w:color="auto"/>
        <w:right w:val="none" w:sz="0" w:space="0" w:color="auto"/>
      </w:divBdr>
      <w:divsChild>
        <w:div w:id="781460051">
          <w:marLeft w:val="0"/>
          <w:marRight w:val="0"/>
          <w:marTop w:val="0"/>
          <w:marBottom w:val="0"/>
          <w:divBdr>
            <w:top w:val="none" w:sz="0" w:space="0" w:color="auto"/>
            <w:left w:val="none" w:sz="0" w:space="0" w:color="auto"/>
            <w:bottom w:val="none" w:sz="0" w:space="0" w:color="auto"/>
            <w:right w:val="none" w:sz="0" w:space="0" w:color="auto"/>
          </w:divBdr>
        </w:div>
        <w:div w:id="1495608009">
          <w:marLeft w:val="0"/>
          <w:marRight w:val="0"/>
          <w:marTop w:val="0"/>
          <w:marBottom w:val="0"/>
          <w:divBdr>
            <w:top w:val="none" w:sz="0" w:space="0" w:color="auto"/>
            <w:left w:val="none" w:sz="0" w:space="0" w:color="auto"/>
            <w:bottom w:val="none" w:sz="0" w:space="0" w:color="auto"/>
            <w:right w:val="none" w:sz="0" w:space="0" w:color="auto"/>
          </w:divBdr>
        </w:div>
        <w:div w:id="19404923">
          <w:marLeft w:val="0"/>
          <w:marRight w:val="0"/>
          <w:marTop w:val="0"/>
          <w:marBottom w:val="0"/>
          <w:divBdr>
            <w:top w:val="none" w:sz="0" w:space="0" w:color="auto"/>
            <w:left w:val="none" w:sz="0" w:space="0" w:color="auto"/>
            <w:bottom w:val="none" w:sz="0" w:space="0" w:color="auto"/>
            <w:right w:val="none" w:sz="0" w:space="0" w:color="auto"/>
          </w:divBdr>
        </w:div>
        <w:div w:id="1161893242">
          <w:marLeft w:val="0"/>
          <w:marRight w:val="0"/>
          <w:marTop w:val="0"/>
          <w:marBottom w:val="0"/>
          <w:divBdr>
            <w:top w:val="none" w:sz="0" w:space="0" w:color="auto"/>
            <w:left w:val="none" w:sz="0" w:space="0" w:color="auto"/>
            <w:bottom w:val="none" w:sz="0" w:space="0" w:color="auto"/>
            <w:right w:val="none" w:sz="0" w:space="0" w:color="auto"/>
          </w:divBdr>
        </w:div>
        <w:div w:id="1940720100">
          <w:marLeft w:val="0"/>
          <w:marRight w:val="0"/>
          <w:marTop w:val="0"/>
          <w:marBottom w:val="0"/>
          <w:divBdr>
            <w:top w:val="none" w:sz="0" w:space="0" w:color="auto"/>
            <w:left w:val="none" w:sz="0" w:space="0" w:color="auto"/>
            <w:bottom w:val="none" w:sz="0" w:space="0" w:color="auto"/>
            <w:right w:val="none" w:sz="0" w:space="0" w:color="auto"/>
          </w:divBdr>
        </w:div>
        <w:div w:id="1839421642">
          <w:marLeft w:val="0"/>
          <w:marRight w:val="0"/>
          <w:marTop w:val="0"/>
          <w:marBottom w:val="0"/>
          <w:divBdr>
            <w:top w:val="none" w:sz="0" w:space="0" w:color="auto"/>
            <w:left w:val="none" w:sz="0" w:space="0" w:color="auto"/>
            <w:bottom w:val="none" w:sz="0" w:space="0" w:color="auto"/>
            <w:right w:val="none" w:sz="0" w:space="0" w:color="auto"/>
          </w:divBdr>
        </w:div>
        <w:div w:id="1429424705">
          <w:marLeft w:val="0"/>
          <w:marRight w:val="0"/>
          <w:marTop w:val="0"/>
          <w:marBottom w:val="0"/>
          <w:divBdr>
            <w:top w:val="none" w:sz="0" w:space="0" w:color="auto"/>
            <w:left w:val="none" w:sz="0" w:space="0" w:color="auto"/>
            <w:bottom w:val="none" w:sz="0" w:space="0" w:color="auto"/>
            <w:right w:val="none" w:sz="0" w:space="0" w:color="auto"/>
          </w:divBdr>
        </w:div>
        <w:div w:id="1217089513">
          <w:marLeft w:val="0"/>
          <w:marRight w:val="0"/>
          <w:marTop w:val="0"/>
          <w:marBottom w:val="0"/>
          <w:divBdr>
            <w:top w:val="none" w:sz="0" w:space="0" w:color="auto"/>
            <w:left w:val="none" w:sz="0" w:space="0" w:color="auto"/>
            <w:bottom w:val="none" w:sz="0" w:space="0" w:color="auto"/>
            <w:right w:val="none" w:sz="0" w:space="0" w:color="auto"/>
          </w:divBdr>
        </w:div>
        <w:div w:id="864682837">
          <w:marLeft w:val="0"/>
          <w:marRight w:val="0"/>
          <w:marTop w:val="0"/>
          <w:marBottom w:val="0"/>
          <w:divBdr>
            <w:top w:val="none" w:sz="0" w:space="0" w:color="auto"/>
            <w:left w:val="none" w:sz="0" w:space="0" w:color="auto"/>
            <w:bottom w:val="none" w:sz="0" w:space="0" w:color="auto"/>
            <w:right w:val="none" w:sz="0" w:space="0" w:color="auto"/>
          </w:divBdr>
        </w:div>
        <w:div w:id="1619995207">
          <w:marLeft w:val="0"/>
          <w:marRight w:val="0"/>
          <w:marTop w:val="0"/>
          <w:marBottom w:val="0"/>
          <w:divBdr>
            <w:top w:val="none" w:sz="0" w:space="0" w:color="auto"/>
            <w:left w:val="none" w:sz="0" w:space="0" w:color="auto"/>
            <w:bottom w:val="none" w:sz="0" w:space="0" w:color="auto"/>
            <w:right w:val="none" w:sz="0" w:space="0" w:color="auto"/>
          </w:divBdr>
        </w:div>
        <w:div w:id="1751536932">
          <w:marLeft w:val="0"/>
          <w:marRight w:val="0"/>
          <w:marTop w:val="0"/>
          <w:marBottom w:val="0"/>
          <w:divBdr>
            <w:top w:val="none" w:sz="0" w:space="0" w:color="auto"/>
            <w:left w:val="none" w:sz="0" w:space="0" w:color="auto"/>
            <w:bottom w:val="none" w:sz="0" w:space="0" w:color="auto"/>
            <w:right w:val="none" w:sz="0" w:space="0" w:color="auto"/>
          </w:divBdr>
        </w:div>
        <w:div w:id="1739161433">
          <w:marLeft w:val="0"/>
          <w:marRight w:val="0"/>
          <w:marTop w:val="0"/>
          <w:marBottom w:val="0"/>
          <w:divBdr>
            <w:top w:val="none" w:sz="0" w:space="0" w:color="auto"/>
            <w:left w:val="none" w:sz="0" w:space="0" w:color="auto"/>
            <w:bottom w:val="none" w:sz="0" w:space="0" w:color="auto"/>
            <w:right w:val="none" w:sz="0" w:space="0" w:color="auto"/>
          </w:divBdr>
        </w:div>
        <w:div w:id="932974950">
          <w:marLeft w:val="0"/>
          <w:marRight w:val="0"/>
          <w:marTop w:val="0"/>
          <w:marBottom w:val="0"/>
          <w:divBdr>
            <w:top w:val="none" w:sz="0" w:space="0" w:color="auto"/>
            <w:left w:val="none" w:sz="0" w:space="0" w:color="auto"/>
            <w:bottom w:val="none" w:sz="0" w:space="0" w:color="auto"/>
            <w:right w:val="none" w:sz="0" w:space="0" w:color="auto"/>
          </w:divBdr>
        </w:div>
        <w:div w:id="295062751">
          <w:marLeft w:val="0"/>
          <w:marRight w:val="0"/>
          <w:marTop w:val="0"/>
          <w:marBottom w:val="0"/>
          <w:divBdr>
            <w:top w:val="none" w:sz="0" w:space="0" w:color="auto"/>
            <w:left w:val="none" w:sz="0" w:space="0" w:color="auto"/>
            <w:bottom w:val="none" w:sz="0" w:space="0" w:color="auto"/>
            <w:right w:val="none" w:sz="0" w:space="0" w:color="auto"/>
          </w:divBdr>
        </w:div>
        <w:div w:id="555892407">
          <w:marLeft w:val="0"/>
          <w:marRight w:val="0"/>
          <w:marTop w:val="0"/>
          <w:marBottom w:val="0"/>
          <w:divBdr>
            <w:top w:val="none" w:sz="0" w:space="0" w:color="auto"/>
            <w:left w:val="none" w:sz="0" w:space="0" w:color="auto"/>
            <w:bottom w:val="none" w:sz="0" w:space="0" w:color="auto"/>
            <w:right w:val="none" w:sz="0" w:space="0" w:color="auto"/>
          </w:divBdr>
        </w:div>
        <w:div w:id="2136867419">
          <w:marLeft w:val="0"/>
          <w:marRight w:val="0"/>
          <w:marTop w:val="0"/>
          <w:marBottom w:val="0"/>
          <w:divBdr>
            <w:top w:val="none" w:sz="0" w:space="0" w:color="auto"/>
            <w:left w:val="none" w:sz="0" w:space="0" w:color="auto"/>
            <w:bottom w:val="none" w:sz="0" w:space="0" w:color="auto"/>
            <w:right w:val="none" w:sz="0" w:space="0" w:color="auto"/>
          </w:divBdr>
        </w:div>
        <w:div w:id="1770663368">
          <w:marLeft w:val="0"/>
          <w:marRight w:val="0"/>
          <w:marTop w:val="0"/>
          <w:marBottom w:val="0"/>
          <w:divBdr>
            <w:top w:val="none" w:sz="0" w:space="0" w:color="auto"/>
            <w:left w:val="none" w:sz="0" w:space="0" w:color="auto"/>
            <w:bottom w:val="none" w:sz="0" w:space="0" w:color="auto"/>
            <w:right w:val="none" w:sz="0" w:space="0" w:color="auto"/>
          </w:divBdr>
        </w:div>
        <w:div w:id="1800612813">
          <w:marLeft w:val="0"/>
          <w:marRight w:val="0"/>
          <w:marTop w:val="0"/>
          <w:marBottom w:val="0"/>
          <w:divBdr>
            <w:top w:val="none" w:sz="0" w:space="0" w:color="auto"/>
            <w:left w:val="none" w:sz="0" w:space="0" w:color="auto"/>
            <w:bottom w:val="none" w:sz="0" w:space="0" w:color="auto"/>
            <w:right w:val="none" w:sz="0" w:space="0" w:color="auto"/>
          </w:divBdr>
        </w:div>
        <w:div w:id="2107262720">
          <w:marLeft w:val="0"/>
          <w:marRight w:val="0"/>
          <w:marTop w:val="0"/>
          <w:marBottom w:val="0"/>
          <w:divBdr>
            <w:top w:val="none" w:sz="0" w:space="0" w:color="auto"/>
            <w:left w:val="none" w:sz="0" w:space="0" w:color="auto"/>
            <w:bottom w:val="none" w:sz="0" w:space="0" w:color="auto"/>
            <w:right w:val="none" w:sz="0" w:space="0" w:color="auto"/>
          </w:divBdr>
        </w:div>
        <w:div w:id="1599749323">
          <w:marLeft w:val="0"/>
          <w:marRight w:val="0"/>
          <w:marTop w:val="0"/>
          <w:marBottom w:val="0"/>
          <w:divBdr>
            <w:top w:val="none" w:sz="0" w:space="0" w:color="auto"/>
            <w:left w:val="none" w:sz="0" w:space="0" w:color="auto"/>
            <w:bottom w:val="none" w:sz="0" w:space="0" w:color="auto"/>
            <w:right w:val="none" w:sz="0" w:space="0" w:color="auto"/>
          </w:divBdr>
        </w:div>
        <w:div w:id="1493985722">
          <w:marLeft w:val="0"/>
          <w:marRight w:val="0"/>
          <w:marTop w:val="0"/>
          <w:marBottom w:val="0"/>
          <w:divBdr>
            <w:top w:val="none" w:sz="0" w:space="0" w:color="auto"/>
            <w:left w:val="none" w:sz="0" w:space="0" w:color="auto"/>
            <w:bottom w:val="none" w:sz="0" w:space="0" w:color="auto"/>
            <w:right w:val="none" w:sz="0" w:space="0" w:color="auto"/>
          </w:divBdr>
        </w:div>
        <w:div w:id="1001205420">
          <w:marLeft w:val="0"/>
          <w:marRight w:val="0"/>
          <w:marTop w:val="0"/>
          <w:marBottom w:val="0"/>
          <w:divBdr>
            <w:top w:val="none" w:sz="0" w:space="0" w:color="auto"/>
            <w:left w:val="none" w:sz="0" w:space="0" w:color="auto"/>
            <w:bottom w:val="none" w:sz="0" w:space="0" w:color="auto"/>
            <w:right w:val="none" w:sz="0" w:space="0" w:color="auto"/>
          </w:divBdr>
        </w:div>
        <w:div w:id="76445312">
          <w:marLeft w:val="0"/>
          <w:marRight w:val="0"/>
          <w:marTop w:val="0"/>
          <w:marBottom w:val="0"/>
          <w:divBdr>
            <w:top w:val="none" w:sz="0" w:space="0" w:color="auto"/>
            <w:left w:val="none" w:sz="0" w:space="0" w:color="auto"/>
            <w:bottom w:val="none" w:sz="0" w:space="0" w:color="auto"/>
            <w:right w:val="none" w:sz="0" w:space="0" w:color="auto"/>
          </w:divBdr>
        </w:div>
        <w:div w:id="689643020">
          <w:marLeft w:val="0"/>
          <w:marRight w:val="0"/>
          <w:marTop w:val="0"/>
          <w:marBottom w:val="0"/>
          <w:divBdr>
            <w:top w:val="none" w:sz="0" w:space="0" w:color="auto"/>
            <w:left w:val="none" w:sz="0" w:space="0" w:color="auto"/>
            <w:bottom w:val="none" w:sz="0" w:space="0" w:color="auto"/>
            <w:right w:val="none" w:sz="0" w:space="0" w:color="auto"/>
          </w:divBdr>
        </w:div>
        <w:div w:id="1201359893">
          <w:marLeft w:val="0"/>
          <w:marRight w:val="0"/>
          <w:marTop w:val="0"/>
          <w:marBottom w:val="0"/>
          <w:divBdr>
            <w:top w:val="none" w:sz="0" w:space="0" w:color="auto"/>
            <w:left w:val="none" w:sz="0" w:space="0" w:color="auto"/>
            <w:bottom w:val="none" w:sz="0" w:space="0" w:color="auto"/>
            <w:right w:val="none" w:sz="0" w:space="0" w:color="auto"/>
          </w:divBdr>
        </w:div>
        <w:div w:id="1297300809">
          <w:marLeft w:val="0"/>
          <w:marRight w:val="0"/>
          <w:marTop w:val="0"/>
          <w:marBottom w:val="0"/>
          <w:divBdr>
            <w:top w:val="none" w:sz="0" w:space="0" w:color="auto"/>
            <w:left w:val="none" w:sz="0" w:space="0" w:color="auto"/>
            <w:bottom w:val="none" w:sz="0" w:space="0" w:color="auto"/>
            <w:right w:val="none" w:sz="0" w:space="0" w:color="auto"/>
          </w:divBdr>
        </w:div>
        <w:div w:id="7579463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a.gov/service/tribal-leaders-directo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rf.org/nill/triballaw/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okeecourts.org/Portals/cherokeecourts/Documents/Supreme%20Court/Order%20and%20Opinions/SC-22-01%202-Notice%202-14-22.pdf?ver=2022-02-14-142814-14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lawlibrariansforindigenousinclusivecitationpractices.org" TargetMode="Externa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2F0DB-53E1-43D8-B275-CB71DD3DDE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C23A9-347E-4A39-9764-DC21EFDEDB71}">
  <ds:schemaRefs>
    <ds:schemaRef ds:uri="http://schemas.microsoft.com/sharepoint/v3/contenttype/forms"/>
  </ds:schemaRefs>
</ds:datastoreItem>
</file>

<file path=customXml/itemProps3.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D857B-3E6B-4CC0-B060-08972496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56</cp:revision>
  <dcterms:created xsi:type="dcterms:W3CDTF">2022-07-08T13:47:00Z</dcterms:created>
  <dcterms:modified xsi:type="dcterms:W3CDTF">2023-08-04T23:37:00Z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