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Team</w:t>
      </w:r>
      <w:proofErr w:type="spellEnd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Name</w:t>
      </w:r>
      <w:proofErr w:type="spellEnd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>Beautiful</w:t>
      </w:r>
      <w:proofErr w:type="spellEnd"/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</w:t>
      </w:r>
      <w:proofErr w:type="spellStart"/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>Disruption</w:t>
      </w:r>
      <w:proofErr w:type="spellEnd"/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Challenge</w:t>
      </w:r>
      <w:proofErr w:type="spellEnd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>Telefonica</w:t>
      </w:r>
      <w:proofErr w:type="spellEnd"/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Project </w:t>
      </w:r>
      <w:proofErr w:type="spellStart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Name</w:t>
      </w:r>
      <w:proofErr w:type="spellEnd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Calibri" w:eastAsia="Times New Roman" w:hAnsi="Calibri" w:cs="Times New Roman"/>
          <w:bCs/>
          <w:color w:val="000000"/>
          <w:sz w:val="24"/>
          <w:szCs w:val="24"/>
        </w:rPr>
        <w:t>Trusty</w:t>
      </w:r>
      <w:proofErr w:type="spellEnd"/>
    </w:p>
    <w:p w:rsidR="00830E31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Team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Members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: </w:t>
      </w: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1. </w:t>
      </w:r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>Juan Linares, Universidad de Los Andes, Jc.linares147@uniandes.edu.co</w:t>
      </w: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2. </w:t>
      </w:r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>Natalia Ávila, Universidad de Los Andes, Mariaavni@unisabana.edu.co</w:t>
      </w: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3. </w:t>
      </w:r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Andrés Villalobos, </w:t>
      </w:r>
      <w:proofErr w:type="spellStart"/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>Politecnico</w:t>
      </w:r>
      <w:proofErr w:type="spellEnd"/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</w:t>
      </w:r>
      <w:proofErr w:type="spellStart"/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>Grancolombiano</w:t>
      </w:r>
      <w:proofErr w:type="spellEnd"/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, cavillalobos@poligran.edu.co </w:t>
      </w: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4. </w:t>
      </w:r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>Camilo Navarro, Universidad de La Sabana, camilonavhe@unisabana.edu.co</w:t>
      </w: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5. </w:t>
      </w:r>
      <w:r w:rsidRPr="00213D2F">
        <w:rPr>
          <w:rFonts w:ascii="Calibri" w:eastAsia="Times New Roman" w:hAnsi="Calibri" w:cs="Times New Roman"/>
          <w:bCs/>
          <w:color w:val="000000"/>
          <w:sz w:val="24"/>
          <w:szCs w:val="24"/>
        </w:rPr>
        <w:t>Nicolas Rodriguez, Universidad de La Sabana, manuelrole@unisabana.edu.co</w:t>
      </w:r>
    </w:p>
    <w:p w:rsidR="00830E31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30E31" w:rsidRPr="00213D2F" w:rsidRDefault="00830E31" w:rsidP="00830E3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Trusty</w:t>
      </w:r>
      <w:proofErr w:type="spellEnd"/>
      <w:r w:rsidRPr="00213D2F">
        <w:rPr>
          <w:rFonts w:ascii="Calibri" w:eastAsia="Times New Roman" w:hAnsi="Calibri" w:cs="Times New Roman"/>
          <w:color w:val="000000"/>
          <w:sz w:val="24"/>
          <w:szCs w:val="24"/>
        </w:rPr>
        <w:t xml:space="preserve"> es una herramienta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especialmente diseñada para obtener una localización geográfica</w:t>
      </w:r>
      <w:r w:rsidRPr="00213D2F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de clientes</w:t>
      </w:r>
      <w:r w:rsidRPr="00213D2F">
        <w:rPr>
          <w:rFonts w:ascii="Calibri" w:eastAsia="Times New Roman" w:hAnsi="Calibri" w:cs="Times New Roman"/>
          <w:color w:val="000000"/>
          <w:sz w:val="24"/>
          <w:szCs w:val="24"/>
        </w:rPr>
        <w:t>, tipo de predio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o inmueble e información de mercado en tiempo real con actualización constante de información a través de la aplicación Mi Movistar.</w:t>
      </w:r>
    </w:p>
    <w:p w:rsidR="00830E31" w:rsidRPr="00213D2F" w:rsidRDefault="00830E31" w:rsidP="00830E3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¿Cómo funciona? El programa realiza una detección de redes WIFI en rangos menores de 20 m2 y registra la localización geográfica (latitud, longitud) del dispositivo, MAC del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router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e IP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Address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del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router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en una base de datos protegida. A partir de ello, nuestro sistema coteja los distintos puntos de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localización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geográfica de dispositivos por cada red WIFI y puede llegar a encontrar una estimación triangulada de unos 7 m2 para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router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con un error cada vez menor en cada nuevo dato e iteración del sistema. Además, la IP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Address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nos permite conocer la red WIFI, su posición geográfica estimada y proveedor de servicios. Con lo cual, se provee un sistema de información de mercadeo que permite determinar el Mapa de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Penetracion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por Sector,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churn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de clientes y oportunidades de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churn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de clientes.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Más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exactamente, nos permite tomar decisiones estratégicas de negocio por zona, estrategias de fidelización a clientes con un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churn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alto.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Ademas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>, estrategias de alcance y conversión de clientes de la competencia que tienen una alta probabilidad de cambiar de proveedor de servicios.</w:t>
      </w: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Link to </w:t>
      </w:r>
      <w:proofErr w:type="spellStart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Presentation</w:t>
      </w:r>
      <w:proofErr w:type="spellEnd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:</w:t>
      </w: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Link to </w:t>
      </w:r>
      <w:proofErr w:type="spellStart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Github</w:t>
      </w:r>
      <w:proofErr w:type="spellEnd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/</w:t>
      </w:r>
      <w:proofErr w:type="spellStart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Gitlab</w:t>
      </w:r>
      <w:proofErr w:type="spellEnd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:</w:t>
      </w:r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30E3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https://github.com/indigoshakti47/BeautifulDisruptionSabanaHack2018</w:t>
      </w:r>
    </w:p>
    <w:p w:rsidR="00830E31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830E31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proofErr w:type="spellStart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Url</w:t>
      </w:r>
      <w:proofErr w:type="spellEnd"/>
      <w:r w:rsidRPr="00213D2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Demo:</w:t>
      </w:r>
      <w:r w:rsidR="00183917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830E31" w:rsidRPr="00213D2F" w:rsidRDefault="00830E31" w:rsidP="00830E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30E31" w:rsidRDefault="00830E31" w:rsidP="00830E31"/>
    <w:p w:rsidR="00830E31" w:rsidRDefault="00830E31" w:rsidP="00830E31"/>
    <w:p w:rsidR="00830E31" w:rsidRDefault="00830E31" w:rsidP="00830E31"/>
    <w:p w:rsidR="00830E31" w:rsidRDefault="00830E31" w:rsidP="00830E31"/>
    <w:p w:rsidR="002D52C8" w:rsidRDefault="00183917"/>
    <w:sectPr w:rsidR="002D5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31"/>
    <w:rsid w:val="00183917"/>
    <w:rsid w:val="0048458B"/>
    <w:rsid w:val="006A1422"/>
    <w:rsid w:val="00830E31"/>
    <w:rsid w:val="009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D5AB0-BD13-4FF2-B1D9-2F144250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E3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rodriguez</dc:creator>
  <cp:keywords/>
  <dc:description/>
  <cp:lastModifiedBy>nicolas rodriguez</cp:lastModifiedBy>
  <cp:revision>1</cp:revision>
  <dcterms:created xsi:type="dcterms:W3CDTF">2018-11-04T19:57:00Z</dcterms:created>
  <dcterms:modified xsi:type="dcterms:W3CDTF">2018-11-04T20:27:00Z</dcterms:modified>
</cp:coreProperties>
</file>