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1B" w:rsidRDefault="00FC2E1B"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Task: Convert this page in html.</w:t>
      </w:r>
    </w:p>
    <w:p w:rsidR="00FC2E1B" w:rsidRPr="00FC2E1B" w:rsidRDefault="00FC2E1B" w:rsidP="00FC2E1B">
      <w:pPr>
        <w:shd w:val="clear" w:color="auto" w:fill="FFFFFF"/>
        <w:textAlignment w:val="baseline"/>
        <w:rPr>
          <w:rFonts w:ascii="Arial" w:eastAsia="Times New Roman" w:hAnsi="Arial" w:cs="Arial"/>
          <w:color w:val="1F1F1F"/>
          <w:sz w:val="21"/>
          <w:szCs w:val="21"/>
          <w:bdr w:val="single" w:sz="6" w:space="0" w:color="1558D6" w:frame="1"/>
          <w:shd w:val="clear" w:color="auto" w:fill="1558D6"/>
        </w:rPr>
      </w:pPr>
      <w:r>
        <w:rPr>
          <w:rFonts w:ascii="Times New Roman" w:eastAsia="Times New Roman" w:hAnsi="Times New Roman" w:cs="Times New Roman"/>
          <w:b/>
          <w:bCs/>
          <w:kern w:val="36"/>
          <w:sz w:val="28"/>
          <w:szCs w:val="48"/>
        </w:rPr>
        <w:t xml:space="preserve">(Use Proper heading </w:t>
      </w:r>
      <w:proofErr w:type="spellStart"/>
      <w:r w:rsidRPr="00FC2E1B">
        <w:rPr>
          <w:rFonts w:ascii="Times New Roman" w:eastAsia="Times New Roman" w:hAnsi="Times New Roman" w:cs="Times New Roman"/>
          <w:b/>
          <w:bCs/>
          <w:kern w:val="36"/>
          <w:sz w:val="28"/>
          <w:szCs w:val="48"/>
        </w:rPr>
        <w:t>hierarchi</w:t>
      </w:r>
      <w:proofErr w:type="spellEnd"/>
      <w:r>
        <w:rPr>
          <w:rFonts w:ascii="Times New Roman" w:eastAsia="Times New Roman" w:hAnsi="Times New Roman" w:cs="Times New Roman"/>
          <w:b/>
          <w:bCs/>
          <w:kern w:val="36"/>
          <w:sz w:val="28"/>
          <w:szCs w:val="48"/>
        </w:rPr>
        <w:t>)</w:t>
      </w:r>
    </w:p>
    <w:p w:rsidR="00FC2E1B" w:rsidRDefault="00FC2E1B"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B0949" w:rsidRPr="005B0949" w:rsidRDefault="005B0949"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949">
        <w:rPr>
          <w:rFonts w:ascii="Times New Roman" w:eastAsia="Times New Roman" w:hAnsi="Times New Roman" w:cs="Times New Roman"/>
          <w:b/>
          <w:bCs/>
          <w:kern w:val="36"/>
          <w:sz w:val="48"/>
          <w:szCs w:val="48"/>
        </w:rPr>
        <w:t>Renewable Energy Trends in 2024</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Introduction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Renewable energy continues to be at the forefront of the global energy transition. In 2024, advancements in technology, policy initiatives, and increased investment have propelled the renewable sector to new heights. With growing concerns over climate change, energy security, and sustainability, the world is rapidly shifting toward cleaner sources of energy. This article explores the latest trends in renewable energy, covering various sources, technological innovations, market dynamics, and policy developments.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Global Growth of Renewable Energy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Increased Capacity Additions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According to recent reports, the global renewable electricity capacity witnessed a significant rise in 2024. The International Renewable Energy Agency (IRENA) stated that an additional 473 </w:t>
      </w:r>
      <w:proofErr w:type="spellStart"/>
      <w:r w:rsidRPr="005B0949">
        <w:rPr>
          <w:rFonts w:ascii="Times New Roman" w:eastAsia="Times New Roman" w:hAnsi="Times New Roman" w:cs="Times New Roman"/>
          <w:sz w:val="24"/>
          <w:szCs w:val="24"/>
        </w:rPr>
        <w:t>gigawatts</w:t>
      </w:r>
      <w:proofErr w:type="spellEnd"/>
      <w:r w:rsidRPr="005B0949">
        <w:rPr>
          <w:rFonts w:ascii="Times New Roman" w:eastAsia="Times New Roman" w:hAnsi="Times New Roman" w:cs="Times New Roman"/>
          <w:sz w:val="24"/>
          <w:szCs w:val="24"/>
        </w:rPr>
        <w:t xml:space="preserve"> (GW) of renewable capacity was installed in 2023, making up 86% of the total new power generation capacity. China led the way, adding massive amounts of solar and wind power.</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Regional Contributions</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China</w:t>
      </w:r>
      <w:r w:rsidRPr="005B0949">
        <w:rPr>
          <w:rFonts w:ascii="Times New Roman" w:eastAsia="Times New Roman" w:hAnsi="Times New Roman" w:cs="Times New Roman"/>
          <w:sz w:val="24"/>
          <w:szCs w:val="24"/>
        </w:rPr>
        <w:t>: China continues to dominate the renewable energy sector, with solar capacity reaching 1.42 terawatts (TW), surpassing hydropower. Wind energy also achieved a significant milestone, exceeding 1 TW in capacity.</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United States</w:t>
      </w:r>
      <w:r w:rsidRPr="005B0949">
        <w:rPr>
          <w:rFonts w:ascii="Times New Roman" w:eastAsia="Times New Roman" w:hAnsi="Times New Roman" w:cs="Times New Roman"/>
          <w:sz w:val="24"/>
          <w:szCs w:val="24"/>
        </w:rPr>
        <w:t>: Wind and solar energy surpassed coal in electricity generation for the first time in U.S. history. Wind and solar contributed 17% to the total power mix, while coal declined to 15%.</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Europe</w:t>
      </w:r>
      <w:r w:rsidRPr="005B0949">
        <w:rPr>
          <w:rFonts w:ascii="Times New Roman" w:eastAsia="Times New Roman" w:hAnsi="Times New Roman" w:cs="Times New Roman"/>
          <w:sz w:val="24"/>
          <w:szCs w:val="24"/>
        </w:rPr>
        <w:t>: European nations continued their efforts to reduce dependency on Russian gas, diversifying energy sources and enhancing renewable energy infrastructure.</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Key Renewable Energy Sources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Solar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lastRenderedPageBreak/>
        <w:t>Growth and Adoption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Solar energy remains the fastest-growing renewable energy source. In 2024, the U.S. alone installed a record 50 GW of new solar capacity. The cost of solar panel production has also declined, making it more accessible for residential and commercial use.</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Technological Advancements</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Bifacial Solar Panels</w:t>
      </w:r>
      <w:r w:rsidRPr="005B0949">
        <w:rPr>
          <w:rFonts w:ascii="Times New Roman" w:eastAsia="Times New Roman" w:hAnsi="Times New Roman" w:cs="Times New Roman"/>
          <w:sz w:val="24"/>
          <w:szCs w:val="24"/>
        </w:rPr>
        <w:t>: These panels capture sunlight on both sides, increasing efficiency.</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B0949">
        <w:rPr>
          <w:rFonts w:ascii="Times New Roman" w:eastAsia="Times New Roman" w:hAnsi="Times New Roman" w:cs="Times New Roman"/>
          <w:b/>
          <w:bCs/>
          <w:sz w:val="24"/>
          <w:szCs w:val="24"/>
        </w:rPr>
        <w:t>Perovskite</w:t>
      </w:r>
      <w:proofErr w:type="spellEnd"/>
      <w:r w:rsidRPr="005B0949">
        <w:rPr>
          <w:rFonts w:ascii="Times New Roman" w:eastAsia="Times New Roman" w:hAnsi="Times New Roman" w:cs="Times New Roman"/>
          <w:b/>
          <w:bCs/>
          <w:sz w:val="24"/>
          <w:szCs w:val="24"/>
        </w:rPr>
        <w:t xml:space="preserve"> Solar Cells</w:t>
      </w:r>
      <w:r w:rsidRPr="005B0949">
        <w:rPr>
          <w:rFonts w:ascii="Times New Roman" w:eastAsia="Times New Roman" w:hAnsi="Times New Roman" w:cs="Times New Roman"/>
          <w:sz w:val="24"/>
          <w:szCs w:val="24"/>
        </w:rPr>
        <w:t>: Offering higher efficiency rates compared to traditional silicon-based cells.</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Solar + Storage Integration</w:t>
      </w:r>
      <w:r w:rsidRPr="005B0949">
        <w:rPr>
          <w:rFonts w:ascii="Times New Roman" w:eastAsia="Times New Roman" w:hAnsi="Times New Roman" w:cs="Times New Roman"/>
          <w:sz w:val="24"/>
          <w:szCs w:val="24"/>
        </w:rPr>
        <w:t>: Combining solar panels with battery storage for enhanced energy reliability.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Wind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Offshore Wind Expansion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Offshore wind farms gained traction in 2024, with major projects launched across Europe, the U.S., and Asia. Floating wind farms, which can be installed in deeper waters, have opened new possibilities for wind energy generation.</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Onshore Wind Developments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Onshore wind power continues to expand due to declining costs and improved turbine technology. The efficiency of wind turbines has increased, reducing the cost per megawatt-hour (</w:t>
      </w:r>
      <w:proofErr w:type="spellStart"/>
      <w:r w:rsidRPr="005B0949">
        <w:rPr>
          <w:rFonts w:ascii="Times New Roman" w:eastAsia="Times New Roman" w:hAnsi="Times New Roman" w:cs="Times New Roman"/>
          <w:sz w:val="24"/>
          <w:szCs w:val="24"/>
        </w:rPr>
        <w:t>MWh</w:t>
      </w:r>
      <w:proofErr w:type="spellEnd"/>
      <w:r w:rsidRPr="005B0949">
        <w:rPr>
          <w:rFonts w:ascii="Times New Roman" w:eastAsia="Times New Roman" w:hAnsi="Times New Roman" w:cs="Times New Roman"/>
          <w:sz w:val="24"/>
          <w:szCs w:val="24"/>
        </w:rPr>
        <w:t>).</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Hydropower</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Modernization of Existing Plants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While hydropower remains a crucial energy source, 2024 has seen an emphasis on modernizing existing hydropower plants with advanced turbine technology to enhance efficiency.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Small-Scale Hydropower</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Countries are focusing on small-scale hydropower projects to supply energy to remote and rural areas.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Biomass and Bioenergy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Sustainable Biomass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Biomass energy continues to evolve with more sustainable practices, reducing emissions and ensuring responsible land use.</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lastRenderedPageBreak/>
        <w:t>Biofuels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Biofuels are gaining traction in transportation, with new policies promoting the adoption of renewable diesel and ethanol blends in various industries.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Geothermal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Enhanced Geothermal Systems (EGS)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Advancements in Enhanced Geothermal Systems (EGS) have expanded the potential for geothermal energy beyond traditional hotspots.</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Direct Use Applications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Geothermal energy is being increasingly utilized for direct heating applications, including district heating systems and industrial processes.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Technological Innovations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Smart Grids and Energy Storage</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The integration of </w:t>
      </w:r>
      <w:r w:rsidRPr="005B0949">
        <w:rPr>
          <w:rFonts w:ascii="Times New Roman" w:eastAsia="Times New Roman" w:hAnsi="Times New Roman" w:cs="Times New Roman"/>
          <w:b/>
          <w:bCs/>
          <w:sz w:val="24"/>
          <w:szCs w:val="24"/>
        </w:rPr>
        <w:t>smart grid technology</w:t>
      </w:r>
      <w:r w:rsidRPr="005B0949">
        <w:rPr>
          <w:rFonts w:ascii="Times New Roman" w:eastAsia="Times New Roman" w:hAnsi="Times New Roman" w:cs="Times New Roman"/>
          <w:sz w:val="24"/>
          <w:szCs w:val="24"/>
        </w:rPr>
        <w:t xml:space="preserve"> has significantly improved the reliability of renewable energy. Advanced battery storage solutions, such as lithium-ion and solid-state batteries, are becoming more widespread, ensuring a steady power supply even during periods of low renewable generation.</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Artificial Intelligence and Automation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AI-driven energy management systems optimize the use of renewable energy by predicting demand, adjusting supply, and improving grid stability.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Hydrogen as an Energy Carrier</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Green hydrogen, produced using renewable energy, is gaining attention as a clean energy carrier. Several countries are investing heavily in hydrogen production, storage, and distribution to support </w:t>
      </w:r>
      <w:proofErr w:type="spellStart"/>
      <w:r w:rsidRPr="005B0949">
        <w:rPr>
          <w:rFonts w:ascii="Times New Roman" w:eastAsia="Times New Roman" w:hAnsi="Times New Roman" w:cs="Times New Roman"/>
          <w:sz w:val="24"/>
          <w:szCs w:val="24"/>
        </w:rPr>
        <w:t>decarbonization</w:t>
      </w:r>
      <w:proofErr w:type="spellEnd"/>
      <w:r w:rsidRPr="005B0949">
        <w:rPr>
          <w:rFonts w:ascii="Times New Roman" w:eastAsia="Times New Roman" w:hAnsi="Times New Roman" w:cs="Times New Roman"/>
          <w:sz w:val="24"/>
          <w:szCs w:val="24"/>
        </w:rPr>
        <w:t xml:space="preserve"> efforts.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Market Trends and Investments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Increased Corporate Investments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Major corporations are committing to renewable energy through power purchase agreements (PPAs) and direct investments in solar and wind farms. For example, Rio Tinto signed a 20-year agreement to power its operations with renewable energy.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lastRenderedPageBreak/>
        <w:t>Government Policies and Incentives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Governments worldwide are implementing favorable policies, tax credits, and subsidies to encourage the adoption of renewables. The U.S. Inflation Reduction Act (IRA) continues to play a significant role in boosting renewable investments.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Decentralized Energy Systems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With the rise of rooftop solar, battery storage, and community </w:t>
      </w:r>
      <w:proofErr w:type="spellStart"/>
      <w:r w:rsidRPr="005B0949">
        <w:rPr>
          <w:rFonts w:ascii="Times New Roman" w:eastAsia="Times New Roman" w:hAnsi="Times New Roman" w:cs="Times New Roman"/>
          <w:sz w:val="24"/>
          <w:szCs w:val="24"/>
        </w:rPr>
        <w:t>microgrids</w:t>
      </w:r>
      <w:proofErr w:type="spellEnd"/>
      <w:r w:rsidRPr="005B0949">
        <w:rPr>
          <w:rFonts w:ascii="Times New Roman" w:eastAsia="Times New Roman" w:hAnsi="Times New Roman" w:cs="Times New Roman"/>
          <w:sz w:val="24"/>
          <w:szCs w:val="24"/>
        </w:rPr>
        <w:t>, decentralized energy systems are gaining traction, allowing consumers to generate and store their own electricity.</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Challenges and Concerns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Intermittency and Grid Stability</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Renewable energy sources like solar and wind are intermittent, requiring improved grid management and energy storage solutions to ensure a stable power supply.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Land Use and Environmental Impact</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Large-scale renewable projects require significant land use, raising concerns about deforestation, habitat loss, and community displacement.</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Policy and Regulatory Challenges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Inconsistent policies and regulatory hurdles can slow down renewable energy adoption. Ensuring long-term policy support is crucial for sustained growth.</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Future Outlook</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The renewable energy sector is poised for continued growth in the coming years. With rapid technological advancements, increased investments, and stronger policy support, renewables will play a dominant role in the global energy mix. As countries strive to meet net-zero targets, innovations in energy storage, hydrogen, and smart grids will further accelerate the transition toward a sustainable future.</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Conclusion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2024 has been a landmark year for renewable energy, witnessing record-breaking capacity additions, groundbreaking technological advancements, and transformative policy shifts. While challenges remain, the progress made this year signals a promising future for clean energy. As nations and industries unite in their efforts to combat climate change, renewable energy will remain at the heart of the global energy transition.</w:t>
      </w:r>
    </w:p>
    <w:p w:rsidR="001A62C7" w:rsidRDefault="001A62C7">
      <w:pPr>
        <w:rPr>
          <w:rFonts w:ascii="Segoe UI" w:hAnsi="Segoe UI" w:cs="Segoe UI"/>
        </w:rPr>
      </w:pPr>
      <w:r>
        <w:rPr>
          <w:rFonts w:ascii="Segoe UI" w:hAnsi="Segoe UI" w:cs="Segoe UI"/>
        </w:rPr>
        <w:lastRenderedPageBreak/>
        <w:t xml:space="preserve">Resume </w:t>
      </w:r>
      <w:r>
        <w:rPr>
          <w:rFonts w:ascii="Segoe UI" w:hAnsi="Segoe UI" w:cs="Segoe UI"/>
        </w:rPr>
        <w:t>Structure</w:t>
      </w:r>
    </w:p>
    <w:p w:rsidR="001A62C7" w:rsidRDefault="001A62C7">
      <w:pPr>
        <w:rPr>
          <w:rFonts w:ascii="Segoe UI" w:hAnsi="Segoe UI" w:cs="Segoe UI"/>
        </w:rPr>
      </w:pPr>
      <w:bookmarkStart w:id="0" w:name="_GoBack"/>
      <w:r>
        <w:rPr>
          <w:rFonts w:ascii="Segoe UI" w:hAnsi="Segoe UI" w:cs="Segoe UI"/>
        </w:rPr>
        <w:t>Name</w:t>
      </w:r>
    </w:p>
    <w:p w:rsidR="001A62C7" w:rsidRDefault="001A62C7">
      <w:pPr>
        <w:rPr>
          <w:rFonts w:ascii="Segoe UI" w:hAnsi="Segoe UI" w:cs="Segoe UI"/>
        </w:rPr>
      </w:pPr>
      <w:r>
        <w:rPr>
          <w:rFonts w:ascii="Segoe UI" w:hAnsi="Segoe UI" w:cs="Segoe UI"/>
        </w:rPr>
        <w:t xml:space="preserve">   About Yourself</w:t>
      </w:r>
    </w:p>
    <w:p w:rsidR="001A62C7" w:rsidRDefault="001A62C7">
      <w:pPr>
        <w:rPr>
          <w:rFonts w:ascii="Segoe UI" w:hAnsi="Segoe UI" w:cs="Segoe UI"/>
        </w:rPr>
      </w:pPr>
      <w:r>
        <w:rPr>
          <w:rFonts w:ascii="Segoe UI" w:hAnsi="Segoe UI" w:cs="Segoe UI"/>
        </w:rPr>
        <w:t>Qualification</w:t>
      </w:r>
    </w:p>
    <w:p w:rsidR="001A62C7" w:rsidRDefault="001A62C7">
      <w:pPr>
        <w:rPr>
          <w:rFonts w:ascii="Segoe UI" w:hAnsi="Segoe UI" w:cs="Segoe UI"/>
        </w:rPr>
      </w:pPr>
      <w:r>
        <w:rPr>
          <w:rFonts w:ascii="Segoe UI" w:hAnsi="Segoe UI" w:cs="Segoe UI"/>
        </w:rPr>
        <w:t xml:space="preserve">    10</w:t>
      </w:r>
      <w:r w:rsidRPr="001A62C7">
        <w:rPr>
          <w:rFonts w:ascii="Segoe UI" w:hAnsi="Segoe UI" w:cs="Segoe UI"/>
          <w:vertAlign w:val="superscript"/>
        </w:rPr>
        <w:t>th</w:t>
      </w:r>
      <w:r>
        <w:rPr>
          <w:rFonts w:ascii="Segoe UI" w:hAnsi="Segoe UI" w:cs="Segoe UI"/>
        </w:rPr>
        <w:t>, 12</w:t>
      </w:r>
      <w:r w:rsidRPr="001A62C7">
        <w:rPr>
          <w:rFonts w:ascii="Segoe UI" w:hAnsi="Segoe UI" w:cs="Segoe UI"/>
          <w:vertAlign w:val="superscript"/>
        </w:rPr>
        <w:t>th</w:t>
      </w:r>
      <w:r>
        <w:rPr>
          <w:rFonts w:ascii="Segoe UI" w:hAnsi="Segoe UI" w:cs="Segoe UI"/>
        </w:rPr>
        <w:t>, graduation</w:t>
      </w:r>
    </w:p>
    <w:p w:rsidR="001A62C7" w:rsidRDefault="001A62C7">
      <w:pPr>
        <w:rPr>
          <w:rFonts w:ascii="Segoe UI" w:hAnsi="Segoe UI" w:cs="Segoe UI"/>
        </w:rPr>
      </w:pPr>
      <w:r>
        <w:rPr>
          <w:rFonts w:ascii="Segoe UI" w:hAnsi="Segoe UI" w:cs="Segoe UI"/>
        </w:rPr>
        <w:t>Certification/Training</w:t>
      </w:r>
    </w:p>
    <w:p w:rsidR="001A62C7" w:rsidRDefault="001A62C7">
      <w:pPr>
        <w:rPr>
          <w:rFonts w:ascii="Segoe UI" w:hAnsi="Segoe UI" w:cs="Segoe UI"/>
        </w:rPr>
      </w:pPr>
      <w:r>
        <w:rPr>
          <w:rFonts w:ascii="Segoe UI" w:hAnsi="Segoe UI" w:cs="Segoe UI"/>
        </w:rPr>
        <w:t>Skills</w:t>
      </w:r>
    </w:p>
    <w:p w:rsidR="001A62C7" w:rsidRDefault="001A62C7">
      <w:pPr>
        <w:rPr>
          <w:rFonts w:ascii="Segoe UI" w:hAnsi="Segoe UI" w:cs="Segoe UI"/>
        </w:rPr>
      </w:pPr>
      <w:r>
        <w:rPr>
          <w:rFonts w:ascii="Segoe UI" w:hAnsi="Segoe UI" w:cs="Segoe UI"/>
        </w:rPr>
        <w:t>Hobbies</w:t>
      </w:r>
    </w:p>
    <w:p w:rsidR="001A62C7" w:rsidRDefault="001A62C7">
      <w:pPr>
        <w:rPr>
          <w:rFonts w:ascii="Segoe UI" w:hAnsi="Segoe UI" w:cs="Segoe UI"/>
        </w:rPr>
      </w:pPr>
      <w:r>
        <w:rPr>
          <w:rFonts w:ascii="Segoe UI" w:hAnsi="Segoe UI" w:cs="Segoe UI"/>
        </w:rPr>
        <w:t>Contact Details</w:t>
      </w:r>
    </w:p>
    <w:bookmarkEnd w:id="0"/>
    <w:p w:rsidR="001A62C7" w:rsidRDefault="001A62C7">
      <w:pPr>
        <w:rPr>
          <w:rFonts w:ascii="Segoe UI" w:hAnsi="Segoe UI" w:cs="Segoe UI"/>
        </w:rPr>
      </w:pPr>
    </w:p>
    <w:p w:rsidR="001A62C7" w:rsidRDefault="001A62C7">
      <w:pPr>
        <w:rPr>
          <w:rFonts w:ascii="Segoe UI" w:hAnsi="Segoe UI" w:cs="Segoe UI"/>
        </w:rPr>
      </w:pPr>
    </w:p>
    <w:p w:rsidR="001A62C7" w:rsidRDefault="001A62C7">
      <w:r>
        <w:tab/>
      </w:r>
    </w:p>
    <w:sectPr w:rsidR="001A6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81A5C"/>
    <w:multiLevelType w:val="multilevel"/>
    <w:tmpl w:val="FC4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2312F"/>
    <w:multiLevelType w:val="multilevel"/>
    <w:tmpl w:val="40B6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49"/>
    <w:rsid w:val="00107493"/>
    <w:rsid w:val="00133FDF"/>
    <w:rsid w:val="001A62C7"/>
    <w:rsid w:val="005B0949"/>
    <w:rsid w:val="00F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34B7D-D4E0-4BEA-BCD8-1B16DDAE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9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09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9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9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0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949"/>
    <w:rPr>
      <w:b/>
      <w:bCs/>
    </w:rPr>
  </w:style>
  <w:style w:type="character" w:customStyle="1" w:styleId="cwyjkf">
    <w:name w:val="cwyjkf"/>
    <w:basedOn w:val="DefaultParagraphFont"/>
    <w:rsid w:val="00FC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0338">
      <w:bodyDiv w:val="1"/>
      <w:marLeft w:val="0"/>
      <w:marRight w:val="0"/>
      <w:marTop w:val="0"/>
      <w:marBottom w:val="0"/>
      <w:divBdr>
        <w:top w:val="none" w:sz="0" w:space="0" w:color="auto"/>
        <w:left w:val="none" w:sz="0" w:space="0" w:color="auto"/>
        <w:bottom w:val="none" w:sz="0" w:space="0" w:color="auto"/>
        <w:right w:val="none" w:sz="0" w:space="0" w:color="auto"/>
      </w:divBdr>
    </w:div>
    <w:div w:id="1359620640">
      <w:bodyDiv w:val="1"/>
      <w:marLeft w:val="0"/>
      <w:marRight w:val="0"/>
      <w:marTop w:val="0"/>
      <w:marBottom w:val="0"/>
      <w:divBdr>
        <w:top w:val="none" w:sz="0" w:space="0" w:color="auto"/>
        <w:left w:val="none" w:sz="0" w:space="0" w:color="auto"/>
        <w:bottom w:val="none" w:sz="0" w:space="0" w:color="auto"/>
        <w:right w:val="none" w:sz="0" w:space="0" w:color="auto"/>
      </w:divBdr>
      <w:divsChild>
        <w:div w:id="903301639">
          <w:marLeft w:val="-90"/>
          <w:marRight w:val="90"/>
          <w:marTop w:val="0"/>
          <w:marBottom w:val="0"/>
          <w:divBdr>
            <w:top w:val="none" w:sz="0" w:space="0" w:color="auto"/>
            <w:left w:val="none" w:sz="0" w:space="0" w:color="auto"/>
            <w:bottom w:val="none" w:sz="0" w:space="0" w:color="auto"/>
            <w:right w:val="none" w:sz="0" w:space="0" w:color="auto"/>
          </w:divBdr>
          <w:divsChild>
            <w:div w:id="1799958082">
              <w:marLeft w:val="-60"/>
              <w:marRight w:val="-60"/>
              <w:marTop w:val="0"/>
              <w:marBottom w:val="0"/>
              <w:divBdr>
                <w:top w:val="none" w:sz="0" w:space="3" w:color="auto"/>
                <w:left w:val="none" w:sz="0" w:space="3" w:color="auto"/>
                <w:bottom w:val="none" w:sz="0" w:space="3" w:color="auto"/>
                <w:right w:val="none" w:sz="0" w:space="3" w:color="auto"/>
              </w:divBdr>
            </w:div>
          </w:divsChild>
        </w:div>
        <w:div w:id="80302888">
          <w:marLeft w:val="0"/>
          <w:marRight w:val="0"/>
          <w:marTop w:val="0"/>
          <w:marBottom w:val="0"/>
          <w:divBdr>
            <w:top w:val="none" w:sz="0" w:space="0" w:color="auto"/>
            <w:left w:val="none" w:sz="0" w:space="0" w:color="auto"/>
            <w:bottom w:val="none" w:sz="0" w:space="0" w:color="auto"/>
            <w:right w:val="none" w:sz="0" w:space="0" w:color="auto"/>
          </w:divBdr>
          <w:divsChild>
            <w:div w:id="1858539534">
              <w:marLeft w:val="0"/>
              <w:marRight w:val="0"/>
              <w:marTop w:val="0"/>
              <w:marBottom w:val="0"/>
              <w:divBdr>
                <w:top w:val="none" w:sz="0" w:space="0" w:color="auto"/>
                <w:left w:val="none" w:sz="0" w:space="0" w:color="auto"/>
                <w:bottom w:val="none" w:sz="0" w:space="0" w:color="auto"/>
                <w:right w:val="none" w:sz="0" w:space="0" w:color="auto"/>
              </w:divBdr>
              <w:divsChild>
                <w:div w:id="2781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2025-03-18T07:39:00Z</dcterms:created>
  <dcterms:modified xsi:type="dcterms:W3CDTF">2025-06-06T09:37:00Z</dcterms:modified>
</cp:coreProperties>
</file>