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69CB" w14:textId="06026F7B" w:rsidR="009D190B" w:rsidRDefault="00800C3F">
      <w:r w:rsidRPr="00800C3F">
        <w:t>On 15 Jan, the European Telecommunications Standards Institute (ETSI) published a standard, EN 304 223, defining baseline cybersecurity requirements for AI models and systems.</w:t>
      </w:r>
      <w:r w:rsidRPr="00800C3F">
        <w:br/>
      </w:r>
      <w:r w:rsidRPr="00800C3F">
        <w:rPr>
          <w:rFonts w:ascii="Segoe UI Emoji" w:hAnsi="Segoe UI Emoji" w:cs="Segoe UI Emoji"/>
        </w:rPr>
        <w:t>➡️</w:t>
      </w:r>
      <w:r w:rsidRPr="00800C3F">
        <w:t xml:space="preserve"> A common set of AI cybersecurity controls, usable across jurisdictions, vendors, supply chains.</w:t>
      </w:r>
      <w:r w:rsidRPr="00800C3F">
        <w:br/>
      </w:r>
      <w:r w:rsidRPr="00800C3F">
        <w:br/>
        <w:t>Why this matters now</w:t>
      </w:r>
      <w:r w:rsidRPr="00800C3F">
        <w:br/>
        <w:t>Traditional cybersecurity was built for software &amp; networks. AI changes the attack surface:</w:t>
      </w:r>
      <w:r w:rsidRPr="00800C3F">
        <w:br/>
        <w:t>▫️ training data can be poisoned</w:t>
      </w:r>
      <w:r w:rsidRPr="00800C3F">
        <w:br/>
        <w:t>▫️ models can be manipulated or obfuscated</w:t>
      </w:r>
      <w:r w:rsidRPr="00800C3F">
        <w:br/>
        <w:t>▫️ prompts can be indirectly injected</w:t>
      </w:r>
      <w:r w:rsidRPr="00800C3F">
        <w:br/>
        <w:t xml:space="preserve">▫️ behaviour can drift in invisible ways </w:t>
      </w:r>
      <w:r w:rsidRPr="00800C3F">
        <w:br/>
      </w:r>
      <w:r w:rsidRPr="00800C3F">
        <w:rPr>
          <w:rFonts w:ascii="Segoe UI Emoji" w:hAnsi="Segoe UI Emoji" w:cs="Segoe UI Emoji"/>
        </w:rPr>
        <w:t>➡️</w:t>
      </w:r>
      <w:r w:rsidRPr="00800C3F">
        <w:t xml:space="preserve"> EN 304 223 explicitly names these risks, treating them as security failures.</w:t>
      </w:r>
      <w:r w:rsidRPr="00800C3F">
        <w:br/>
      </w:r>
      <w:r w:rsidRPr="00800C3F">
        <w:br/>
        <w:t>How this takes effect</w:t>
      </w:r>
      <w:r w:rsidRPr="00800C3F">
        <w:br/>
        <w:t>EN 304 223 is already being pulled into procurement processes, security questionnaires, internal audits, vendor due diligence, insurance reviews.</w:t>
      </w:r>
      <w:r w:rsidRPr="00800C3F">
        <w:br/>
        <w:t>With the EU AI Act, high-risk AI systems will need to demonstrate compliance through conformity assessment either via internal control with robust technical documentation, or through assessment by a notified body.</w:t>
      </w:r>
      <w:r w:rsidRPr="00800C3F">
        <w:br/>
      </w:r>
      <w:r w:rsidRPr="00800C3F">
        <w:rPr>
          <w:rFonts w:ascii="Segoe UI Emoji" w:hAnsi="Segoe UI Emoji" w:cs="Segoe UI Emoji"/>
        </w:rPr>
        <w:t>➡️</w:t>
      </w:r>
      <w:r w:rsidRPr="00800C3F">
        <w:t xml:space="preserve"> EN 304 223 is the operational “how” that law and auditors will rely on.</w:t>
      </w:r>
      <w:r w:rsidRPr="00800C3F">
        <w:br/>
      </w:r>
      <w:r w:rsidRPr="00800C3F">
        <w:br/>
        <w:t>The real breakthrough: lifecycle security</w:t>
      </w:r>
      <w:r w:rsidRPr="00800C3F">
        <w:br/>
        <w:t>The standard defines 13 principles and 72 trackable requirements, organised across 5 phases of the AI system lifecycle:</w:t>
      </w:r>
      <w:r w:rsidRPr="00800C3F">
        <w:br/>
        <w:t>1️</w:t>
      </w:r>
      <w:r w:rsidRPr="00800C3F">
        <w:rPr>
          <w:rFonts w:ascii="Segoe UI Symbol" w:hAnsi="Segoe UI Symbol" w:cs="Segoe UI Symbol"/>
        </w:rPr>
        <w:t>⃣</w:t>
      </w:r>
      <w:r w:rsidRPr="00800C3F">
        <w:t xml:space="preserve"> secure design</w:t>
      </w:r>
      <w:r w:rsidRPr="00800C3F">
        <w:br/>
        <w:t>2️</w:t>
      </w:r>
      <w:r w:rsidRPr="00800C3F">
        <w:rPr>
          <w:rFonts w:ascii="Segoe UI Symbol" w:hAnsi="Segoe UI Symbol" w:cs="Segoe UI Symbol"/>
        </w:rPr>
        <w:t>⃣</w:t>
      </w:r>
      <w:r w:rsidRPr="00800C3F">
        <w:t xml:space="preserve"> secure development</w:t>
      </w:r>
      <w:r w:rsidRPr="00800C3F">
        <w:br/>
        <w:t>3️</w:t>
      </w:r>
      <w:r w:rsidRPr="00800C3F">
        <w:rPr>
          <w:rFonts w:ascii="Segoe UI Symbol" w:hAnsi="Segoe UI Symbol" w:cs="Segoe UI Symbol"/>
        </w:rPr>
        <w:t>⃣</w:t>
      </w:r>
      <w:r w:rsidRPr="00800C3F">
        <w:t xml:space="preserve"> secure deployment</w:t>
      </w:r>
      <w:r w:rsidRPr="00800C3F">
        <w:br/>
        <w:t>4️</w:t>
      </w:r>
      <w:r w:rsidRPr="00800C3F">
        <w:rPr>
          <w:rFonts w:ascii="Segoe UI Symbol" w:hAnsi="Segoe UI Symbol" w:cs="Segoe UI Symbol"/>
        </w:rPr>
        <w:t>⃣</w:t>
      </w:r>
      <w:r w:rsidRPr="00800C3F">
        <w:t xml:space="preserve"> secure maintenance</w:t>
      </w:r>
      <w:r w:rsidRPr="00800C3F">
        <w:br/>
        <w:t>5️</w:t>
      </w:r>
      <w:r w:rsidRPr="00800C3F">
        <w:rPr>
          <w:rFonts w:ascii="Segoe UI Symbol" w:hAnsi="Segoe UI Symbol" w:cs="Segoe UI Symbol"/>
        </w:rPr>
        <w:t>⃣</w:t>
      </w:r>
      <w:r w:rsidRPr="00800C3F">
        <w:t xml:space="preserve"> secure end of life</w:t>
      </w:r>
      <w:r w:rsidRPr="00800C3F">
        <w:br/>
      </w:r>
      <w:r w:rsidRPr="00800C3F">
        <w:rPr>
          <w:rFonts w:ascii="Segoe UI Emoji" w:hAnsi="Segoe UI Emoji" w:cs="Segoe UI Emoji"/>
        </w:rPr>
        <w:t>➡️</w:t>
      </w:r>
      <w:r w:rsidRPr="00800C3F">
        <w:t xml:space="preserve"> Retraining a model = redeploying a system from a security standpoint.</w:t>
      </w:r>
      <w:r w:rsidRPr="00800C3F">
        <w:br/>
        <w:t>AI security becomes a continuous operational discipline.</w:t>
      </w:r>
      <w:r w:rsidRPr="00800C3F">
        <w:br/>
      </w:r>
      <w:r w:rsidRPr="00800C3F">
        <w:br/>
        <w:t>Accountability made operational</w:t>
      </w:r>
      <w:r w:rsidRPr="00800C3F">
        <w:br/>
        <w:t>EN 304 223 assigns accountability across 3 technical roles:</w:t>
      </w:r>
      <w:r w:rsidRPr="00800C3F">
        <w:br/>
      </w:r>
      <w:r w:rsidRPr="00800C3F">
        <w:rPr>
          <w:rFonts w:ascii="Segoe UI Emoji" w:hAnsi="Segoe UI Emoji" w:cs="Segoe UI Emoji"/>
        </w:rPr>
        <w:t>✔️</w:t>
      </w:r>
      <w:r w:rsidRPr="00800C3F">
        <w:t xml:space="preserve"> developers</w:t>
      </w:r>
      <w:r w:rsidRPr="00800C3F">
        <w:br/>
      </w:r>
      <w:r w:rsidRPr="00800C3F">
        <w:rPr>
          <w:rFonts w:ascii="Segoe UI Emoji" w:hAnsi="Segoe UI Emoji" w:cs="Segoe UI Emoji"/>
        </w:rPr>
        <w:t>✔️</w:t>
      </w:r>
      <w:r w:rsidRPr="00800C3F">
        <w:t xml:space="preserve"> system operators</w:t>
      </w:r>
      <w:r w:rsidRPr="00800C3F">
        <w:br/>
      </w:r>
      <w:r w:rsidRPr="00800C3F">
        <w:rPr>
          <w:rFonts w:ascii="Segoe UI Emoji" w:hAnsi="Segoe UI Emoji" w:cs="Segoe UI Emoji"/>
        </w:rPr>
        <w:t>✔️</w:t>
      </w:r>
      <w:r w:rsidRPr="00800C3F">
        <w:t xml:space="preserve"> data custodians</w:t>
      </w:r>
      <w:r w:rsidRPr="00800C3F">
        <w:br/>
      </w:r>
      <w:r w:rsidRPr="00800C3F">
        <w:rPr>
          <w:rFonts w:ascii="Segoe UI Emoji" w:hAnsi="Segoe UI Emoji" w:cs="Segoe UI Emoji"/>
        </w:rPr>
        <w:t>➡️</w:t>
      </w:r>
      <w:r w:rsidRPr="00800C3F">
        <w:t xml:space="preserve"> AI risk lives between teams. This standard makes ownership explicit.</w:t>
      </w:r>
      <w:r w:rsidRPr="00800C3F">
        <w:br/>
      </w:r>
      <w:r w:rsidRPr="00800C3F">
        <w:br/>
        <w:t>The target: production AI</w:t>
      </w:r>
      <w:r w:rsidRPr="00800C3F">
        <w:br/>
        <w:t>EN 304 223 applies to deep neural networks and GenAI models already embedded in products, services, and operational decisions.</w:t>
      </w:r>
      <w:r w:rsidRPr="00800C3F">
        <w:br/>
        <w:t>Academic or research environments are excluded.</w:t>
      </w:r>
      <w:r w:rsidRPr="00800C3F">
        <w:br/>
      </w:r>
      <w:r w:rsidRPr="00800C3F">
        <w:rPr>
          <w:rFonts w:ascii="Segoe UI Emoji" w:hAnsi="Segoe UI Emoji" w:cs="Segoe UI Emoji"/>
        </w:rPr>
        <w:t>➡️</w:t>
      </w:r>
      <w:r w:rsidRPr="00800C3F">
        <w:t xml:space="preserve"> This standard is about AI that is live, scaled, and consequential, particularly in finance, healthcare, and critical infrastructure.</w:t>
      </w:r>
      <w:r w:rsidRPr="00800C3F">
        <w:br/>
      </w:r>
      <w:r w:rsidRPr="00800C3F">
        <w:br/>
      </w:r>
      <w:r w:rsidRPr="00800C3F">
        <w:lastRenderedPageBreak/>
        <w:t>What “compliance” means</w:t>
      </w:r>
      <w:r w:rsidRPr="00800C3F">
        <w:br/>
        <w:t>Complying with legal, audit, procurement, and insurance expectations using EN 304 223 as evidence: mapping controls across the lifecycle and ownership across roles.</w:t>
      </w:r>
      <w:r w:rsidRPr="00800C3F">
        <w:br/>
      </w:r>
      <w:r w:rsidRPr="00800C3F">
        <w:br/>
        <w:t xml:space="preserve">What Boards and executives should do now </w:t>
      </w:r>
      <w:r w:rsidRPr="00800C3F">
        <w:br/>
        <w:t>1️</w:t>
      </w:r>
      <w:r w:rsidRPr="00800C3F">
        <w:rPr>
          <w:rFonts w:ascii="Segoe UI Symbol" w:hAnsi="Segoe UI Symbol" w:cs="Segoe UI Symbol"/>
        </w:rPr>
        <w:t>⃣</w:t>
      </w:r>
      <w:r w:rsidRPr="00800C3F">
        <w:t xml:space="preserve"> Mandate an AI inventory: What AI is live, where, doing what, using which data pipelines, supplied by whom.</w:t>
      </w:r>
      <w:r w:rsidRPr="00800C3F">
        <w:br/>
        <w:t>2️</w:t>
      </w:r>
      <w:r w:rsidRPr="00800C3F">
        <w:rPr>
          <w:rFonts w:ascii="Segoe UI Symbol" w:hAnsi="Segoe UI Symbol" w:cs="Segoe UI Symbol"/>
        </w:rPr>
        <w:t>⃣</w:t>
      </w:r>
      <w:r w:rsidRPr="00800C3F">
        <w:t xml:space="preserve"> Assign named accountability across the lifecycle: Align to the standard’s role logic per system.</w:t>
      </w:r>
      <w:r w:rsidRPr="00800C3F">
        <w:br/>
        <w:t>3️</w:t>
      </w:r>
      <w:r w:rsidRPr="00800C3F">
        <w:rPr>
          <w:rFonts w:ascii="Segoe UI Symbol" w:hAnsi="Segoe UI Symbol" w:cs="Segoe UI Symbol"/>
        </w:rPr>
        <w:t>⃣</w:t>
      </w:r>
      <w:r w:rsidRPr="00800C3F">
        <w:t xml:space="preserve"> Require an AI security evidence pack per high-impact system, mapped across its lifecycle.</w:t>
      </w:r>
      <w:r w:rsidRPr="00800C3F">
        <w:br/>
        <w:t>4️</w:t>
      </w:r>
      <w:r w:rsidRPr="00800C3F">
        <w:rPr>
          <w:rFonts w:ascii="Segoe UI Symbol" w:hAnsi="Segoe UI Symbol" w:cs="Segoe UI Symbol"/>
        </w:rPr>
        <w:t>⃣</w:t>
      </w:r>
      <w:r w:rsidRPr="00800C3F">
        <w:t xml:space="preserve"> Decide your assurance route early. For high-risk systems plan for internal control vs notified body assessment.</w:t>
      </w:r>
      <w:r w:rsidRPr="00800C3F">
        <w:br/>
      </w:r>
      <w:r w:rsidRPr="00800C3F">
        <w:br/>
        <w:t>The bigger signal</w:t>
      </w:r>
      <w:r w:rsidRPr="00800C3F">
        <w:br/>
        <w:t>EU is turning AI security into auditable infrastructure.</w:t>
      </w:r>
      <w:r w:rsidRPr="00800C3F">
        <w:br/>
        <w:t>Trustworthy AI is becoming a standard of execution.</w:t>
      </w:r>
      <w:r w:rsidRPr="00800C3F">
        <w:br/>
        <w:t>For companies operating globally, proof of AI security is becoming the baseline.</w:t>
      </w:r>
    </w:p>
    <w:p w14:paraId="40E7FF5F" w14:textId="77777777" w:rsidR="00800C3F" w:rsidRDefault="00800C3F"/>
    <w:sectPr w:rsidR="00800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6A"/>
    <w:rsid w:val="00716EBF"/>
    <w:rsid w:val="00800C3F"/>
    <w:rsid w:val="009D190B"/>
    <w:rsid w:val="00FA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48B0"/>
  <w15:chartTrackingRefBased/>
  <w15:docId w15:val="{DDD5946D-805E-4C38-AD37-DF618800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Agasti</dc:creator>
  <cp:keywords/>
  <dc:description/>
  <cp:lastModifiedBy>Indrajit Agasti</cp:lastModifiedBy>
  <cp:revision>2</cp:revision>
  <dcterms:created xsi:type="dcterms:W3CDTF">2026-01-19T01:13:00Z</dcterms:created>
  <dcterms:modified xsi:type="dcterms:W3CDTF">2026-01-19T01:13:00Z</dcterms:modified>
</cp:coreProperties>
</file>