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oj0y01mk2tt" w:id="0"/>
      <w:bookmarkEnd w:id="0"/>
      <w:r w:rsidDel="00000000" w:rsidR="00000000" w:rsidRPr="00000000">
        <w:rPr>
          <w:rtl w:val="0"/>
        </w:rPr>
        <w:t xml:space="preserve">AI-TPS-2025: Technical Procurement Standard for External AI Components</w:t>
      </w:r>
    </w:p>
    <w:p w:rsidR="00000000" w:rsidDel="00000000" w:rsidP="00000000" w:rsidRDefault="00000000" w:rsidRPr="00000000" w14:paraId="00000002">
      <w:pPr>
        <w:pStyle w:val="Heading5"/>
        <w:rPr/>
      </w:pPr>
      <w:bookmarkStart w:colFirst="0" w:colLast="0" w:name="_hayxmd2yvyfc" w:id="1"/>
      <w:bookmarkEnd w:id="1"/>
      <w:r w:rsidDel="00000000" w:rsidR="00000000" w:rsidRPr="00000000">
        <w:rPr>
          <w:rtl w:val="0"/>
        </w:rPr>
        <w:t xml:space="preserve">1. Strategic Scope and Security Context</w:t>
      </w:r>
    </w:p>
    <w:p w:rsidR="00000000" w:rsidDel="00000000" w:rsidP="00000000" w:rsidRDefault="00000000" w:rsidRPr="00000000" w14:paraId="00000003">
      <w:pPr>
        <w:rPr/>
      </w:pPr>
      <w:r w:rsidDel="00000000" w:rsidR="00000000" w:rsidRPr="00000000">
        <w:rPr>
          <w:rtl w:val="0"/>
        </w:rPr>
        <w:t xml:space="preserve">The procurement of Artificial Intelligence (AI) components represents a fundamental departure from traditional software acquisition. Unlike legacy deterministic systems, AI introduces unique, non-linear security vectors—specifically data poisoning, where training integrity is compromised; model obfuscation, which facilitates the concealment of malicious logic; and indirect prompt injection, which allows external data sources to manipulate model reasoning. These risks necessitate a standard that shifts from point-in-time compliance to a rigorous lifecycle-based security posture. Per ETSI EN 304 223, this framework encompasses all AI systems, with explicit focus on deep neural networks and generative AI (Clause 1). To mitigate these risks, organizations must adopt a strategic approach that embeds security from the initial design phase through development, deployment, maintenance, and eventual decommissioning. Establishing this lifecycle begins with a clear identification of the primary actors responsible for managing these risks.</w:t>
      </w:r>
    </w:p>
    <w:p w:rsidR="00000000" w:rsidDel="00000000" w:rsidP="00000000" w:rsidRDefault="00000000" w:rsidRPr="00000000" w14:paraId="00000004">
      <w:pPr>
        <w:pStyle w:val="Heading5"/>
        <w:rPr/>
      </w:pPr>
      <w:bookmarkStart w:colFirst="0" w:colLast="0" w:name="_c95s1toj3k3l" w:id="2"/>
      <w:bookmarkEnd w:id="2"/>
      <w:r w:rsidDel="00000000" w:rsidR="00000000" w:rsidRPr="00000000">
        <w:rPr>
          <w:rtl w:val="0"/>
        </w:rPr>
        <w:t xml:space="preserve">2. Stakeholder Accountability Matrix in Procurement</w:t>
      </w:r>
    </w:p>
    <w:p w:rsidR="00000000" w:rsidDel="00000000" w:rsidP="00000000" w:rsidRDefault="00000000" w:rsidRPr="00000000" w14:paraId="00000005">
      <w:pPr>
        <w:rPr/>
      </w:pPr>
      <w:r w:rsidDel="00000000" w:rsidR="00000000" w:rsidRPr="00000000">
        <w:rPr>
          <w:rtl w:val="0"/>
        </w:rPr>
        <w:t xml:space="preserve">Clearly defined stakeholder roles are the cornerstone of a secure AI supply chain. In AI ecosystems, role ambiguity is not merely an administrative failure; it is a primary security gap that can be exploited during hand-off points between providers and operators. A robust procurement standard must delineate these accountabilities to ensure that no technical or data-related risk remains unowned.</w:t>
      </w:r>
      <w:r w:rsidDel="00000000" w:rsidR="00000000" w:rsidRPr="00000000">
        <w:rPr>
          <w:b w:val="1"/>
          <w:bCs w:val="1"/>
          <w:rtl w:val="0"/>
        </w:rPr>
        <w:t xml:space="preserve">Table 4-1: Stakeholder Definitions and Procurement Accountabilities</w:t>
      </w:r>
      <w:r w:rsidDel="00000000" w:rsidR="00000000" w:rsidRPr="00000000">
        <w:rPr>
          <w:rtl w:val="0"/>
        </w:rPr>
        <w:t xml:space="preserve">| Stakeholder | Definition (per Clause 4) | Procurement Accountability || ------ | ------ | ------ || </w:t>
      </w:r>
      <w:r w:rsidDel="00000000" w:rsidR="00000000" w:rsidRPr="00000000">
        <w:rPr>
          <w:b w:val="1"/>
          <w:bCs w:val="1"/>
          <w:rtl w:val="0"/>
        </w:rPr>
        <w:t xml:space="preserve">Developers</w:t>
      </w:r>
      <w:r w:rsidDel="00000000" w:rsidR="00000000" w:rsidRPr="00000000">
        <w:rPr>
          <w:rtl w:val="0"/>
        </w:rPr>
        <w:t xml:space="preserve"> | Entities responsible for creating or adapting AI models (proprietary or open-source). | Mandatory provision of technical proofs, cryptographic hashes, and audit trails required for due diligence. || </w:t>
      </w:r>
      <w:r w:rsidDel="00000000" w:rsidR="00000000" w:rsidRPr="00000000">
        <w:rPr>
          <w:b w:val="1"/>
          <w:bCs w:val="1"/>
          <w:rtl w:val="0"/>
        </w:rPr>
        <w:t xml:space="preserve">System Operators</w:t>
      </w:r>
      <w:r w:rsidDel="00000000" w:rsidR="00000000" w:rsidRPr="00000000">
        <w:rPr>
          <w:rtl w:val="0"/>
        </w:rPr>
        <w:t xml:space="preserve"> | Entities embedding or deploying AI within their infrastructure and managing maintenance. | Responsible for initial risk assessments, setting operational guardrails, and managing the vendor relationship. || </w:t>
      </w:r>
      <w:r w:rsidDel="00000000" w:rsidR="00000000" w:rsidRPr="00000000">
        <w:rPr>
          <w:b w:val="1"/>
          <w:bCs w:val="1"/>
          <w:rtl w:val="0"/>
        </w:rPr>
        <w:t xml:space="preserve">Data Custodians</w:t>
      </w:r>
      <w:r w:rsidDel="00000000" w:rsidR="00000000" w:rsidRPr="00000000">
        <w:rPr>
          <w:rtl w:val="0"/>
        </w:rPr>
        <w:t xml:space="preserve"> | Entities controlling data permissions, policies, and the integrity of the AI's data ecosystem. | Verification of data provenance and the "veto power" over acquisitions that do not meet organizational data standards. || </w:t>
      </w:r>
      <w:r w:rsidDel="00000000" w:rsidR="00000000" w:rsidRPr="00000000">
        <w:rPr>
          <w:b w:val="1"/>
          <w:bCs w:val="1"/>
          <w:rtl w:val="0"/>
        </w:rPr>
        <w:t xml:space="preserve">End-users</w:t>
      </w:r>
      <w:r w:rsidDel="00000000" w:rsidR="00000000" w:rsidRPr="00000000">
        <w:rPr>
          <w:rtl w:val="0"/>
        </w:rPr>
        <w:t xml:space="preserve"> | Employees or consumers utilizing the system to support activities. | Utilization of the system within defined safety parameters and reporting of behavioral anomalies. |</w:t>
      </w:r>
    </w:p>
    <w:p w:rsidR="00000000" w:rsidDel="00000000" w:rsidP="00000000" w:rsidRDefault="00000000" w:rsidRPr="00000000" w14:paraId="00000006">
      <w:pPr>
        <w:rPr/>
      </w:pPr>
      <w:r w:rsidDel="00000000" w:rsidR="00000000" w:rsidRPr="00000000">
        <w:rPr>
          <w:b w:val="1"/>
          <w:bCs w:val="1"/>
          <w:rtl w:val="0"/>
        </w:rPr>
        <w:t xml:space="preserve">Procurement Implications for Data Sovereignty and Provenance</w:t>
      </w:r>
      <w:r w:rsidDel="00000000" w:rsidR="00000000" w:rsidRPr="00000000">
        <w:rPr>
          <w:rtl w:val="0"/>
        </w:rPr>
        <w:t xml:space="preserve">  The Data Custodian holds a pivotal "gatekeeper" role during the acquisition phase. Per Clause 4, they are responsible for setting policies for data usage and management. In a procurement context, if a vendor cannot provide a comprehensive audit trail as required by Provision 5.2.4-1.1—detailing the sources of training data and human feedback loops—the Data Custodian must have the authority to halt the acquisition. This ensures that the model’s data needs are fundamentally aligned with the organization’s risk profile before any technical integration occurs. Once this accountability matrix is established, it serves as the governance framework for the subsequent due diligence of external providers.</w:t>
      </w:r>
    </w:p>
    <w:p w:rsidR="00000000" w:rsidDel="00000000" w:rsidP="00000000" w:rsidRDefault="00000000" w:rsidRPr="00000000" w14:paraId="00000007">
      <w:pPr>
        <w:pStyle w:val="Heading5"/>
        <w:rPr/>
      </w:pPr>
      <w:bookmarkStart w:colFirst="0" w:colLast="0" w:name="_oqdb7ytc9sl0" w:id="3"/>
      <w:bookmarkEnd w:id="3"/>
      <w:r w:rsidDel="00000000" w:rsidR="00000000" w:rsidRPr="00000000">
        <w:rPr>
          <w:rtl w:val="0"/>
        </w:rPr>
        <w:t xml:space="preserve">3. Pre-Acquisition Due Diligence &amp; Provider Assessment</w:t>
      </w:r>
    </w:p>
    <w:p w:rsidR="00000000" w:rsidDel="00000000" w:rsidP="00000000" w:rsidRDefault="00000000" w:rsidRPr="00000000" w14:paraId="00000008">
      <w:pPr>
        <w:rPr>
          <w:b w:val="1"/>
          <w:bCs w:val="1"/>
        </w:rPr>
      </w:pPr>
      <w:r w:rsidDel="00000000" w:rsidR="00000000" w:rsidRPr="00000000">
        <w:rPr>
          <w:rtl w:val="0"/>
        </w:rPr>
        <w:t xml:space="preserve">This standard adheres to Principle 2 (Secure Design), which dictates that security cannot be "bolted on" post-acquisition. For procurement strategists, this mandates a shift in evaluation criteria: we must prioritize adversarial resilience over mere performance metrics. A model that achieves 99% accuracy but collapses under crafted inputs or "poisoned" data is a strategic liability.</w:t>
      </w:r>
      <w:r w:rsidDel="00000000" w:rsidR="00000000" w:rsidRPr="00000000">
        <w:rPr>
          <w:b w:val="1"/>
          <w:bCs w:val="1"/>
          <w:rtl w:val="0"/>
        </w:rPr>
        <w:t xml:space="preserve">Mandatory Due Diligence Requirements (Provisions 5.1.2-4, 5.1.2-7):</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AI Security Risk Assessment:</w:t>
      </w:r>
      <w:r w:rsidDel="00000000" w:rsidR="00000000" w:rsidRPr="00000000">
        <w:rPr>
          <w:rtl w:val="0"/>
        </w:rPr>
        <w:t xml:space="preserve">  A formal assessment must be conducted that mirrors existing software development lifecycles but adds specific AI risk vectors (e.g., membership inference, model inversion).</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Adversarial Resilience Verification:</w:t>
      </w:r>
      <w:r w:rsidDel="00000000" w:rsidR="00000000" w:rsidRPr="00000000">
        <w:rPr>
          <w:rtl w:val="0"/>
        </w:rPr>
        <w:t xml:space="preserve">  Vendors must provide proof that the system is engineered to withstand adversarial attacks—specifically attempts to manipulate the model through specially crafted inputs (Provision 5.1.2-2).</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Permissions Audit:</w:t>
      </w:r>
      <w:r w:rsidDel="00000000" w:rsidR="00000000" w:rsidRPr="00000000">
        <w:rPr>
          <w:rtl w:val="0"/>
        </w:rPr>
        <w:t xml:space="preserve">  Procurement must review the permissions requested by the AI system to ensure "principle of least privilege" compliance (Provision 5.1.2-6).By prioritizing adversarial resilience, the organization ensures long-term operational stability. This "Security by Design" approach moves beyond traditional performance evaluation to assess how a component handles unexpected inputs and system failures. These provider assessments, however, must be supported by hard technical documentation to verify security claims.</w:t>
      </w:r>
    </w:p>
    <w:p w:rsidR="00000000" w:rsidDel="00000000" w:rsidP="00000000" w:rsidRDefault="00000000" w:rsidRPr="00000000" w14:paraId="0000000C">
      <w:pPr>
        <w:pStyle w:val="Heading5"/>
        <w:rPr/>
      </w:pPr>
      <w:bookmarkStart w:colFirst="0" w:colLast="0" w:name="_wert4tj4ttu9" w:id="4"/>
      <w:bookmarkEnd w:id="4"/>
      <w:r w:rsidDel="00000000" w:rsidR="00000000" w:rsidRPr="00000000">
        <w:rPr>
          <w:rtl w:val="0"/>
        </w:rPr>
        <w:t xml:space="preserve">4. Technical Verification and Cryptographic Integrity</w:t>
      </w:r>
    </w:p>
    <w:p w:rsidR="00000000" w:rsidDel="00000000" w:rsidP="00000000" w:rsidRDefault="00000000" w:rsidRPr="00000000" w14:paraId="0000000D">
      <w:pPr>
        <w:rPr>
          <w:b w:val="1"/>
          <w:bCs w:val="1"/>
        </w:rPr>
      </w:pPr>
      <w:r w:rsidDel="00000000" w:rsidR="00000000" w:rsidRPr="00000000">
        <w:rPr>
          <w:rtl w:val="0"/>
        </w:rPr>
        <w:t xml:space="preserve">In the AI supply chain, "trust but verify" is an insufficient risk management strategy. Procurement must demand hard technical proofs and immutable audit trails to prevent tampering and ensure component authenticity.</w:t>
      </w:r>
      <w:r w:rsidDel="00000000" w:rsidR="00000000" w:rsidRPr="00000000">
        <w:rPr>
          <w:b w:val="1"/>
          <w:bCs w:val="1"/>
          <w:rtl w:val="0"/>
        </w:rPr>
        <w:t xml:space="preserve">Mandatory Technical Proofs: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Cryptographic Hashes:</w:t>
      </w:r>
      <w:r w:rsidDel="00000000" w:rsidR="00000000" w:rsidRPr="00000000">
        <w:rPr>
          <w:rtl w:val="0"/>
        </w:rPr>
        <w:t xml:space="preserve">  To ensure a legally binding "Chain of Custody," the Master Service Agreement (MSA) must mandate the delivery of cryptographic hashes for all model components and weights (Provision 5.2.4-1.2). These hashes allow the System Operator to verify the integrity of the model at the point of integration.</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Comprehensive Audit Trails:</w:t>
      </w:r>
      <w:r w:rsidDel="00000000" w:rsidR="00000000" w:rsidRPr="00000000">
        <w:rPr>
          <w:rtl w:val="0"/>
        </w:rPr>
        <w:t xml:space="preserve">  Per Provision 5.2.4-1.1, Developers are required to provide documentation detailing the system lifecycle, including sources of training data, fine-tuning data, and human feedback loops.</w:t>
      </w:r>
      <w:r w:rsidDel="00000000" w:rsidR="00000000" w:rsidRPr="00000000">
        <w:rPr>
          <w:b w:val="1"/>
          <w:bCs w:val="1"/>
          <w:rtl w:val="0"/>
        </w:rPr>
        <w:t xml:space="preserve">Mitigation of Data Poisoning Risks</w:t>
      </w:r>
      <w:r w:rsidDel="00000000" w:rsidR="00000000" w:rsidRPr="00000000">
        <w:rPr>
          <w:rtl w:val="0"/>
        </w:rPr>
        <w:t xml:space="preserve">  The use of publicly sourced training data introduces significant risks (Provision 5.2.4-2). Procurement documentation must include granular details on data provenance, specifically including the source URLs and the exact date/time the data was scraped (Provision 5.2.4-2.1). This level of detail is critical for responding to retrospective discoveries of dataset compromises. These verification steps are the prerequisite for managing the risks associated with non-documented or "black-box" components.</w:t>
      </w:r>
    </w:p>
    <w:p w:rsidR="00000000" w:rsidDel="00000000" w:rsidP="00000000" w:rsidRDefault="00000000" w:rsidRPr="00000000" w14:paraId="00000010">
      <w:pPr>
        <w:pStyle w:val="Heading5"/>
        <w:rPr/>
      </w:pPr>
      <w:bookmarkStart w:colFirst="0" w:colLast="0" w:name="_ryqtfa52je3u" w:id="5"/>
      <w:bookmarkEnd w:id="5"/>
      <w:r w:rsidDel="00000000" w:rsidR="00000000" w:rsidRPr="00000000">
        <w:rPr>
          <w:rtl w:val="0"/>
        </w:rPr>
        <w:t xml:space="preserve">5. Management of Non-Documented and Third-Party Components</w:t>
      </w:r>
    </w:p>
    <w:p w:rsidR="00000000" w:rsidDel="00000000" w:rsidP="00000000" w:rsidRDefault="00000000" w:rsidRPr="00000000" w14:paraId="00000011">
      <w:pPr>
        <w:rPr>
          <w:b w:val="1"/>
          <w:bCs w:val="1"/>
        </w:rPr>
      </w:pPr>
      <w:r w:rsidDel="00000000" w:rsidR="00000000" w:rsidRPr="00000000">
        <w:rPr>
          <w:rtl w:val="0"/>
        </w:rPr>
        <w:t xml:space="preserve">The "Shadow AI" supply chain—consisting of undocumented or open-source assets—presents a significant vulnerability. This standard necessitates a formal "Justification of Use" procedure for any asset that lacks complete documentation (Provision 5.2.3-2).</w:t>
      </w:r>
      <w:r w:rsidDel="00000000" w:rsidR="00000000" w:rsidRPr="00000000">
        <w:rPr>
          <w:b w:val="1"/>
          <w:bCs w:val="1"/>
          <w:rtl w:val="0"/>
        </w:rPr>
        <w:t xml:space="preserve">Procedure for Undocumented Asset Integration: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Formal Justification:</w:t>
      </w:r>
      <w:r w:rsidDel="00000000" w:rsidR="00000000" w:rsidRPr="00000000">
        <w:rPr>
          <w:rtl w:val="0"/>
        </w:rPr>
        <w:t xml:space="preserve">  The System Operator must document the business necessity (e.g., lack of alternative suppliers) and conduct a specific risk assessment.</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Mandatory Mitigating Controls:</w:t>
      </w:r>
      <w:r w:rsidDel="00000000" w:rsidR="00000000" w:rsidRPr="00000000">
        <w:rPr>
          <w:rtl w:val="0"/>
        </w:rPr>
        <w:t xml:space="preserve">  For "black-box" components, the MSA must require  </w:t>
      </w:r>
      <w:r w:rsidDel="00000000" w:rsidR="00000000" w:rsidRPr="00000000">
        <w:rPr>
          <w:b w:val="1"/>
          <w:bCs w:val="1"/>
          <w:rtl w:val="0"/>
        </w:rPr>
        <w:t xml:space="preserve">Isolated Sandbox Integration</w:t>
      </w:r>
      <w:r w:rsidDel="00000000" w:rsidR="00000000" w:rsidRPr="00000000">
        <w:rPr>
          <w:rtl w:val="0"/>
        </w:rPr>
        <w:t xml:space="preserve">  or  </w:t>
      </w:r>
      <w:r w:rsidDel="00000000" w:rsidR="00000000" w:rsidRPr="00000000">
        <w:rPr>
          <w:b w:val="1"/>
          <w:bCs w:val="1"/>
          <w:rtl w:val="0"/>
        </w:rPr>
        <w:t xml:space="preserve">API Rate Limiting</w:t>
      </w:r>
      <w:r w:rsidDel="00000000" w:rsidR="00000000" w:rsidRPr="00000000">
        <w:rPr>
          <w:rtl w:val="0"/>
        </w:rPr>
        <w:t xml:space="preserve">  (referencing Provision 5.2.2-2) to limit an attacker's ability to reverse-engineer the model or overwhelm its defenses.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Transparency Mandate:</w:t>
      </w:r>
      <w:r w:rsidDel="00000000" w:rsidR="00000000" w:rsidRPr="00000000">
        <w:rPr>
          <w:rtl w:val="0"/>
        </w:rPr>
        <w:t xml:space="preserve">  Per Provision 5.2.3-2.2, System Operators must share risk documentation and justifications with End-users in an accessible format, ensuring that those interacting with the system understand its limitations.These safeguards ensure that even when a strategic decision is made to use a non-standard component, the organization maintains a controlled environment. This logic extends into the testing protocols that must be executed once a component is selected.</w:t>
      </w:r>
    </w:p>
    <w:p w:rsidR="00000000" w:rsidDel="00000000" w:rsidP="00000000" w:rsidRDefault="00000000" w:rsidRPr="00000000" w14:paraId="00000015">
      <w:pPr>
        <w:pStyle w:val="Heading5"/>
        <w:rPr/>
      </w:pPr>
      <w:bookmarkStart w:colFirst="0" w:colLast="0" w:name="_4ihbovyvt268" w:id="6"/>
      <w:bookmarkEnd w:id="6"/>
      <w:r w:rsidDel="00000000" w:rsidR="00000000" w:rsidRPr="00000000">
        <w:rPr>
          <w:rtl w:val="0"/>
        </w:rPr>
        <w:t xml:space="preserve">6. Rigorous Testing, Evaluation, and Integration</w:t>
      </w:r>
    </w:p>
    <w:p w:rsidR="00000000" w:rsidDel="00000000" w:rsidP="00000000" w:rsidRDefault="00000000" w:rsidRPr="00000000" w14:paraId="00000016">
      <w:pPr>
        <w:rPr>
          <w:b w:val="1"/>
          <w:bCs w:val="1"/>
        </w:rPr>
      </w:pPr>
      <w:r w:rsidDel="00000000" w:rsidR="00000000" w:rsidRPr="00000000">
        <w:rPr>
          <w:rtl w:val="0"/>
        </w:rPr>
        <w:t xml:space="preserve">Static security testing is obsolete for dynamic AI systems. Procurement must mandate dynamic, role-specific testing (Principle 9) to evaluate the model within its specific operational environment before full-scale integration.</w:t>
      </w:r>
      <w:r w:rsidDel="00000000" w:rsidR="00000000" w:rsidRPr="00000000">
        <w:rPr>
          <w:b w:val="1"/>
          <w:bCs w:val="1"/>
          <w:rtl w:val="0"/>
        </w:rPr>
        <w:t xml:space="preserve">Testing and Evaluation Protocols:</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Collaborative Verification:</w:t>
      </w:r>
      <w:r w:rsidDel="00000000" w:rsidR="00000000" w:rsidRPr="00000000">
        <w:rPr>
          <w:rtl w:val="0"/>
        </w:rPr>
        <w:t xml:space="preserve">  System Operators must conduct pre-deployment testing with technical support from Developers (Provision 5.2.5-2).</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Independent Red-Teaming:</w:t>
      </w:r>
      <w:r w:rsidDel="00000000" w:rsidR="00000000" w:rsidRPr="00000000">
        <w:rPr>
          <w:rtl w:val="0"/>
        </w:rPr>
        <w:t xml:space="preserve">  Organizations shall utilize independent security testers with AI-specific technical skills to evaluate if model outputs allow for the reverse engineering of training data (Provision 5.2.5-4).</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Attack Surface Minimization:</w:t>
      </w:r>
      <w:r w:rsidDel="00000000" w:rsidR="00000000" w:rsidRPr="00000000">
        <w:rPr>
          <w:rtl w:val="0"/>
        </w:rPr>
        <w:t xml:space="preserve">  Per Provision 5.1.3-1.2, procurement must demand a "feature-down" configuration. If a multi-modal model is procured but only text functionality is required, the vendor must disable superfluous modalities to reduce the attack surface.</w:t>
      </w:r>
      <w:r w:rsidDel="00000000" w:rsidR="00000000" w:rsidRPr="00000000">
        <w:rPr>
          <w:b w:val="1"/>
          <w:bCs w:val="1"/>
          <w:rtl w:val="0"/>
        </w:rPr>
        <w:t xml:space="preserve">The Guardrail Acceptance Criterion</w:t>
      </w:r>
      <w:r w:rsidDel="00000000" w:rsidR="00000000" w:rsidRPr="00000000">
        <w:rPr>
          <w:rtl w:val="0"/>
        </w:rPr>
        <w:t xml:space="preserve">  A model shall not be considered "integrated" until it meets defined  </w:t>
      </w:r>
      <w:r w:rsidDel="00000000" w:rsidR="00000000" w:rsidRPr="00000000">
        <w:rPr>
          <w:b w:val="1"/>
          <w:bCs w:val="1"/>
          <w:rtl w:val="0"/>
        </w:rPr>
        <w:t xml:space="preserve">Guardrails</w:t>
      </w:r>
      <w:r w:rsidDel="00000000" w:rsidR="00000000" w:rsidRPr="00000000">
        <w:rPr>
          <w:rtl w:val="0"/>
        </w:rPr>
        <w:t xml:space="preserve"> . Per Clause 3.1, Guardrails are predefined constraints or rules implemented to control and limit an AI system's outputs, ensuring safety, reliability, and alignment with operational guidelines. These Guardrails serve as a final post-procurement acceptance criterion, verified through the testing protocols in Principle 9.</w:t>
      </w:r>
    </w:p>
    <w:p w:rsidR="00000000" w:rsidDel="00000000" w:rsidP="00000000" w:rsidRDefault="00000000" w:rsidRPr="00000000" w14:paraId="0000001A">
      <w:pPr>
        <w:pStyle w:val="Heading5"/>
        <w:rPr/>
      </w:pPr>
      <w:bookmarkStart w:colFirst="0" w:colLast="0" w:name="_uoks4t89cwzy" w:id="7"/>
      <w:bookmarkEnd w:id="7"/>
      <w:r w:rsidDel="00000000" w:rsidR="00000000" w:rsidRPr="00000000">
        <w:rPr>
          <w:rtl w:val="0"/>
        </w:rPr>
        <w:t xml:space="preserve">7. Post-Procurement: Lifecycle Maintenance and Monitoring</w:t>
      </w:r>
    </w:p>
    <w:p w:rsidR="00000000" w:rsidDel="00000000" w:rsidP="00000000" w:rsidRDefault="00000000" w:rsidRPr="00000000" w14:paraId="0000001B">
      <w:pPr>
        <w:rPr>
          <w:b w:val="1"/>
          <w:bCs w:val="1"/>
        </w:rPr>
      </w:pPr>
      <w:r w:rsidDel="00000000" w:rsidR="00000000" w:rsidRPr="00000000">
        <w:rPr>
          <w:rtl w:val="0"/>
        </w:rPr>
        <w:t xml:space="preserve">AI security is a continuous service rather than a one-time acquisition. Procurement contracts must include provisions for ongoing maintenance, behavior monitoring, and a secure exit strategy.</w:t>
      </w:r>
      <w:r w:rsidDel="00000000" w:rsidR="00000000" w:rsidRPr="00000000">
        <w:rPr>
          <w:b w:val="1"/>
          <w:bCs w:val="1"/>
          <w:rtl w:val="0"/>
        </w:rPr>
        <w:t xml:space="preserve">Continuous Security Requirements:</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Lifecycle Patching:</w:t>
      </w:r>
      <w:r w:rsidDel="00000000" w:rsidR="00000000" w:rsidRPr="00000000">
        <w:rPr>
          <w:rtl w:val="0"/>
        </w:rPr>
        <w:t xml:space="preserve">  Developers must provide regular updates. Any "major" update must be treated as a new model, requiring a full re-evaluation and security testing process (Provision 5.4.1-2).</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Continuous Monitoring:</w:t>
      </w:r>
      <w:r w:rsidDel="00000000" w:rsidR="00000000" w:rsidRPr="00000000">
        <w:rPr>
          <w:rtl w:val="0"/>
        </w:rPr>
        <w:t xml:space="preserve">  System Operators must maintain logs (Provision 5.4.2-1) and analyze them to detect anomalies such as data drift or late-stage poisoning (Provision 5.4.2-2).</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Contractual Exit and Disposal:</w:t>
      </w:r>
      <w:r w:rsidDel="00000000" w:rsidR="00000000" w:rsidRPr="00000000">
        <w:rPr>
          <w:rtl w:val="0"/>
        </w:rPr>
        <w:t xml:space="preserve">  Principle 13 (Secure Disposal) must be treated as a  </w:t>
      </w:r>
      <w:r w:rsidDel="00000000" w:rsidR="00000000" w:rsidRPr="00000000">
        <w:rPr>
          <w:b w:val="1"/>
          <w:bCs w:val="1"/>
          <w:rtl w:val="0"/>
        </w:rPr>
        <w:t xml:space="preserve">contractual exit clause</w:t>
      </w:r>
      <w:r w:rsidDel="00000000" w:rsidR="00000000" w:rsidRPr="00000000">
        <w:rPr>
          <w:rtl w:val="0"/>
        </w:rPr>
        <w:t xml:space="preserve"> . To prevent residual risk, the standard mandates that vendors provide a "Certificate of Data Destruction" or "Model Weights Deletion Proof" (Provision 5.5.1-2) upon decommissioning.</w:t>
      </w:r>
      <w:r w:rsidDel="00000000" w:rsidR="00000000" w:rsidRPr="00000000">
        <w:rPr>
          <w:b w:val="1"/>
          <w:bCs w:val="1"/>
          <w:rtl w:val="0"/>
        </w:rPr>
        <w:t xml:space="preserve">Summary of the Secure AI Procurement Lifecycle</w:t>
      </w:r>
      <w:r w:rsidDel="00000000" w:rsidR="00000000" w:rsidRPr="00000000">
        <w:rPr>
          <w:rtl w:val="0"/>
        </w:rPr>
        <w:t xml:space="preserve">  The AI-TPS-2025 ensures a continuous chain of custody from initial design to final disposal. By integrating ETSI EN 304 223 provisions into the Master Service Agreement and operational protocols, the organization transforms AI security from a technical hurdle into a strategic enterprise asset.</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