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58BCA" w14:textId="77777777" w:rsidR="00F77E0C" w:rsidRDefault="00000000">
      <w:pPr>
        <w:spacing w:after="30"/>
        <w:jc w:val="center"/>
      </w:pPr>
      <w:r>
        <w:rPr>
          <w:b/>
          <w:bCs/>
          <w:color w:val="1B2631"/>
          <w:sz w:val="42"/>
          <w:szCs w:val="42"/>
        </w:rPr>
        <w:t>Top 10 Recommendations</w:t>
      </w:r>
    </w:p>
    <w:p w14:paraId="7920CBA0" w14:textId="77777777" w:rsidR="00F77E0C" w:rsidRDefault="00000000">
      <w:pPr>
        <w:spacing w:after="30"/>
        <w:jc w:val="center"/>
      </w:pPr>
      <w:r>
        <w:rPr>
          <w:i/>
          <w:iCs/>
          <w:color w:val="5D6D7E"/>
          <w:sz w:val="21"/>
          <w:szCs w:val="21"/>
        </w:rPr>
        <w:t>What Meridian FinServe should do — and in what order</w:t>
      </w:r>
    </w:p>
    <w:p w14:paraId="7A30B414" w14:textId="77777777" w:rsidR="00F77E0C" w:rsidRDefault="00000000">
      <w:pPr>
        <w:pBdr>
          <w:bottom w:val="single" w:sz="6" w:space="6" w:color="1B2631"/>
        </w:pBdr>
        <w:spacing w:after="140"/>
        <w:jc w:val="center"/>
      </w:pPr>
      <w:r>
        <w:rPr>
          <w:color w:val="5D6D7E"/>
          <w:sz w:val="18"/>
          <w:szCs w:val="18"/>
        </w:rPr>
        <w:t>Based on findings from Workstream A (Network Forensics) and Workstream B (Web Application Security)</w:t>
      </w:r>
    </w:p>
    <w:p w14:paraId="39796651" w14:textId="77777777" w:rsidR="00F77E0C" w:rsidRDefault="00000000">
      <w:pPr>
        <w:spacing w:before="40" w:after="50"/>
      </w:pPr>
      <w:r>
        <w:rPr>
          <w:b/>
          <w:bCs/>
          <w:color w:val="1B2631"/>
        </w:rPr>
        <w:t>There are ten things that need to happen. Three of them need to happen now.</w:t>
      </w:r>
    </w:p>
    <w:p w14:paraId="0156FF6E" w14:textId="77777777" w:rsidR="00F77E0C" w:rsidRDefault="00000000">
      <w:pPr>
        <w:spacing w:before="40" w:after="120"/>
      </w:pPr>
      <w:r>
        <w:rPr>
          <w:sz w:val="19"/>
          <w:szCs w:val="19"/>
        </w:rPr>
        <w:t>The findings from this assessment describe an environment where an attacker already has a foothold, has mapped the internal network, and is one web application exploit away from accessing customer data. The recommendations below are ordered by the urgency of the risk they address — not by cost, complexity, or convenience.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77E0C" w14:paraId="12E11619" w14:textId="77777777">
        <w:tblPrEx>
          <w:tblCellMar>
            <w:top w:w="0" w:type="dxa"/>
            <w:bottom w:w="0" w:type="dxa"/>
          </w:tblCellMar>
        </w:tblPrEx>
        <w:tc>
          <w:tcPr>
            <w:tcW w:w="3120" w:type="dxa"/>
            <w:tcBorders>
              <w:top w:val="single" w:sz="1" w:space="0" w:color="1B2631"/>
              <w:left w:val="single" w:sz="1" w:space="0" w:color="1B2631"/>
              <w:bottom w:val="single" w:sz="1" w:space="0" w:color="1B2631"/>
              <w:right w:val="single" w:sz="1" w:space="0" w:color="1B2631"/>
            </w:tcBorders>
            <w:shd w:val="clear" w:color="auto" w:fill="A93226"/>
            <w:tcMar>
              <w:top w:w="90" w:type="dxa"/>
              <w:left w:w="120" w:type="dxa"/>
              <w:bottom w:w="90" w:type="dxa"/>
              <w:right w:w="120" w:type="dxa"/>
            </w:tcMar>
          </w:tcPr>
          <w:p w14:paraId="0191D5D0" w14:textId="77777777" w:rsidR="00F77E0C" w:rsidRDefault="00000000">
            <w:pPr>
              <w:jc w:val="center"/>
            </w:pPr>
            <w:r>
              <w:rPr>
                <w:b/>
                <w:bCs/>
                <w:color w:val="FFFFFF"/>
              </w:rPr>
              <w:t>Immediate (0–30 days)</w:t>
            </w:r>
          </w:p>
        </w:tc>
        <w:tc>
          <w:tcPr>
            <w:tcW w:w="3120" w:type="dxa"/>
            <w:tcBorders>
              <w:top w:val="single" w:sz="1" w:space="0" w:color="1B2631"/>
              <w:left w:val="single" w:sz="1" w:space="0" w:color="1B2631"/>
              <w:bottom w:val="single" w:sz="1" w:space="0" w:color="1B2631"/>
              <w:right w:val="single" w:sz="1" w:space="0" w:color="1B2631"/>
            </w:tcBorders>
            <w:shd w:val="clear" w:color="auto" w:fill="B7770D"/>
            <w:tcMar>
              <w:top w:w="90" w:type="dxa"/>
              <w:left w:w="120" w:type="dxa"/>
              <w:bottom w:w="90" w:type="dxa"/>
              <w:right w:w="120" w:type="dxa"/>
            </w:tcMar>
          </w:tcPr>
          <w:p w14:paraId="52C43E8A" w14:textId="77777777" w:rsidR="00F77E0C" w:rsidRDefault="00000000">
            <w:pPr>
              <w:jc w:val="center"/>
            </w:pPr>
            <w:r>
              <w:rPr>
                <w:b/>
                <w:bCs/>
                <w:color w:val="FFFFFF"/>
              </w:rPr>
              <w:t>Short-Term (30–90 days)</w:t>
            </w:r>
          </w:p>
        </w:tc>
        <w:tc>
          <w:tcPr>
            <w:tcW w:w="3120" w:type="dxa"/>
            <w:tcBorders>
              <w:top w:val="single" w:sz="1" w:space="0" w:color="1B2631"/>
              <w:left w:val="single" w:sz="1" w:space="0" w:color="1B2631"/>
              <w:bottom w:val="single" w:sz="1" w:space="0" w:color="1B2631"/>
              <w:right w:val="single" w:sz="1" w:space="0" w:color="1B2631"/>
            </w:tcBorders>
            <w:shd w:val="clear" w:color="auto" w:fill="1A5276"/>
            <w:tcMar>
              <w:top w:w="90" w:type="dxa"/>
              <w:left w:w="120" w:type="dxa"/>
              <w:bottom w:w="90" w:type="dxa"/>
              <w:right w:w="120" w:type="dxa"/>
            </w:tcMar>
          </w:tcPr>
          <w:p w14:paraId="4DA01F64" w14:textId="77777777" w:rsidR="00F77E0C" w:rsidRDefault="00000000">
            <w:pPr>
              <w:jc w:val="center"/>
            </w:pPr>
            <w:r>
              <w:rPr>
                <w:b/>
                <w:bCs/>
                <w:color w:val="FFFFFF"/>
              </w:rPr>
              <w:t>Strategic (90+ days)</w:t>
            </w:r>
          </w:p>
        </w:tc>
      </w:tr>
      <w:tr w:rsidR="00F77E0C" w14:paraId="5028D116" w14:textId="77777777">
        <w:tblPrEx>
          <w:tblCellMar>
            <w:top w:w="0" w:type="dxa"/>
            <w:bottom w:w="0" w:type="dxa"/>
          </w:tblCellMar>
        </w:tblPrEx>
        <w:tc>
          <w:tcPr>
            <w:tcW w:w="3120" w:type="dxa"/>
            <w:tcBorders>
              <w:top w:val="single" w:sz="1" w:space="0" w:color="A93226"/>
              <w:left w:val="single" w:sz="1" w:space="0" w:color="A93226"/>
              <w:bottom w:val="single" w:sz="1" w:space="0" w:color="A93226"/>
              <w:right w:val="single" w:sz="1" w:space="0" w:color="A93226"/>
            </w:tcBorders>
            <w:shd w:val="clear" w:color="auto" w:fill="FDEDEC"/>
            <w:tcMar>
              <w:top w:w="100" w:type="dxa"/>
              <w:left w:w="120" w:type="dxa"/>
              <w:bottom w:w="100" w:type="dxa"/>
              <w:right w:w="120" w:type="dxa"/>
            </w:tcMar>
          </w:tcPr>
          <w:p w14:paraId="60197D98" w14:textId="77777777" w:rsidR="00F77E0C" w:rsidRDefault="00000000">
            <w:pPr>
              <w:spacing w:after="40"/>
            </w:pPr>
            <w:r>
              <w:rPr>
                <w:b/>
                <w:bCs/>
                <w:color w:val="A93226"/>
              </w:rPr>
              <w:t>R-01, R-02, R-03</w:t>
            </w:r>
          </w:p>
          <w:p w14:paraId="4CF4191E" w14:textId="77777777" w:rsidR="00F77E0C" w:rsidRDefault="00000000">
            <w:r>
              <w:rPr>
                <w:sz w:val="18"/>
                <w:szCs w:val="18"/>
              </w:rPr>
              <w:t>Stop the bleeding. Contain the breach, cut off C2, and close the web app holes an attacker can exploit today.</w:t>
            </w:r>
          </w:p>
        </w:tc>
        <w:tc>
          <w:tcPr>
            <w:tcW w:w="3120" w:type="dxa"/>
            <w:tcBorders>
              <w:top w:val="single" w:sz="1" w:space="0" w:color="B7770D"/>
              <w:left w:val="single" w:sz="1" w:space="0" w:color="B7770D"/>
              <w:bottom w:val="single" w:sz="1" w:space="0" w:color="B7770D"/>
              <w:right w:val="single" w:sz="1" w:space="0" w:color="B7770D"/>
            </w:tcBorders>
            <w:shd w:val="clear" w:color="auto" w:fill="FEF9E7"/>
            <w:tcMar>
              <w:top w:w="100" w:type="dxa"/>
              <w:left w:w="120" w:type="dxa"/>
              <w:bottom w:w="100" w:type="dxa"/>
              <w:right w:w="120" w:type="dxa"/>
            </w:tcMar>
          </w:tcPr>
          <w:p w14:paraId="4B747920" w14:textId="77777777" w:rsidR="00F77E0C" w:rsidRDefault="00000000">
            <w:pPr>
              <w:spacing w:after="40"/>
            </w:pPr>
            <w:r>
              <w:rPr>
                <w:b/>
                <w:bCs/>
                <w:color w:val="B7770D"/>
              </w:rPr>
              <w:t>R-04, R-05, R-06, R-07</w:t>
            </w:r>
          </w:p>
          <w:p w14:paraId="4E57A9AD" w14:textId="77777777" w:rsidR="00F77E0C" w:rsidRDefault="00000000">
            <w:r>
              <w:rPr>
                <w:sz w:val="18"/>
                <w:szCs w:val="18"/>
              </w:rPr>
              <w:t>Reduce the attack surface. Make lateral movement harder, tighten identity controls, and fix the remaining web vulnerabilities.</w:t>
            </w:r>
          </w:p>
        </w:tc>
        <w:tc>
          <w:tcPr>
            <w:tcW w:w="3120" w:type="dxa"/>
            <w:tcBorders>
              <w:top w:val="single" w:sz="1" w:space="0" w:color="1A5276"/>
              <w:left w:val="single" w:sz="1" w:space="0" w:color="1A5276"/>
              <w:bottom w:val="single" w:sz="1" w:space="0" w:color="1A5276"/>
              <w:right w:val="single" w:sz="1" w:space="0" w:color="1A5276"/>
            </w:tcBorders>
            <w:shd w:val="clear" w:color="auto" w:fill="EAF2FF"/>
            <w:tcMar>
              <w:top w:w="100" w:type="dxa"/>
              <w:left w:w="120" w:type="dxa"/>
              <w:bottom w:w="100" w:type="dxa"/>
              <w:right w:w="120" w:type="dxa"/>
            </w:tcMar>
          </w:tcPr>
          <w:p w14:paraId="14151EA7" w14:textId="77777777" w:rsidR="00F77E0C" w:rsidRDefault="00000000">
            <w:pPr>
              <w:spacing w:after="40"/>
            </w:pPr>
            <w:r>
              <w:rPr>
                <w:b/>
                <w:bCs/>
                <w:color w:val="1A5276"/>
              </w:rPr>
              <w:t>R-08, R-09, R-10</w:t>
            </w:r>
          </w:p>
          <w:p w14:paraId="0945A71E" w14:textId="77777777" w:rsidR="00F77E0C" w:rsidRDefault="00000000">
            <w:r>
              <w:rPr>
                <w:sz w:val="18"/>
                <w:szCs w:val="18"/>
              </w:rPr>
              <w:t>Build lasting resilience. Invest in visibility, human awareness, and a recurring testing cycle so the next assessment finds fewer findings, not more.</w:t>
            </w:r>
          </w:p>
        </w:tc>
      </w:tr>
    </w:tbl>
    <w:p w14:paraId="48EA12C2" w14:textId="77777777" w:rsidR="00F77E0C" w:rsidRDefault="00F77E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7E0C" w14:paraId="2D292D39" w14:textId="77777777">
        <w:tblPrEx>
          <w:tblCellMar>
            <w:top w:w="0" w:type="dxa"/>
            <w:bottom w:w="0" w:type="dxa"/>
          </w:tblCellMar>
        </w:tblPrEx>
        <w:tc>
          <w:tcPr>
            <w:tcW w:w="9360" w:type="dxa"/>
            <w:tcBorders>
              <w:top w:val="single" w:sz="2" w:space="0" w:color="A93226"/>
              <w:left w:val="single" w:sz="2" w:space="0" w:color="A93226"/>
              <w:bottom w:val="single" w:sz="2" w:space="0" w:color="A93226"/>
              <w:right w:val="single" w:sz="2" w:space="0" w:color="A93226"/>
            </w:tcBorders>
            <w:shd w:val="clear" w:color="auto" w:fill="A93226"/>
            <w:tcMar>
              <w:top w:w="100" w:type="dxa"/>
              <w:left w:w="180" w:type="dxa"/>
              <w:bottom w:w="100" w:type="dxa"/>
              <w:right w:w="180" w:type="dxa"/>
            </w:tcMar>
          </w:tcPr>
          <w:p w14:paraId="56DE672E" w14:textId="77777777" w:rsidR="00F77E0C" w:rsidRDefault="00000000">
            <w:r>
              <w:rPr>
                <w:b/>
                <w:bCs/>
                <w:color w:val="FFFFFF"/>
                <w:sz w:val="24"/>
                <w:szCs w:val="24"/>
              </w:rPr>
              <w:t xml:space="preserve">Priority 1 — Immediate   </w:t>
            </w:r>
            <w:r>
              <w:rPr>
                <w:i/>
                <w:iCs/>
                <w:color w:val="FDEDEC"/>
                <w:sz w:val="19"/>
                <w:szCs w:val="19"/>
              </w:rPr>
              <w:t>0 to 30 days   ·   Do these before anything else</w:t>
            </w:r>
          </w:p>
        </w:tc>
      </w:tr>
    </w:tbl>
    <w:p w14:paraId="1FB8B18F" w14:textId="77777777" w:rsidR="00F77E0C" w:rsidRDefault="00F77E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F77E0C" w14:paraId="03902EE5" w14:textId="77777777">
        <w:tblPrEx>
          <w:tblCellMar>
            <w:top w:w="0" w:type="dxa"/>
            <w:bottom w:w="0" w:type="dxa"/>
          </w:tblCellMar>
        </w:tblPrEx>
        <w:tc>
          <w:tcPr>
            <w:tcW w:w="680" w:type="dxa"/>
            <w:vMerge w:val="restart"/>
            <w:tcBorders>
              <w:top w:val="single" w:sz="1" w:space="0" w:color="A93226"/>
              <w:left w:val="single" w:sz="1" w:space="0" w:color="A93226"/>
              <w:bottom w:val="single" w:sz="1" w:space="0" w:color="A93226"/>
              <w:right w:val="single" w:sz="1" w:space="0" w:color="A93226"/>
            </w:tcBorders>
            <w:shd w:val="clear" w:color="auto" w:fill="A93226"/>
            <w:tcMar>
              <w:top w:w="80" w:type="dxa"/>
              <w:left w:w="80" w:type="dxa"/>
              <w:bottom w:w="80" w:type="dxa"/>
              <w:right w:w="80" w:type="dxa"/>
            </w:tcMar>
            <w:vAlign w:val="center"/>
          </w:tcPr>
          <w:p w14:paraId="0B808A3A" w14:textId="77777777" w:rsidR="00F77E0C" w:rsidRDefault="00000000">
            <w:pPr>
              <w:spacing w:after="30"/>
              <w:jc w:val="center"/>
            </w:pPr>
            <w:r>
              <w:rPr>
                <w:b/>
                <w:bCs/>
                <w:color w:val="FFFFFF"/>
                <w:sz w:val="22"/>
                <w:szCs w:val="22"/>
              </w:rPr>
              <w:t>R-01</w:t>
            </w:r>
          </w:p>
        </w:tc>
        <w:tc>
          <w:tcPr>
            <w:tcW w:w="8680" w:type="dxa"/>
            <w:tcBorders>
              <w:top w:val="single" w:sz="2" w:space="0" w:color="A93226"/>
              <w:left w:val="none" w:sz="0" w:space="0" w:color="FFFFFF"/>
              <w:bottom w:val="single" w:sz="1" w:space="0" w:color="F1948A"/>
              <w:right w:val="single" w:sz="1" w:space="0" w:color="A93226"/>
            </w:tcBorders>
            <w:shd w:val="clear" w:color="auto" w:fill="FDEDEC"/>
            <w:tcMar>
              <w:top w:w="80" w:type="dxa"/>
              <w:left w:w="140" w:type="dxa"/>
              <w:bottom w:w="80" w:type="dxa"/>
              <w:right w:w="140" w:type="dxa"/>
            </w:tcMar>
          </w:tcPr>
          <w:p w14:paraId="5D438D4A" w14:textId="77777777" w:rsidR="00F77E0C" w:rsidRDefault="00000000">
            <w:r>
              <w:rPr>
                <w:b/>
                <w:bCs/>
                <w:color w:val="1B2631"/>
                <w:sz w:val="21"/>
                <w:szCs w:val="21"/>
              </w:rPr>
              <w:t>Investigate and contain workstation 10.1.21.58</w:t>
            </w:r>
          </w:p>
        </w:tc>
      </w:tr>
      <w:tr w:rsidR="00F77E0C" w14:paraId="60C479D1" w14:textId="77777777">
        <w:tblPrEx>
          <w:tblCellMar>
            <w:top w:w="0" w:type="dxa"/>
            <w:bottom w:w="0" w:type="dxa"/>
          </w:tblCellMar>
        </w:tblPrEx>
        <w:tc>
          <w:tcPr>
            <w:tcW w:w="0" w:type="auto"/>
            <w:vMerge/>
            <w:tcBorders>
              <w:top w:val="single" w:sz="1" w:space="0" w:color="A93226"/>
              <w:left w:val="single" w:sz="1" w:space="0" w:color="A93226"/>
              <w:bottom w:val="single" w:sz="1" w:space="0" w:color="A93226"/>
              <w:right w:val="single" w:sz="1" w:space="0" w:color="A93226"/>
            </w:tcBorders>
          </w:tcPr>
          <w:p w14:paraId="4D63C6F4" w14:textId="77777777" w:rsidR="00F77E0C" w:rsidRDefault="00F77E0C"/>
        </w:tc>
        <w:tc>
          <w:tcPr>
            <w:tcW w:w="8680" w:type="dxa"/>
            <w:tcBorders>
              <w:top w:val="none" w:sz="0" w:space="0" w:color="FFFFFF"/>
              <w:left w:val="none" w:sz="0" w:space="0" w:color="FFFFFF"/>
              <w:bottom w:val="none" w:sz="0" w:space="0" w:color="FFFFFF"/>
              <w:right w:val="single" w:sz="1" w:space="0" w:color="A93226"/>
            </w:tcBorders>
            <w:shd w:val="clear" w:color="auto" w:fill="FFFFFF"/>
            <w:tcMar>
              <w:top w:w="80" w:type="dxa"/>
              <w:left w:w="140" w:type="dxa"/>
              <w:bottom w:w="80" w:type="dxa"/>
              <w:right w:w="140" w:type="dxa"/>
            </w:tcMar>
          </w:tcPr>
          <w:p w14:paraId="07D46E96" w14:textId="77777777" w:rsidR="00F77E0C" w:rsidRDefault="00000000">
            <w:pPr>
              <w:spacing w:after="40"/>
            </w:pPr>
            <w:r>
              <w:rPr>
                <w:b/>
                <w:bCs/>
                <w:color w:val="A93226"/>
                <w:sz w:val="18"/>
                <w:szCs w:val="18"/>
              </w:rPr>
              <w:t xml:space="preserve">Risk addressed:  </w:t>
            </w:r>
            <w:r>
              <w:rPr>
                <w:sz w:val="18"/>
                <w:szCs w:val="18"/>
              </w:rPr>
              <w:t>Active C2 channel to whitepepper.su / 153.92.1.49; SMB reconnaissance of internal servers</w:t>
            </w:r>
          </w:p>
          <w:p w14:paraId="7BA33233" w14:textId="77777777" w:rsidR="00F77E0C" w:rsidRDefault="00000000">
            <w:pPr>
              <w:spacing w:after="40"/>
            </w:pPr>
            <w:r>
              <w:rPr>
                <w:b/>
                <w:bCs/>
                <w:color w:val="A93226"/>
                <w:sz w:val="18"/>
                <w:szCs w:val="18"/>
              </w:rPr>
              <w:t xml:space="preserve">What to expect:  </w:t>
            </w:r>
            <w:r>
              <w:rPr>
                <w:sz w:val="18"/>
                <w:szCs w:val="18"/>
              </w:rPr>
              <w:t>Active attacker foothold removed. Scope of compromise understood before further remediation begins.</w:t>
            </w:r>
          </w:p>
          <w:p w14:paraId="3EC9DA32" w14:textId="77777777" w:rsidR="00F77E0C" w:rsidRDefault="00000000">
            <w:pPr>
              <w:spacing w:before="30"/>
            </w:pPr>
            <w:r>
              <w:rPr>
                <w:i/>
                <w:iCs/>
                <w:sz w:val="19"/>
                <w:szCs w:val="19"/>
              </w:rPr>
              <w:t>This is the most important action on the list. Everything else assumes the attacker is no longer watching. Isolate the machine, image it for forensics, and do not reimage without understanding how it was compromised in the first place.</w:t>
            </w:r>
          </w:p>
        </w:tc>
      </w:tr>
      <w:tr w:rsidR="00F77E0C" w14:paraId="484409E6" w14:textId="77777777">
        <w:tblPrEx>
          <w:tblCellMar>
            <w:top w:w="0" w:type="dxa"/>
            <w:bottom w:w="0" w:type="dxa"/>
          </w:tblCellMar>
        </w:tblPrEx>
        <w:tc>
          <w:tcPr>
            <w:tcW w:w="0" w:type="auto"/>
            <w:vMerge/>
            <w:tcBorders>
              <w:top w:val="single" w:sz="1" w:space="0" w:color="A93226"/>
              <w:left w:val="single" w:sz="1" w:space="0" w:color="A93226"/>
              <w:bottom w:val="single" w:sz="1" w:space="0" w:color="A93226"/>
              <w:right w:val="single" w:sz="1" w:space="0" w:color="A93226"/>
            </w:tcBorders>
          </w:tcPr>
          <w:p w14:paraId="6C8235F8" w14:textId="77777777" w:rsidR="00F77E0C" w:rsidRDefault="00F77E0C"/>
        </w:tc>
        <w:tc>
          <w:tcPr>
            <w:tcW w:w="8680" w:type="dxa"/>
            <w:tcBorders>
              <w:top w:val="none" w:sz="0" w:space="0" w:color="FFFFFF"/>
              <w:left w:val="none" w:sz="0" w:space="0" w:color="FFFFFF"/>
              <w:bottom w:val="single" w:sz="2" w:space="0" w:color="A93226"/>
              <w:right w:val="single" w:sz="1" w:space="0" w:color="A93226"/>
            </w:tcBorders>
            <w:shd w:val="clear" w:color="auto" w:fill="FDEDEC"/>
            <w:tcMar>
              <w:top w:w="50" w:type="dxa"/>
              <w:left w:w="140" w:type="dxa"/>
              <w:bottom w:w="50" w:type="dxa"/>
              <w:right w:w="140" w:type="dxa"/>
            </w:tcMar>
          </w:tcPr>
          <w:p w14:paraId="5A5D4C46" w14:textId="77777777" w:rsidR="00F77E0C" w:rsidRDefault="00F77E0C"/>
        </w:tc>
      </w:tr>
    </w:tbl>
    <w:p w14:paraId="753C88AE" w14:textId="77777777" w:rsidR="00F77E0C" w:rsidRDefault="00F77E0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F77E0C" w14:paraId="4B8F9E56" w14:textId="77777777">
        <w:tblPrEx>
          <w:tblCellMar>
            <w:top w:w="0" w:type="dxa"/>
            <w:bottom w:w="0" w:type="dxa"/>
          </w:tblCellMar>
        </w:tblPrEx>
        <w:tc>
          <w:tcPr>
            <w:tcW w:w="680" w:type="dxa"/>
            <w:vMerge w:val="restart"/>
            <w:tcBorders>
              <w:top w:val="single" w:sz="1" w:space="0" w:color="A93226"/>
              <w:left w:val="single" w:sz="1" w:space="0" w:color="A93226"/>
              <w:bottom w:val="single" w:sz="1" w:space="0" w:color="A93226"/>
              <w:right w:val="single" w:sz="1" w:space="0" w:color="A93226"/>
            </w:tcBorders>
            <w:shd w:val="clear" w:color="auto" w:fill="A93226"/>
            <w:tcMar>
              <w:top w:w="80" w:type="dxa"/>
              <w:left w:w="80" w:type="dxa"/>
              <w:bottom w:w="80" w:type="dxa"/>
              <w:right w:w="80" w:type="dxa"/>
            </w:tcMar>
            <w:vAlign w:val="center"/>
          </w:tcPr>
          <w:p w14:paraId="2E546A08" w14:textId="77777777" w:rsidR="00F77E0C" w:rsidRDefault="00000000">
            <w:pPr>
              <w:spacing w:after="30"/>
              <w:jc w:val="center"/>
            </w:pPr>
            <w:r>
              <w:rPr>
                <w:b/>
                <w:bCs/>
                <w:color w:val="FFFFFF"/>
                <w:sz w:val="22"/>
                <w:szCs w:val="22"/>
              </w:rPr>
              <w:t>R-02</w:t>
            </w:r>
          </w:p>
        </w:tc>
        <w:tc>
          <w:tcPr>
            <w:tcW w:w="8680" w:type="dxa"/>
            <w:tcBorders>
              <w:top w:val="single" w:sz="2" w:space="0" w:color="A93226"/>
              <w:left w:val="none" w:sz="0" w:space="0" w:color="FFFFFF"/>
              <w:bottom w:val="single" w:sz="1" w:space="0" w:color="F1948A"/>
              <w:right w:val="single" w:sz="1" w:space="0" w:color="A93226"/>
            </w:tcBorders>
            <w:shd w:val="clear" w:color="auto" w:fill="FDEDEC"/>
            <w:tcMar>
              <w:top w:w="80" w:type="dxa"/>
              <w:left w:w="140" w:type="dxa"/>
              <w:bottom w:w="80" w:type="dxa"/>
              <w:right w:w="140" w:type="dxa"/>
            </w:tcMar>
          </w:tcPr>
          <w:p w14:paraId="77748141" w14:textId="77777777" w:rsidR="00F77E0C" w:rsidRDefault="00000000">
            <w:r>
              <w:rPr>
                <w:b/>
                <w:bCs/>
                <w:color w:val="1B2631"/>
                <w:sz w:val="21"/>
                <w:szCs w:val="21"/>
              </w:rPr>
              <w:t>Block known malicious infrastructure at the perimeter</w:t>
            </w:r>
          </w:p>
        </w:tc>
      </w:tr>
      <w:tr w:rsidR="00F77E0C" w14:paraId="6A15BBD5" w14:textId="77777777">
        <w:tblPrEx>
          <w:tblCellMar>
            <w:top w:w="0" w:type="dxa"/>
            <w:bottom w:w="0" w:type="dxa"/>
          </w:tblCellMar>
        </w:tblPrEx>
        <w:tc>
          <w:tcPr>
            <w:tcW w:w="0" w:type="auto"/>
            <w:vMerge/>
            <w:tcBorders>
              <w:top w:val="single" w:sz="1" w:space="0" w:color="A93226"/>
              <w:left w:val="single" w:sz="1" w:space="0" w:color="A93226"/>
              <w:bottom w:val="single" w:sz="1" w:space="0" w:color="A93226"/>
              <w:right w:val="single" w:sz="1" w:space="0" w:color="A93226"/>
            </w:tcBorders>
          </w:tcPr>
          <w:p w14:paraId="5FBA2FAB" w14:textId="77777777" w:rsidR="00F77E0C" w:rsidRDefault="00F77E0C"/>
        </w:tc>
        <w:tc>
          <w:tcPr>
            <w:tcW w:w="8680" w:type="dxa"/>
            <w:tcBorders>
              <w:top w:val="none" w:sz="0" w:space="0" w:color="FFFFFF"/>
              <w:left w:val="none" w:sz="0" w:space="0" w:color="FFFFFF"/>
              <w:bottom w:val="none" w:sz="0" w:space="0" w:color="FFFFFF"/>
              <w:right w:val="single" w:sz="1" w:space="0" w:color="A93226"/>
            </w:tcBorders>
            <w:shd w:val="clear" w:color="auto" w:fill="FFFFFF"/>
            <w:tcMar>
              <w:top w:w="80" w:type="dxa"/>
              <w:left w:w="140" w:type="dxa"/>
              <w:bottom w:w="80" w:type="dxa"/>
              <w:right w:w="140" w:type="dxa"/>
            </w:tcMar>
          </w:tcPr>
          <w:p w14:paraId="04C39894" w14:textId="77777777" w:rsidR="00F77E0C" w:rsidRDefault="00000000">
            <w:pPr>
              <w:spacing w:after="40"/>
            </w:pPr>
            <w:r>
              <w:rPr>
                <w:b/>
                <w:bCs/>
                <w:color w:val="A93226"/>
                <w:sz w:val="18"/>
                <w:szCs w:val="18"/>
              </w:rPr>
              <w:t xml:space="preserve">Risk addressed:  </w:t>
            </w:r>
            <w:r>
              <w:rPr>
                <w:sz w:val="18"/>
                <w:szCs w:val="18"/>
              </w:rPr>
              <w:t>C2 communications via whitepepper.su, 153.92.1.49 and high-risk TLDs (.</w:t>
            </w:r>
            <w:proofErr w:type="spellStart"/>
            <w:r>
              <w:rPr>
                <w:sz w:val="18"/>
                <w:szCs w:val="18"/>
              </w:rPr>
              <w:t>su</w:t>
            </w:r>
            <w:proofErr w:type="spellEnd"/>
            <w:proofErr w:type="gramStart"/>
            <w:r>
              <w:rPr>
                <w:sz w:val="18"/>
                <w:szCs w:val="18"/>
              </w:rPr>
              <w:t>, .</w:t>
            </w:r>
            <w:proofErr w:type="spellStart"/>
            <w:r>
              <w:rPr>
                <w:sz w:val="18"/>
                <w:szCs w:val="18"/>
              </w:rPr>
              <w:t>sbs</w:t>
            </w:r>
            <w:proofErr w:type="spellEnd"/>
            <w:proofErr w:type="gramEnd"/>
            <w:r>
              <w:rPr>
                <w:sz w:val="18"/>
                <w:szCs w:val="18"/>
              </w:rPr>
              <w:t>, .cc</w:t>
            </w:r>
            <w:proofErr w:type="gramStart"/>
            <w:r>
              <w:rPr>
                <w:sz w:val="18"/>
                <w:szCs w:val="18"/>
              </w:rPr>
              <w:t>, .</w:t>
            </w:r>
            <w:proofErr w:type="spellStart"/>
            <w:r>
              <w:rPr>
                <w:sz w:val="18"/>
                <w:szCs w:val="18"/>
              </w:rPr>
              <w:t>lat</w:t>
            </w:r>
            <w:proofErr w:type="spellEnd"/>
            <w:r>
              <w:rPr>
                <w:sz w:val="18"/>
                <w:szCs w:val="18"/>
              </w:rPr>
              <w:t>, .</w:t>
            </w:r>
            <w:proofErr w:type="spellStart"/>
            <w:r>
              <w:rPr>
                <w:sz w:val="18"/>
                <w:szCs w:val="18"/>
              </w:rPr>
              <w:t>cyou</w:t>
            </w:r>
            <w:proofErr w:type="spellEnd"/>
            <w:proofErr w:type="gramEnd"/>
            <w:r>
              <w:rPr>
                <w:sz w:val="18"/>
                <w:szCs w:val="18"/>
              </w:rPr>
              <w:t>)</w:t>
            </w:r>
          </w:p>
          <w:p w14:paraId="5EC116FE" w14:textId="77777777" w:rsidR="00F77E0C" w:rsidRDefault="00000000">
            <w:pPr>
              <w:spacing w:after="40"/>
            </w:pPr>
            <w:r>
              <w:rPr>
                <w:b/>
                <w:bCs/>
                <w:color w:val="A93226"/>
                <w:sz w:val="18"/>
                <w:szCs w:val="18"/>
              </w:rPr>
              <w:t xml:space="preserve">What to expect:  </w:t>
            </w:r>
            <w:r>
              <w:rPr>
                <w:sz w:val="18"/>
                <w:szCs w:val="18"/>
              </w:rPr>
              <w:t>Command-and-control channel disrupted. Any secondary implants lose their callback path.</w:t>
            </w:r>
          </w:p>
          <w:p w14:paraId="309BF514" w14:textId="77777777" w:rsidR="00F77E0C" w:rsidRDefault="00000000">
            <w:pPr>
              <w:spacing w:before="30"/>
            </w:pPr>
            <w:r>
              <w:rPr>
                <w:i/>
                <w:iCs/>
                <w:sz w:val="19"/>
                <w:szCs w:val="19"/>
              </w:rPr>
              <w:t>Block the domain, the IP, and the TLD family at both the firewall and DNS resolver. This is a five-minute change that meaningfully degrades the attacker's ability to operate even if other endpoints are affected.</w:t>
            </w:r>
          </w:p>
        </w:tc>
      </w:tr>
      <w:tr w:rsidR="00F77E0C" w14:paraId="4ED20436" w14:textId="77777777">
        <w:tblPrEx>
          <w:tblCellMar>
            <w:top w:w="0" w:type="dxa"/>
            <w:bottom w:w="0" w:type="dxa"/>
          </w:tblCellMar>
        </w:tblPrEx>
        <w:tc>
          <w:tcPr>
            <w:tcW w:w="0" w:type="auto"/>
            <w:vMerge/>
            <w:tcBorders>
              <w:top w:val="single" w:sz="1" w:space="0" w:color="A93226"/>
              <w:left w:val="single" w:sz="1" w:space="0" w:color="A93226"/>
              <w:bottom w:val="single" w:sz="1" w:space="0" w:color="A93226"/>
              <w:right w:val="single" w:sz="1" w:space="0" w:color="A93226"/>
            </w:tcBorders>
          </w:tcPr>
          <w:p w14:paraId="5ED3C3BA" w14:textId="77777777" w:rsidR="00F77E0C" w:rsidRDefault="00F77E0C"/>
        </w:tc>
        <w:tc>
          <w:tcPr>
            <w:tcW w:w="8680" w:type="dxa"/>
            <w:tcBorders>
              <w:top w:val="none" w:sz="0" w:space="0" w:color="FFFFFF"/>
              <w:left w:val="none" w:sz="0" w:space="0" w:color="FFFFFF"/>
              <w:bottom w:val="single" w:sz="2" w:space="0" w:color="A93226"/>
              <w:right w:val="single" w:sz="1" w:space="0" w:color="A93226"/>
            </w:tcBorders>
            <w:shd w:val="clear" w:color="auto" w:fill="FDEDEC"/>
            <w:tcMar>
              <w:top w:w="50" w:type="dxa"/>
              <w:left w:w="140" w:type="dxa"/>
              <w:bottom w:w="50" w:type="dxa"/>
              <w:right w:w="140" w:type="dxa"/>
            </w:tcMar>
          </w:tcPr>
          <w:p w14:paraId="7D089F3E" w14:textId="77777777" w:rsidR="00F77E0C" w:rsidRDefault="00F77E0C"/>
        </w:tc>
      </w:tr>
    </w:tbl>
    <w:p w14:paraId="69F85AAA" w14:textId="77777777" w:rsidR="00F77E0C" w:rsidRDefault="00F77E0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F77E0C" w14:paraId="37CC81C3" w14:textId="77777777">
        <w:tblPrEx>
          <w:tblCellMar>
            <w:top w:w="0" w:type="dxa"/>
            <w:bottom w:w="0" w:type="dxa"/>
          </w:tblCellMar>
        </w:tblPrEx>
        <w:tc>
          <w:tcPr>
            <w:tcW w:w="680" w:type="dxa"/>
            <w:vMerge w:val="restart"/>
            <w:tcBorders>
              <w:top w:val="single" w:sz="1" w:space="0" w:color="A93226"/>
              <w:left w:val="single" w:sz="1" w:space="0" w:color="A93226"/>
              <w:bottom w:val="single" w:sz="1" w:space="0" w:color="A93226"/>
              <w:right w:val="single" w:sz="1" w:space="0" w:color="A93226"/>
            </w:tcBorders>
            <w:shd w:val="clear" w:color="auto" w:fill="A93226"/>
            <w:tcMar>
              <w:top w:w="80" w:type="dxa"/>
              <w:left w:w="80" w:type="dxa"/>
              <w:bottom w:w="80" w:type="dxa"/>
              <w:right w:w="80" w:type="dxa"/>
            </w:tcMar>
            <w:vAlign w:val="center"/>
          </w:tcPr>
          <w:p w14:paraId="77BB1DCC" w14:textId="77777777" w:rsidR="00F77E0C" w:rsidRDefault="00000000">
            <w:pPr>
              <w:spacing w:after="30"/>
              <w:jc w:val="center"/>
            </w:pPr>
            <w:r>
              <w:rPr>
                <w:b/>
                <w:bCs/>
                <w:color w:val="FFFFFF"/>
                <w:sz w:val="22"/>
                <w:szCs w:val="22"/>
              </w:rPr>
              <w:t>R-03</w:t>
            </w:r>
          </w:p>
        </w:tc>
        <w:tc>
          <w:tcPr>
            <w:tcW w:w="8680" w:type="dxa"/>
            <w:tcBorders>
              <w:top w:val="single" w:sz="2" w:space="0" w:color="A93226"/>
              <w:left w:val="none" w:sz="0" w:space="0" w:color="FFFFFF"/>
              <w:bottom w:val="single" w:sz="1" w:space="0" w:color="F1948A"/>
              <w:right w:val="single" w:sz="1" w:space="0" w:color="A93226"/>
            </w:tcBorders>
            <w:shd w:val="clear" w:color="auto" w:fill="FDEDEC"/>
            <w:tcMar>
              <w:top w:w="80" w:type="dxa"/>
              <w:left w:w="140" w:type="dxa"/>
              <w:bottom w:w="80" w:type="dxa"/>
              <w:right w:w="140" w:type="dxa"/>
            </w:tcMar>
          </w:tcPr>
          <w:p w14:paraId="6073067B" w14:textId="77777777" w:rsidR="00F77E0C" w:rsidRDefault="00000000">
            <w:r>
              <w:rPr>
                <w:b/>
                <w:bCs/>
                <w:color w:val="1B2631"/>
                <w:sz w:val="21"/>
                <w:szCs w:val="21"/>
              </w:rPr>
              <w:t>Fix the SQL injection and authentication failures on the customer portal</w:t>
            </w:r>
          </w:p>
        </w:tc>
      </w:tr>
      <w:tr w:rsidR="00F77E0C" w14:paraId="2DAF4B07" w14:textId="77777777">
        <w:tblPrEx>
          <w:tblCellMar>
            <w:top w:w="0" w:type="dxa"/>
            <w:bottom w:w="0" w:type="dxa"/>
          </w:tblCellMar>
        </w:tblPrEx>
        <w:tc>
          <w:tcPr>
            <w:tcW w:w="0" w:type="auto"/>
            <w:vMerge/>
            <w:tcBorders>
              <w:top w:val="single" w:sz="1" w:space="0" w:color="A93226"/>
              <w:left w:val="single" w:sz="1" w:space="0" w:color="A93226"/>
              <w:bottom w:val="single" w:sz="1" w:space="0" w:color="A93226"/>
              <w:right w:val="single" w:sz="1" w:space="0" w:color="A93226"/>
            </w:tcBorders>
          </w:tcPr>
          <w:p w14:paraId="3B9AF0F4" w14:textId="77777777" w:rsidR="00F77E0C" w:rsidRDefault="00F77E0C"/>
        </w:tc>
        <w:tc>
          <w:tcPr>
            <w:tcW w:w="8680" w:type="dxa"/>
            <w:tcBorders>
              <w:top w:val="none" w:sz="0" w:space="0" w:color="FFFFFF"/>
              <w:left w:val="none" w:sz="0" w:space="0" w:color="FFFFFF"/>
              <w:bottom w:val="none" w:sz="0" w:space="0" w:color="FFFFFF"/>
              <w:right w:val="single" w:sz="1" w:space="0" w:color="A93226"/>
            </w:tcBorders>
            <w:shd w:val="clear" w:color="auto" w:fill="FFFFFF"/>
            <w:tcMar>
              <w:top w:w="80" w:type="dxa"/>
              <w:left w:w="140" w:type="dxa"/>
              <w:bottom w:w="80" w:type="dxa"/>
              <w:right w:w="140" w:type="dxa"/>
            </w:tcMar>
          </w:tcPr>
          <w:p w14:paraId="421A95AF" w14:textId="77777777" w:rsidR="00F77E0C" w:rsidRDefault="00000000">
            <w:pPr>
              <w:spacing w:after="40"/>
            </w:pPr>
            <w:r>
              <w:rPr>
                <w:b/>
                <w:bCs/>
                <w:color w:val="A93226"/>
                <w:sz w:val="18"/>
                <w:szCs w:val="18"/>
              </w:rPr>
              <w:t xml:space="preserve">Risk addressed:  </w:t>
            </w:r>
            <w:r>
              <w:rPr>
                <w:sz w:val="18"/>
                <w:szCs w:val="18"/>
              </w:rPr>
              <w:t>F-01 (SQL Injection) and F-03 (Authentication Failures) — direct path to customer data and account takeover</w:t>
            </w:r>
          </w:p>
          <w:p w14:paraId="10ED3AA3" w14:textId="77777777" w:rsidR="00F77E0C" w:rsidRDefault="00000000">
            <w:pPr>
              <w:spacing w:after="40"/>
            </w:pPr>
            <w:r>
              <w:rPr>
                <w:b/>
                <w:bCs/>
                <w:color w:val="A93226"/>
                <w:sz w:val="18"/>
                <w:szCs w:val="18"/>
              </w:rPr>
              <w:t xml:space="preserve">What to expect:  </w:t>
            </w:r>
            <w:r>
              <w:rPr>
                <w:sz w:val="18"/>
                <w:szCs w:val="18"/>
              </w:rPr>
              <w:t>Database protected from unauthorised access. Authentication cannot be trivially bypassed.</w:t>
            </w:r>
          </w:p>
          <w:p w14:paraId="77EF2D71" w14:textId="77777777" w:rsidR="00F77E0C" w:rsidRDefault="00000000">
            <w:pPr>
              <w:spacing w:before="30"/>
            </w:pPr>
            <w:r>
              <w:rPr>
                <w:i/>
                <w:iCs/>
                <w:sz w:val="19"/>
                <w:szCs w:val="19"/>
              </w:rPr>
              <w:t>These two findings together give an unauthenticated attacker access to customer records and the ability to log in as any user. Parameterise every database query and enforce rate limiting and MFA on login immediately — do not wait for a full web application sprint.</w:t>
            </w:r>
          </w:p>
        </w:tc>
      </w:tr>
      <w:tr w:rsidR="00F77E0C" w14:paraId="3EA7045F" w14:textId="77777777">
        <w:tblPrEx>
          <w:tblCellMar>
            <w:top w:w="0" w:type="dxa"/>
            <w:bottom w:w="0" w:type="dxa"/>
          </w:tblCellMar>
        </w:tblPrEx>
        <w:tc>
          <w:tcPr>
            <w:tcW w:w="0" w:type="auto"/>
            <w:vMerge/>
            <w:tcBorders>
              <w:top w:val="single" w:sz="1" w:space="0" w:color="A93226"/>
              <w:left w:val="single" w:sz="1" w:space="0" w:color="A93226"/>
              <w:bottom w:val="single" w:sz="1" w:space="0" w:color="A93226"/>
              <w:right w:val="single" w:sz="1" w:space="0" w:color="A93226"/>
            </w:tcBorders>
          </w:tcPr>
          <w:p w14:paraId="38DE1280" w14:textId="77777777" w:rsidR="00F77E0C" w:rsidRDefault="00F77E0C"/>
        </w:tc>
        <w:tc>
          <w:tcPr>
            <w:tcW w:w="8680" w:type="dxa"/>
            <w:tcBorders>
              <w:top w:val="none" w:sz="0" w:space="0" w:color="FFFFFF"/>
              <w:left w:val="none" w:sz="0" w:space="0" w:color="FFFFFF"/>
              <w:bottom w:val="single" w:sz="2" w:space="0" w:color="A93226"/>
              <w:right w:val="single" w:sz="1" w:space="0" w:color="A93226"/>
            </w:tcBorders>
            <w:shd w:val="clear" w:color="auto" w:fill="FDEDEC"/>
            <w:tcMar>
              <w:top w:w="50" w:type="dxa"/>
              <w:left w:w="140" w:type="dxa"/>
              <w:bottom w:w="50" w:type="dxa"/>
              <w:right w:w="140" w:type="dxa"/>
            </w:tcMar>
          </w:tcPr>
          <w:p w14:paraId="3A7892DD" w14:textId="77777777" w:rsidR="00F77E0C" w:rsidRDefault="00F77E0C"/>
        </w:tc>
      </w:tr>
    </w:tbl>
    <w:p w14:paraId="285F936B" w14:textId="77777777" w:rsidR="00F77E0C" w:rsidRDefault="00000000">
      <w:r>
        <w:br w:type="page"/>
      </w:r>
    </w:p>
    <w:p w14:paraId="75A740B7" w14:textId="77777777" w:rsidR="00F77E0C" w:rsidRDefault="00F77E0C">
      <w:pPr>
        <w:sectPr w:rsidR="00F77E0C">
          <w:headerReference w:type="default" r:id="rId7"/>
          <w:footerReference w:type="default" r:id="rId8"/>
          <w:pgSz w:w="12240" w:h="15840"/>
          <w:pgMar w:top="900" w:right="900" w:bottom="900" w:left="900" w:header="708" w:footer="708"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7E0C" w14:paraId="1361280C" w14:textId="77777777">
        <w:tblPrEx>
          <w:tblCellMar>
            <w:top w:w="0" w:type="dxa"/>
            <w:bottom w:w="0" w:type="dxa"/>
          </w:tblCellMar>
        </w:tblPrEx>
        <w:tc>
          <w:tcPr>
            <w:tcW w:w="9360" w:type="dxa"/>
            <w:tcBorders>
              <w:top w:val="single" w:sz="2" w:space="0" w:color="B7770D"/>
              <w:left w:val="single" w:sz="2" w:space="0" w:color="B7770D"/>
              <w:bottom w:val="single" w:sz="2" w:space="0" w:color="B7770D"/>
              <w:right w:val="single" w:sz="2" w:space="0" w:color="B7770D"/>
            </w:tcBorders>
            <w:shd w:val="clear" w:color="auto" w:fill="B7770D"/>
            <w:tcMar>
              <w:top w:w="100" w:type="dxa"/>
              <w:left w:w="180" w:type="dxa"/>
              <w:bottom w:w="100" w:type="dxa"/>
              <w:right w:w="180" w:type="dxa"/>
            </w:tcMar>
          </w:tcPr>
          <w:p w14:paraId="2C6AAC4F" w14:textId="77777777" w:rsidR="00F77E0C" w:rsidRDefault="00000000">
            <w:r>
              <w:rPr>
                <w:b/>
                <w:bCs/>
                <w:color w:val="FFFFFF"/>
                <w:sz w:val="24"/>
                <w:szCs w:val="24"/>
              </w:rPr>
              <w:lastRenderedPageBreak/>
              <w:t xml:space="preserve">Priority 2 — Short-Term   </w:t>
            </w:r>
            <w:r>
              <w:rPr>
                <w:i/>
                <w:iCs/>
                <w:color w:val="FEF9E7"/>
                <w:sz w:val="19"/>
                <w:szCs w:val="19"/>
              </w:rPr>
              <w:t>30 to 90 days   ·   Reduce the attack surface</w:t>
            </w:r>
          </w:p>
        </w:tc>
      </w:tr>
    </w:tbl>
    <w:p w14:paraId="114A0391" w14:textId="77777777" w:rsidR="00F77E0C" w:rsidRDefault="00F77E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F77E0C" w14:paraId="4422B739" w14:textId="77777777">
        <w:tblPrEx>
          <w:tblCellMar>
            <w:top w:w="0" w:type="dxa"/>
            <w:bottom w:w="0" w:type="dxa"/>
          </w:tblCellMar>
        </w:tblPrEx>
        <w:tc>
          <w:tcPr>
            <w:tcW w:w="680" w:type="dxa"/>
            <w:vMerge w:val="restart"/>
            <w:tcBorders>
              <w:top w:val="single" w:sz="1" w:space="0" w:color="B7770D"/>
              <w:left w:val="single" w:sz="1" w:space="0" w:color="B7770D"/>
              <w:bottom w:val="single" w:sz="1" w:space="0" w:color="B7770D"/>
              <w:right w:val="single" w:sz="1" w:space="0" w:color="B7770D"/>
            </w:tcBorders>
            <w:shd w:val="clear" w:color="auto" w:fill="B7770D"/>
            <w:tcMar>
              <w:top w:w="80" w:type="dxa"/>
              <w:left w:w="80" w:type="dxa"/>
              <w:bottom w:w="80" w:type="dxa"/>
              <w:right w:w="80" w:type="dxa"/>
            </w:tcMar>
            <w:vAlign w:val="center"/>
          </w:tcPr>
          <w:p w14:paraId="5F7795C9" w14:textId="77777777" w:rsidR="00F77E0C" w:rsidRDefault="00000000">
            <w:pPr>
              <w:spacing w:after="30"/>
              <w:jc w:val="center"/>
            </w:pPr>
            <w:r>
              <w:rPr>
                <w:b/>
                <w:bCs/>
                <w:color w:val="FFFFFF"/>
                <w:sz w:val="22"/>
                <w:szCs w:val="22"/>
              </w:rPr>
              <w:t>R-04</w:t>
            </w:r>
          </w:p>
        </w:tc>
        <w:tc>
          <w:tcPr>
            <w:tcW w:w="8680" w:type="dxa"/>
            <w:tcBorders>
              <w:top w:val="single" w:sz="2" w:space="0" w:color="B7770D"/>
              <w:left w:val="none" w:sz="0" w:space="0" w:color="FFFFFF"/>
              <w:bottom w:val="single" w:sz="1" w:space="0" w:color="F9E79F"/>
              <w:right w:val="single" w:sz="1" w:space="0" w:color="B7770D"/>
            </w:tcBorders>
            <w:shd w:val="clear" w:color="auto" w:fill="FEF9E7"/>
            <w:tcMar>
              <w:top w:w="80" w:type="dxa"/>
              <w:left w:w="140" w:type="dxa"/>
              <w:bottom w:w="80" w:type="dxa"/>
              <w:right w:w="140" w:type="dxa"/>
            </w:tcMar>
          </w:tcPr>
          <w:p w14:paraId="09BA1E22" w14:textId="77777777" w:rsidR="00F77E0C" w:rsidRDefault="00000000">
            <w:r>
              <w:rPr>
                <w:b/>
                <w:bCs/>
                <w:color w:val="1B2631"/>
                <w:sz w:val="21"/>
                <w:szCs w:val="21"/>
              </w:rPr>
              <w:t>Deploy EDR across all endpoints</w:t>
            </w:r>
          </w:p>
        </w:tc>
      </w:tr>
      <w:tr w:rsidR="00F77E0C" w14:paraId="7E5F8FD4" w14:textId="77777777">
        <w:tblPrEx>
          <w:tblCellMar>
            <w:top w:w="0" w:type="dxa"/>
            <w:bottom w:w="0" w:type="dxa"/>
          </w:tblCellMar>
        </w:tblPrEx>
        <w:tc>
          <w:tcPr>
            <w:tcW w:w="0" w:type="auto"/>
            <w:vMerge/>
            <w:tcBorders>
              <w:top w:val="single" w:sz="1" w:space="0" w:color="B7770D"/>
              <w:left w:val="single" w:sz="1" w:space="0" w:color="B7770D"/>
              <w:bottom w:val="single" w:sz="1" w:space="0" w:color="B7770D"/>
              <w:right w:val="single" w:sz="1" w:space="0" w:color="B7770D"/>
            </w:tcBorders>
          </w:tcPr>
          <w:p w14:paraId="02DBDA61" w14:textId="77777777" w:rsidR="00F77E0C" w:rsidRDefault="00F77E0C"/>
        </w:tc>
        <w:tc>
          <w:tcPr>
            <w:tcW w:w="8680" w:type="dxa"/>
            <w:tcBorders>
              <w:top w:val="none" w:sz="0" w:space="0" w:color="FFFFFF"/>
              <w:left w:val="none" w:sz="0" w:space="0" w:color="FFFFFF"/>
              <w:bottom w:val="none" w:sz="0" w:space="0" w:color="FFFFFF"/>
              <w:right w:val="single" w:sz="1" w:space="0" w:color="B7770D"/>
            </w:tcBorders>
            <w:shd w:val="clear" w:color="auto" w:fill="FFFFFF"/>
            <w:tcMar>
              <w:top w:w="80" w:type="dxa"/>
              <w:left w:w="140" w:type="dxa"/>
              <w:bottom w:w="80" w:type="dxa"/>
              <w:right w:w="140" w:type="dxa"/>
            </w:tcMar>
          </w:tcPr>
          <w:p w14:paraId="47557874" w14:textId="77777777" w:rsidR="00F77E0C" w:rsidRDefault="00000000">
            <w:pPr>
              <w:spacing w:after="40"/>
            </w:pPr>
            <w:r>
              <w:rPr>
                <w:b/>
                <w:bCs/>
                <w:color w:val="B7770D"/>
                <w:sz w:val="18"/>
                <w:szCs w:val="18"/>
              </w:rPr>
              <w:t xml:space="preserve">Risk addressed:  </w:t>
            </w:r>
            <w:r>
              <w:rPr>
                <w:sz w:val="18"/>
                <w:szCs w:val="18"/>
              </w:rPr>
              <w:t>Malware execution, C2 beaconing, and lateral movement currently undetected on endpoints</w:t>
            </w:r>
          </w:p>
          <w:p w14:paraId="34FAE358" w14:textId="77777777" w:rsidR="00F77E0C" w:rsidRDefault="00000000">
            <w:pPr>
              <w:spacing w:after="40"/>
            </w:pPr>
            <w:r>
              <w:rPr>
                <w:b/>
                <w:bCs/>
                <w:color w:val="B7770D"/>
                <w:sz w:val="18"/>
                <w:szCs w:val="18"/>
              </w:rPr>
              <w:t xml:space="preserve">What to expect:  </w:t>
            </w:r>
            <w:r>
              <w:rPr>
                <w:sz w:val="18"/>
                <w:szCs w:val="18"/>
              </w:rPr>
              <w:t>Behavioural detection on every machine. Future compromise attempts surface within minutes rather than months.</w:t>
            </w:r>
          </w:p>
          <w:p w14:paraId="17F07259" w14:textId="77777777" w:rsidR="00F77E0C" w:rsidRDefault="00000000">
            <w:pPr>
              <w:spacing w:before="30"/>
            </w:pPr>
            <w:r>
              <w:rPr>
                <w:i/>
                <w:iCs/>
                <w:sz w:val="19"/>
                <w:szCs w:val="19"/>
              </w:rPr>
              <w:t>The workstation at 10.1.21.58 had been beaconing for long enough to conduct significant internal reconnaissance before it was caught — not by an endpoint tool, but by network traffic analysis. EDR closes that gap.</w:t>
            </w:r>
          </w:p>
        </w:tc>
      </w:tr>
      <w:tr w:rsidR="00F77E0C" w14:paraId="599E627A" w14:textId="77777777">
        <w:tblPrEx>
          <w:tblCellMar>
            <w:top w:w="0" w:type="dxa"/>
            <w:bottom w:w="0" w:type="dxa"/>
          </w:tblCellMar>
        </w:tblPrEx>
        <w:tc>
          <w:tcPr>
            <w:tcW w:w="0" w:type="auto"/>
            <w:vMerge/>
            <w:tcBorders>
              <w:top w:val="single" w:sz="1" w:space="0" w:color="B7770D"/>
              <w:left w:val="single" w:sz="1" w:space="0" w:color="B7770D"/>
              <w:bottom w:val="single" w:sz="1" w:space="0" w:color="B7770D"/>
              <w:right w:val="single" w:sz="1" w:space="0" w:color="B7770D"/>
            </w:tcBorders>
          </w:tcPr>
          <w:p w14:paraId="331DAD81" w14:textId="77777777" w:rsidR="00F77E0C" w:rsidRDefault="00F77E0C"/>
        </w:tc>
        <w:tc>
          <w:tcPr>
            <w:tcW w:w="8680" w:type="dxa"/>
            <w:tcBorders>
              <w:top w:val="none" w:sz="0" w:space="0" w:color="FFFFFF"/>
              <w:left w:val="none" w:sz="0" w:space="0" w:color="FFFFFF"/>
              <w:bottom w:val="single" w:sz="2" w:space="0" w:color="B7770D"/>
              <w:right w:val="single" w:sz="1" w:space="0" w:color="B7770D"/>
            </w:tcBorders>
            <w:shd w:val="clear" w:color="auto" w:fill="FEF9E7"/>
            <w:tcMar>
              <w:top w:w="50" w:type="dxa"/>
              <w:left w:w="140" w:type="dxa"/>
              <w:bottom w:w="50" w:type="dxa"/>
              <w:right w:w="140" w:type="dxa"/>
            </w:tcMar>
          </w:tcPr>
          <w:p w14:paraId="14960083" w14:textId="77777777" w:rsidR="00F77E0C" w:rsidRDefault="00F77E0C"/>
        </w:tc>
      </w:tr>
    </w:tbl>
    <w:p w14:paraId="2C34C7B3" w14:textId="77777777" w:rsidR="00F77E0C" w:rsidRDefault="00F77E0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F77E0C" w14:paraId="63E82FB3" w14:textId="77777777">
        <w:tblPrEx>
          <w:tblCellMar>
            <w:top w:w="0" w:type="dxa"/>
            <w:bottom w:w="0" w:type="dxa"/>
          </w:tblCellMar>
        </w:tblPrEx>
        <w:tc>
          <w:tcPr>
            <w:tcW w:w="680" w:type="dxa"/>
            <w:vMerge w:val="restart"/>
            <w:tcBorders>
              <w:top w:val="single" w:sz="1" w:space="0" w:color="B7770D"/>
              <w:left w:val="single" w:sz="1" w:space="0" w:color="B7770D"/>
              <w:bottom w:val="single" w:sz="1" w:space="0" w:color="B7770D"/>
              <w:right w:val="single" w:sz="1" w:space="0" w:color="B7770D"/>
            </w:tcBorders>
            <w:shd w:val="clear" w:color="auto" w:fill="B7770D"/>
            <w:tcMar>
              <w:top w:w="80" w:type="dxa"/>
              <w:left w:w="80" w:type="dxa"/>
              <w:bottom w:w="80" w:type="dxa"/>
              <w:right w:w="80" w:type="dxa"/>
            </w:tcMar>
            <w:vAlign w:val="center"/>
          </w:tcPr>
          <w:p w14:paraId="7FDDEEA6" w14:textId="77777777" w:rsidR="00F77E0C" w:rsidRDefault="00000000">
            <w:pPr>
              <w:spacing w:after="30"/>
              <w:jc w:val="center"/>
            </w:pPr>
            <w:r>
              <w:rPr>
                <w:b/>
                <w:bCs/>
                <w:color w:val="FFFFFF"/>
                <w:sz w:val="22"/>
                <w:szCs w:val="22"/>
              </w:rPr>
              <w:t>R-05</w:t>
            </w:r>
          </w:p>
        </w:tc>
        <w:tc>
          <w:tcPr>
            <w:tcW w:w="8680" w:type="dxa"/>
            <w:tcBorders>
              <w:top w:val="single" w:sz="2" w:space="0" w:color="B7770D"/>
              <w:left w:val="none" w:sz="0" w:space="0" w:color="FFFFFF"/>
              <w:bottom w:val="single" w:sz="1" w:space="0" w:color="F9E79F"/>
              <w:right w:val="single" w:sz="1" w:space="0" w:color="B7770D"/>
            </w:tcBorders>
            <w:shd w:val="clear" w:color="auto" w:fill="FEF9E7"/>
            <w:tcMar>
              <w:top w:w="80" w:type="dxa"/>
              <w:left w:w="140" w:type="dxa"/>
              <w:bottom w:w="80" w:type="dxa"/>
              <w:right w:w="140" w:type="dxa"/>
            </w:tcMar>
          </w:tcPr>
          <w:p w14:paraId="0019413B" w14:textId="77777777" w:rsidR="00F77E0C" w:rsidRDefault="00000000">
            <w:r>
              <w:rPr>
                <w:b/>
                <w:bCs/>
                <w:color w:val="1B2631"/>
                <w:sz w:val="21"/>
                <w:szCs w:val="21"/>
              </w:rPr>
              <w:t>Restrict SMB access between workstations and servers</w:t>
            </w:r>
          </w:p>
        </w:tc>
      </w:tr>
      <w:tr w:rsidR="00F77E0C" w14:paraId="63C236E2" w14:textId="77777777">
        <w:tblPrEx>
          <w:tblCellMar>
            <w:top w:w="0" w:type="dxa"/>
            <w:bottom w:w="0" w:type="dxa"/>
          </w:tblCellMar>
        </w:tblPrEx>
        <w:tc>
          <w:tcPr>
            <w:tcW w:w="0" w:type="auto"/>
            <w:vMerge/>
            <w:tcBorders>
              <w:top w:val="single" w:sz="1" w:space="0" w:color="B7770D"/>
              <w:left w:val="single" w:sz="1" w:space="0" w:color="B7770D"/>
              <w:bottom w:val="single" w:sz="1" w:space="0" w:color="B7770D"/>
              <w:right w:val="single" w:sz="1" w:space="0" w:color="B7770D"/>
            </w:tcBorders>
          </w:tcPr>
          <w:p w14:paraId="5D7AD9DE" w14:textId="77777777" w:rsidR="00F77E0C" w:rsidRDefault="00F77E0C"/>
        </w:tc>
        <w:tc>
          <w:tcPr>
            <w:tcW w:w="8680" w:type="dxa"/>
            <w:tcBorders>
              <w:top w:val="none" w:sz="0" w:space="0" w:color="FFFFFF"/>
              <w:left w:val="none" w:sz="0" w:space="0" w:color="FFFFFF"/>
              <w:bottom w:val="none" w:sz="0" w:space="0" w:color="FFFFFF"/>
              <w:right w:val="single" w:sz="1" w:space="0" w:color="B7770D"/>
            </w:tcBorders>
            <w:shd w:val="clear" w:color="auto" w:fill="FFFFFF"/>
            <w:tcMar>
              <w:top w:w="80" w:type="dxa"/>
              <w:left w:w="140" w:type="dxa"/>
              <w:bottom w:w="80" w:type="dxa"/>
              <w:right w:w="140" w:type="dxa"/>
            </w:tcMar>
          </w:tcPr>
          <w:p w14:paraId="4D04FA15" w14:textId="77777777" w:rsidR="00F77E0C" w:rsidRDefault="00000000">
            <w:pPr>
              <w:spacing w:after="40"/>
            </w:pPr>
            <w:r>
              <w:rPr>
                <w:b/>
                <w:bCs/>
                <w:color w:val="B7770D"/>
                <w:sz w:val="18"/>
                <w:szCs w:val="18"/>
              </w:rPr>
              <w:t xml:space="preserve">Risk addressed:  </w:t>
            </w:r>
            <w:r>
              <w:rPr>
                <w:sz w:val="18"/>
                <w:szCs w:val="18"/>
              </w:rPr>
              <w:t>LSARPC and SAMR enumeration from a workstation directly to internal servers — 7,000+ frames observed</w:t>
            </w:r>
          </w:p>
          <w:p w14:paraId="52FAC8B3" w14:textId="77777777" w:rsidR="00F77E0C" w:rsidRDefault="00000000">
            <w:pPr>
              <w:spacing w:after="40"/>
            </w:pPr>
            <w:r>
              <w:rPr>
                <w:b/>
                <w:bCs/>
                <w:color w:val="B7770D"/>
                <w:sz w:val="18"/>
                <w:szCs w:val="18"/>
              </w:rPr>
              <w:t xml:space="preserve">What to expect:  </w:t>
            </w:r>
            <w:r>
              <w:rPr>
                <w:sz w:val="18"/>
                <w:szCs w:val="18"/>
              </w:rPr>
              <w:t>Lateral movement and account enumeration from compromised endpoints becomes significantly harder.</w:t>
            </w:r>
          </w:p>
          <w:p w14:paraId="79F26965" w14:textId="77777777" w:rsidR="00F77E0C" w:rsidRDefault="00000000">
            <w:pPr>
              <w:spacing w:before="30"/>
            </w:pPr>
            <w:r>
              <w:rPr>
                <w:i/>
                <w:iCs/>
                <w:sz w:val="19"/>
                <w:szCs w:val="19"/>
              </w:rPr>
              <w:t>A standard user workstation has no legitimate reason to run SAMR queries against a domain controller. A host-based firewall rule blocking port 445 between the workstation VLAN and server VLAN would have stopped the reconnaissance phase entirely.</w:t>
            </w:r>
          </w:p>
        </w:tc>
      </w:tr>
      <w:tr w:rsidR="00F77E0C" w14:paraId="22376D0C" w14:textId="77777777">
        <w:tblPrEx>
          <w:tblCellMar>
            <w:top w:w="0" w:type="dxa"/>
            <w:bottom w:w="0" w:type="dxa"/>
          </w:tblCellMar>
        </w:tblPrEx>
        <w:tc>
          <w:tcPr>
            <w:tcW w:w="0" w:type="auto"/>
            <w:vMerge/>
            <w:tcBorders>
              <w:top w:val="single" w:sz="1" w:space="0" w:color="B7770D"/>
              <w:left w:val="single" w:sz="1" w:space="0" w:color="B7770D"/>
              <w:bottom w:val="single" w:sz="1" w:space="0" w:color="B7770D"/>
              <w:right w:val="single" w:sz="1" w:space="0" w:color="B7770D"/>
            </w:tcBorders>
          </w:tcPr>
          <w:p w14:paraId="2CC06B39" w14:textId="77777777" w:rsidR="00F77E0C" w:rsidRDefault="00F77E0C"/>
        </w:tc>
        <w:tc>
          <w:tcPr>
            <w:tcW w:w="8680" w:type="dxa"/>
            <w:tcBorders>
              <w:top w:val="none" w:sz="0" w:space="0" w:color="FFFFFF"/>
              <w:left w:val="none" w:sz="0" w:space="0" w:color="FFFFFF"/>
              <w:bottom w:val="single" w:sz="2" w:space="0" w:color="B7770D"/>
              <w:right w:val="single" w:sz="1" w:space="0" w:color="B7770D"/>
            </w:tcBorders>
            <w:shd w:val="clear" w:color="auto" w:fill="FEF9E7"/>
            <w:tcMar>
              <w:top w:w="50" w:type="dxa"/>
              <w:left w:w="140" w:type="dxa"/>
              <w:bottom w:w="50" w:type="dxa"/>
              <w:right w:w="140" w:type="dxa"/>
            </w:tcMar>
          </w:tcPr>
          <w:p w14:paraId="6CDE2B7E" w14:textId="77777777" w:rsidR="00F77E0C" w:rsidRDefault="00F77E0C"/>
        </w:tc>
      </w:tr>
    </w:tbl>
    <w:p w14:paraId="435F2AF8" w14:textId="77777777" w:rsidR="00F77E0C" w:rsidRDefault="00F77E0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F77E0C" w14:paraId="10F5B8DA" w14:textId="77777777">
        <w:tblPrEx>
          <w:tblCellMar>
            <w:top w:w="0" w:type="dxa"/>
            <w:bottom w:w="0" w:type="dxa"/>
          </w:tblCellMar>
        </w:tblPrEx>
        <w:tc>
          <w:tcPr>
            <w:tcW w:w="680" w:type="dxa"/>
            <w:vMerge w:val="restart"/>
            <w:tcBorders>
              <w:top w:val="single" w:sz="1" w:space="0" w:color="B7770D"/>
              <w:left w:val="single" w:sz="1" w:space="0" w:color="B7770D"/>
              <w:bottom w:val="single" w:sz="1" w:space="0" w:color="B7770D"/>
              <w:right w:val="single" w:sz="1" w:space="0" w:color="B7770D"/>
            </w:tcBorders>
            <w:shd w:val="clear" w:color="auto" w:fill="B7770D"/>
            <w:tcMar>
              <w:top w:w="80" w:type="dxa"/>
              <w:left w:w="80" w:type="dxa"/>
              <w:bottom w:w="80" w:type="dxa"/>
              <w:right w:w="80" w:type="dxa"/>
            </w:tcMar>
            <w:vAlign w:val="center"/>
          </w:tcPr>
          <w:p w14:paraId="35003C1E" w14:textId="77777777" w:rsidR="00F77E0C" w:rsidRDefault="00000000">
            <w:pPr>
              <w:spacing w:after="30"/>
              <w:jc w:val="center"/>
            </w:pPr>
            <w:r>
              <w:rPr>
                <w:b/>
                <w:bCs/>
                <w:color w:val="FFFFFF"/>
                <w:sz w:val="22"/>
                <w:szCs w:val="22"/>
              </w:rPr>
              <w:t>R-06</w:t>
            </w:r>
          </w:p>
        </w:tc>
        <w:tc>
          <w:tcPr>
            <w:tcW w:w="8680" w:type="dxa"/>
            <w:tcBorders>
              <w:top w:val="single" w:sz="2" w:space="0" w:color="B7770D"/>
              <w:left w:val="none" w:sz="0" w:space="0" w:color="FFFFFF"/>
              <w:bottom w:val="single" w:sz="1" w:space="0" w:color="F9E79F"/>
              <w:right w:val="single" w:sz="1" w:space="0" w:color="B7770D"/>
            </w:tcBorders>
            <w:shd w:val="clear" w:color="auto" w:fill="FEF9E7"/>
            <w:tcMar>
              <w:top w:w="80" w:type="dxa"/>
              <w:left w:w="140" w:type="dxa"/>
              <w:bottom w:w="80" w:type="dxa"/>
              <w:right w:w="140" w:type="dxa"/>
            </w:tcMar>
          </w:tcPr>
          <w:p w14:paraId="650F2470" w14:textId="77777777" w:rsidR="00F77E0C" w:rsidRDefault="00000000">
            <w:r>
              <w:rPr>
                <w:b/>
                <w:bCs/>
                <w:color w:val="1B2631"/>
                <w:sz w:val="21"/>
                <w:szCs w:val="21"/>
              </w:rPr>
              <w:t>Roll out multi-factor authentication across all accounts</w:t>
            </w:r>
          </w:p>
        </w:tc>
      </w:tr>
      <w:tr w:rsidR="00F77E0C" w14:paraId="1E052E16" w14:textId="77777777">
        <w:tblPrEx>
          <w:tblCellMar>
            <w:top w:w="0" w:type="dxa"/>
            <w:bottom w:w="0" w:type="dxa"/>
          </w:tblCellMar>
        </w:tblPrEx>
        <w:tc>
          <w:tcPr>
            <w:tcW w:w="0" w:type="auto"/>
            <w:vMerge/>
            <w:tcBorders>
              <w:top w:val="single" w:sz="1" w:space="0" w:color="B7770D"/>
              <w:left w:val="single" w:sz="1" w:space="0" w:color="B7770D"/>
              <w:bottom w:val="single" w:sz="1" w:space="0" w:color="B7770D"/>
              <w:right w:val="single" w:sz="1" w:space="0" w:color="B7770D"/>
            </w:tcBorders>
          </w:tcPr>
          <w:p w14:paraId="3DC146B5" w14:textId="77777777" w:rsidR="00F77E0C" w:rsidRDefault="00F77E0C"/>
        </w:tc>
        <w:tc>
          <w:tcPr>
            <w:tcW w:w="8680" w:type="dxa"/>
            <w:tcBorders>
              <w:top w:val="none" w:sz="0" w:space="0" w:color="FFFFFF"/>
              <w:left w:val="none" w:sz="0" w:space="0" w:color="FFFFFF"/>
              <w:bottom w:val="none" w:sz="0" w:space="0" w:color="FFFFFF"/>
              <w:right w:val="single" w:sz="1" w:space="0" w:color="B7770D"/>
            </w:tcBorders>
            <w:shd w:val="clear" w:color="auto" w:fill="FFFFFF"/>
            <w:tcMar>
              <w:top w:w="80" w:type="dxa"/>
              <w:left w:w="140" w:type="dxa"/>
              <w:bottom w:w="80" w:type="dxa"/>
              <w:right w:w="140" w:type="dxa"/>
            </w:tcMar>
          </w:tcPr>
          <w:p w14:paraId="3AC25A7B" w14:textId="77777777" w:rsidR="00F77E0C" w:rsidRDefault="00000000">
            <w:pPr>
              <w:spacing w:after="40"/>
            </w:pPr>
            <w:r>
              <w:rPr>
                <w:b/>
                <w:bCs/>
                <w:color w:val="B7770D"/>
                <w:sz w:val="18"/>
                <w:szCs w:val="18"/>
              </w:rPr>
              <w:t xml:space="preserve">Risk addressed:  </w:t>
            </w:r>
            <w:r>
              <w:rPr>
                <w:sz w:val="18"/>
                <w:szCs w:val="18"/>
              </w:rPr>
              <w:t>AD credentials exposed via enumeration; customer portal authentication susceptible to bypass</w:t>
            </w:r>
          </w:p>
          <w:p w14:paraId="4D15FA86" w14:textId="77777777" w:rsidR="00F77E0C" w:rsidRDefault="00000000">
            <w:pPr>
              <w:spacing w:after="40"/>
            </w:pPr>
            <w:r>
              <w:rPr>
                <w:b/>
                <w:bCs/>
                <w:color w:val="B7770D"/>
                <w:sz w:val="18"/>
                <w:szCs w:val="18"/>
              </w:rPr>
              <w:t xml:space="preserve">What to expect:  </w:t>
            </w:r>
            <w:r>
              <w:rPr>
                <w:sz w:val="18"/>
                <w:szCs w:val="18"/>
              </w:rPr>
              <w:t>Stolen credentials alone become insufficient to gain access to any account.</w:t>
            </w:r>
          </w:p>
          <w:p w14:paraId="5F38B85A" w14:textId="77777777" w:rsidR="00F77E0C" w:rsidRDefault="00000000">
            <w:pPr>
              <w:spacing w:before="30"/>
            </w:pPr>
            <w:r>
              <w:rPr>
                <w:i/>
                <w:iCs/>
                <w:sz w:val="19"/>
                <w:szCs w:val="19"/>
              </w:rPr>
              <w:t>Start with privileged accounts and the customer portal — these are highest-value targets. Extend to all staff accounts within the 90-day window. FIDO2 / hardware tokens for domain administrators; TOTP or push-based for everyone else.</w:t>
            </w:r>
          </w:p>
        </w:tc>
      </w:tr>
      <w:tr w:rsidR="00F77E0C" w14:paraId="2BC34B10" w14:textId="77777777">
        <w:tblPrEx>
          <w:tblCellMar>
            <w:top w:w="0" w:type="dxa"/>
            <w:bottom w:w="0" w:type="dxa"/>
          </w:tblCellMar>
        </w:tblPrEx>
        <w:tc>
          <w:tcPr>
            <w:tcW w:w="0" w:type="auto"/>
            <w:vMerge/>
            <w:tcBorders>
              <w:top w:val="single" w:sz="1" w:space="0" w:color="B7770D"/>
              <w:left w:val="single" w:sz="1" w:space="0" w:color="B7770D"/>
              <w:bottom w:val="single" w:sz="1" w:space="0" w:color="B7770D"/>
              <w:right w:val="single" w:sz="1" w:space="0" w:color="B7770D"/>
            </w:tcBorders>
          </w:tcPr>
          <w:p w14:paraId="47C5D038" w14:textId="77777777" w:rsidR="00F77E0C" w:rsidRDefault="00F77E0C"/>
        </w:tc>
        <w:tc>
          <w:tcPr>
            <w:tcW w:w="8680" w:type="dxa"/>
            <w:tcBorders>
              <w:top w:val="none" w:sz="0" w:space="0" w:color="FFFFFF"/>
              <w:left w:val="none" w:sz="0" w:space="0" w:color="FFFFFF"/>
              <w:bottom w:val="single" w:sz="2" w:space="0" w:color="B7770D"/>
              <w:right w:val="single" w:sz="1" w:space="0" w:color="B7770D"/>
            </w:tcBorders>
            <w:shd w:val="clear" w:color="auto" w:fill="FEF9E7"/>
            <w:tcMar>
              <w:top w:w="50" w:type="dxa"/>
              <w:left w:w="140" w:type="dxa"/>
              <w:bottom w:w="50" w:type="dxa"/>
              <w:right w:w="140" w:type="dxa"/>
            </w:tcMar>
          </w:tcPr>
          <w:p w14:paraId="0AD1C01A" w14:textId="77777777" w:rsidR="00F77E0C" w:rsidRDefault="00F77E0C"/>
        </w:tc>
      </w:tr>
    </w:tbl>
    <w:p w14:paraId="7E235F54" w14:textId="77777777" w:rsidR="00F77E0C" w:rsidRDefault="00F77E0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F77E0C" w14:paraId="5CDB381B" w14:textId="77777777">
        <w:tblPrEx>
          <w:tblCellMar>
            <w:top w:w="0" w:type="dxa"/>
            <w:bottom w:w="0" w:type="dxa"/>
          </w:tblCellMar>
        </w:tblPrEx>
        <w:tc>
          <w:tcPr>
            <w:tcW w:w="680" w:type="dxa"/>
            <w:vMerge w:val="restart"/>
            <w:tcBorders>
              <w:top w:val="single" w:sz="1" w:space="0" w:color="B7770D"/>
              <w:left w:val="single" w:sz="1" w:space="0" w:color="B7770D"/>
              <w:bottom w:val="single" w:sz="1" w:space="0" w:color="B7770D"/>
              <w:right w:val="single" w:sz="1" w:space="0" w:color="B7770D"/>
            </w:tcBorders>
            <w:shd w:val="clear" w:color="auto" w:fill="B7770D"/>
            <w:tcMar>
              <w:top w:w="80" w:type="dxa"/>
              <w:left w:w="80" w:type="dxa"/>
              <w:bottom w:w="80" w:type="dxa"/>
              <w:right w:w="80" w:type="dxa"/>
            </w:tcMar>
            <w:vAlign w:val="center"/>
          </w:tcPr>
          <w:p w14:paraId="2E0D1466" w14:textId="77777777" w:rsidR="00F77E0C" w:rsidRDefault="00000000">
            <w:pPr>
              <w:spacing w:after="30"/>
              <w:jc w:val="center"/>
            </w:pPr>
            <w:r>
              <w:rPr>
                <w:b/>
                <w:bCs/>
                <w:color w:val="FFFFFF"/>
                <w:sz w:val="22"/>
                <w:szCs w:val="22"/>
              </w:rPr>
              <w:t>R-07</w:t>
            </w:r>
          </w:p>
        </w:tc>
        <w:tc>
          <w:tcPr>
            <w:tcW w:w="8680" w:type="dxa"/>
            <w:tcBorders>
              <w:top w:val="single" w:sz="2" w:space="0" w:color="B7770D"/>
              <w:left w:val="none" w:sz="0" w:space="0" w:color="FFFFFF"/>
              <w:bottom w:val="single" w:sz="1" w:space="0" w:color="F9E79F"/>
              <w:right w:val="single" w:sz="1" w:space="0" w:color="B7770D"/>
            </w:tcBorders>
            <w:shd w:val="clear" w:color="auto" w:fill="FEF9E7"/>
            <w:tcMar>
              <w:top w:w="80" w:type="dxa"/>
              <w:left w:w="140" w:type="dxa"/>
              <w:bottom w:w="80" w:type="dxa"/>
              <w:right w:w="140" w:type="dxa"/>
            </w:tcMar>
          </w:tcPr>
          <w:p w14:paraId="46D462B3" w14:textId="77777777" w:rsidR="00F77E0C" w:rsidRDefault="00000000">
            <w:r>
              <w:rPr>
                <w:b/>
                <w:bCs/>
                <w:color w:val="1B2631"/>
                <w:sz w:val="21"/>
                <w:szCs w:val="21"/>
              </w:rPr>
              <w:t>Remediate remaining web application findings</w:t>
            </w:r>
          </w:p>
        </w:tc>
      </w:tr>
      <w:tr w:rsidR="00F77E0C" w14:paraId="2E9CFBD5" w14:textId="77777777">
        <w:tblPrEx>
          <w:tblCellMar>
            <w:top w:w="0" w:type="dxa"/>
            <w:bottom w:w="0" w:type="dxa"/>
          </w:tblCellMar>
        </w:tblPrEx>
        <w:tc>
          <w:tcPr>
            <w:tcW w:w="0" w:type="auto"/>
            <w:vMerge/>
            <w:tcBorders>
              <w:top w:val="single" w:sz="1" w:space="0" w:color="B7770D"/>
              <w:left w:val="single" w:sz="1" w:space="0" w:color="B7770D"/>
              <w:bottom w:val="single" w:sz="1" w:space="0" w:color="B7770D"/>
              <w:right w:val="single" w:sz="1" w:space="0" w:color="B7770D"/>
            </w:tcBorders>
          </w:tcPr>
          <w:p w14:paraId="61043DCC" w14:textId="77777777" w:rsidR="00F77E0C" w:rsidRDefault="00F77E0C"/>
        </w:tc>
        <w:tc>
          <w:tcPr>
            <w:tcW w:w="8680" w:type="dxa"/>
            <w:tcBorders>
              <w:top w:val="none" w:sz="0" w:space="0" w:color="FFFFFF"/>
              <w:left w:val="none" w:sz="0" w:space="0" w:color="FFFFFF"/>
              <w:bottom w:val="none" w:sz="0" w:space="0" w:color="FFFFFF"/>
              <w:right w:val="single" w:sz="1" w:space="0" w:color="B7770D"/>
            </w:tcBorders>
            <w:shd w:val="clear" w:color="auto" w:fill="FFFFFF"/>
            <w:tcMar>
              <w:top w:w="80" w:type="dxa"/>
              <w:left w:w="140" w:type="dxa"/>
              <w:bottom w:w="80" w:type="dxa"/>
              <w:right w:w="140" w:type="dxa"/>
            </w:tcMar>
          </w:tcPr>
          <w:p w14:paraId="7AC39AB7" w14:textId="77777777" w:rsidR="00F77E0C" w:rsidRDefault="00000000">
            <w:pPr>
              <w:spacing w:after="40"/>
            </w:pPr>
            <w:r>
              <w:rPr>
                <w:b/>
                <w:bCs/>
                <w:color w:val="B7770D"/>
                <w:sz w:val="18"/>
                <w:szCs w:val="18"/>
              </w:rPr>
              <w:t xml:space="preserve">Risk addressed:  </w:t>
            </w:r>
            <w:r>
              <w:rPr>
                <w:sz w:val="18"/>
                <w:szCs w:val="18"/>
              </w:rPr>
              <w:t>F-02 (XSS), F-04 (File Upload Abuse), F-05 (IDOR) — session theft, RCE, and customer data exposure</w:t>
            </w:r>
          </w:p>
          <w:p w14:paraId="3D1355FE" w14:textId="77777777" w:rsidR="00F77E0C" w:rsidRDefault="00000000">
            <w:pPr>
              <w:spacing w:after="40"/>
            </w:pPr>
            <w:r>
              <w:rPr>
                <w:b/>
                <w:bCs/>
                <w:color w:val="B7770D"/>
                <w:sz w:val="18"/>
                <w:szCs w:val="18"/>
              </w:rPr>
              <w:t xml:space="preserve">What to expect:  </w:t>
            </w:r>
            <w:r>
              <w:rPr>
                <w:sz w:val="18"/>
                <w:szCs w:val="18"/>
              </w:rPr>
              <w:t>Full OWASP Top 10 coverage addressed. Customer portal no longer exploitable via web application attack chain.</w:t>
            </w:r>
          </w:p>
          <w:p w14:paraId="29D6C053" w14:textId="77777777" w:rsidR="00F77E0C" w:rsidRDefault="00000000">
            <w:pPr>
              <w:spacing w:before="30"/>
            </w:pPr>
            <w:r>
              <w:rPr>
                <w:i/>
                <w:iCs/>
                <w:sz w:val="19"/>
                <w:szCs w:val="19"/>
              </w:rPr>
              <w:t>XSS and IDOR are customer-facing risks that need fixing before the next penetration test. Unrestricted file upload is a route to remote code execution — restrict accepted file types, scan uploads, and store them outside the web root.</w:t>
            </w:r>
          </w:p>
        </w:tc>
      </w:tr>
      <w:tr w:rsidR="00F77E0C" w14:paraId="240FA73E" w14:textId="77777777">
        <w:tblPrEx>
          <w:tblCellMar>
            <w:top w:w="0" w:type="dxa"/>
            <w:bottom w:w="0" w:type="dxa"/>
          </w:tblCellMar>
        </w:tblPrEx>
        <w:tc>
          <w:tcPr>
            <w:tcW w:w="0" w:type="auto"/>
            <w:vMerge/>
            <w:tcBorders>
              <w:top w:val="single" w:sz="1" w:space="0" w:color="B7770D"/>
              <w:left w:val="single" w:sz="1" w:space="0" w:color="B7770D"/>
              <w:bottom w:val="single" w:sz="1" w:space="0" w:color="B7770D"/>
              <w:right w:val="single" w:sz="1" w:space="0" w:color="B7770D"/>
            </w:tcBorders>
          </w:tcPr>
          <w:p w14:paraId="5775DF63" w14:textId="77777777" w:rsidR="00F77E0C" w:rsidRDefault="00F77E0C"/>
        </w:tc>
        <w:tc>
          <w:tcPr>
            <w:tcW w:w="8680" w:type="dxa"/>
            <w:tcBorders>
              <w:top w:val="none" w:sz="0" w:space="0" w:color="FFFFFF"/>
              <w:left w:val="none" w:sz="0" w:space="0" w:color="FFFFFF"/>
              <w:bottom w:val="single" w:sz="2" w:space="0" w:color="B7770D"/>
              <w:right w:val="single" w:sz="1" w:space="0" w:color="B7770D"/>
            </w:tcBorders>
            <w:shd w:val="clear" w:color="auto" w:fill="FEF9E7"/>
            <w:tcMar>
              <w:top w:w="50" w:type="dxa"/>
              <w:left w:w="140" w:type="dxa"/>
              <w:bottom w:w="50" w:type="dxa"/>
              <w:right w:w="140" w:type="dxa"/>
            </w:tcMar>
          </w:tcPr>
          <w:p w14:paraId="6007BDF7" w14:textId="77777777" w:rsidR="00F77E0C" w:rsidRDefault="00F77E0C"/>
        </w:tc>
      </w:tr>
    </w:tbl>
    <w:p w14:paraId="078FA854" w14:textId="77777777" w:rsidR="00F77E0C" w:rsidRDefault="00F77E0C">
      <w:pPr>
        <w:spacing w:after="100"/>
      </w:pPr>
    </w:p>
    <w:p w14:paraId="38B41313" w14:textId="77777777" w:rsidR="00063584" w:rsidRDefault="00063584">
      <w:pPr>
        <w:spacing w:after="100"/>
      </w:pPr>
    </w:p>
    <w:p w14:paraId="69EF1178" w14:textId="77777777" w:rsidR="00063584" w:rsidRDefault="00063584">
      <w:pPr>
        <w:spacing w:after="100"/>
      </w:pPr>
    </w:p>
    <w:p w14:paraId="652D229D" w14:textId="77777777" w:rsidR="00063584" w:rsidRDefault="00063584">
      <w:pPr>
        <w:spacing w:after="100"/>
      </w:pPr>
    </w:p>
    <w:p w14:paraId="0142919E" w14:textId="77777777" w:rsidR="00063584" w:rsidRDefault="00063584">
      <w:pPr>
        <w:spacing w:after="100"/>
      </w:pPr>
    </w:p>
    <w:p w14:paraId="2C66B989" w14:textId="77777777" w:rsidR="00063584" w:rsidRDefault="00063584">
      <w:pPr>
        <w:spacing w:after="100"/>
      </w:pPr>
    </w:p>
    <w:p w14:paraId="23A4BED5" w14:textId="77777777" w:rsidR="00063584" w:rsidRDefault="000635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7E0C" w14:paraId="0BEB84DD" w14:textId="77777777">
        <w:tblPrEx>
          <w:tblCellMar>
            <w:top w:w="0" w:type="dxa"/>
            <w:bottom w:w="0" w:type="dxa"/>
          </w:tblCellMar>
        </w:tblPrEx>
        <w:tc>
          <w:tcPr>
            <w:tcW w:w="9360" w:type="dxa"/>
            <w:tcBorders>
              <w:top w:val="single" w:sz="2" w:space="0" w:color="1A5276"/>
              <w:left w:val="single" w:sz="2" w:space="0" w:color="1A5276"/>
              <w:bottom w:val="single" w:sz="2" w:space="0" w:color="1A5276"/>
              <w:right w:val="single" w:sz="2" w:space="0" w:color="1A5276"/>
            </w:tcBorders>
            <w:shd w:val="clear" w:color="auto" w:fill="1A5276"/>
            <w:tcMar>
              <w:top w:w="100" w:type="dxa"/>
              <w:left w:w="180" w:type="dxa"/>
              <w:bottom w:w="100" w:type="dxa"/>
              <w:right w:w="180" w:type="dxa"/>
            </w:tcMar>
          </w:tcPr>
          <w:p w14:paraId="2D3957D6" w14:textId="77777777" w:rsidR="00F77E0C" w:rsidRDefault="00000000">
            <w:r>
              <w:rPr>
                <w:b/>
                <w:bCs/>
                <w:color w:val="FFFFFF"/>
                <w:sz w:val="24"/>
                <w:szCs w:val="24"/>
              </w:rPr>
              <w:lastRenderedPageBreak/>
              <w:t xml:space="preserve">Priority 3 — Strategic   </w:t>
            </w:r>
            <w:r>
              <w:rPr>
                <w:i/>
                <w:iCs/>
                <w:color w:val="EAF2FF"/>
                <w:sz w:val="19"/>
                <w:szCs w:val="19"/>
              </w:rPr>
              <w:t>90+ days   ·   Build lasting resilience</w:t>
            </w:r>
          </w:p>
        </w:tc>
      </w:tr>
    </w:tbl>
    <w:p w14:paraId="6554B6C6" w14:textId="77777777" w:rsidR="00F77E0C" w:rsidRDefault="00F77E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F77E0C" w14:paraId="1B6FC7EF" w14:textId="77777777">
        <w:tblPrEx>
          <w:tblCellMar>
            <w:top w:w="0" w:type="dxa"/>
            <w:bottom w:w="0" w:type="dxa"/>
          </w:tblCellMar>
        </w:tblPrEx>
        <w:tc>
          <w:tcPr>
            <w:tcW w:w="680" w:type="dxa"/>
            <w:vMerge w:val="restart"/>
            <w:tcBorders>
              <w:top w:val="single" w:sz="1" w:space="0" w:color="1A5276"/>
              <w:left w:val="single" w:sz="1" w:space="0" w:color="1A5276"/>
              <w:bottom w:val="single" w:sz="1" w:space="0" w:color="1A5276"/>
              <w:right w:val="single" w:sz="1" w:space="0" w:color="1A5276"/>
            </w:tcBorders>
            <w:shd w:val="clear" w:color="auto" w:fill="1A5276"/>
            <w:tcMar>
              <w:top w:w="80" w:type="dxa"/>
              <w:left w:w="80" w:type="dxa"/>
              <w:bottom w:w="80" w:type="dxa"/>
              <w:right w:w="80" w:type="dxa"/>
            </w:tcMar>
            <w:vAlign w:val="center"/>
          </w:tcPr>
          <w:p w14:paraId="7DF4B560" w14:textId="77777777" w:rsidR="00F77E0C" w:rsidRDefault="00000000">
            <w:pPr>
              <w:spacing w:after="30"/>
              <w:jc w:val="center"/>
            </w:pPr>
            <w:r>
              <w:rPr>
                <w:b/>
                <w:bCs/>
                <w:color w:val="FFFFFF"/>
                <w:sz w:val="22"/>
                <w:szCs w:val="22"/>
              </w:rPr>
              <w:t>R-08</w:t>
            </w:r>
          </w:p>
        </w:tc>
        <w:tc>
          <w:tcPr>
            <w:tcW w:w="8680" w:type="dxa"/>
            <w:tcBorders>
              <w:top w:val="single" w:sz="2" w:space="0" w:color="1A5276"/>
              <w:left w:val="none" w:sz="0" w:space="0" w:color="FFFFFF"/>
              <w:bottom w:val="single" w:sz="1" w:space="0" w:color="AED6F1"/>
              <w:right w:val="single" w:sz="1" w:space="0" w:color="1A5276"/>
            </w:tcBorders>
            <w:shd w:val="clear" w:color="auto" w:fill="EAF2FF"/>
            <w:tcMar>
              <w:top w:w="80" w:type="dxa"/>
              <w:left w:w="140" w:type="dxa"/>
              <w:bottom w:w="80" w:type="dxa"/>
              <w:right w:w="140" w:type="dxa"/>
            </w:tcMar>
          </w:tcPr>
          <w:p w14:paraId="2FDF0FD9" w14:textId="77777777" w:rsidR="00F77E0C" w:rsidRDefault="00000000">
            <w:r>
              <w:rPr>
                <w:b/>
                <w:bCs/>
                <w:color w:val="1B2631"/>
                <w:sz w:val="21"/>
                <w:szCs w:val="21"/>
              </w:rPr>
              <w:t>Implement centralised logging and SIEM alerting</w:t>
            </w:r>
          </w:p>
        </w:tc>
      </w:tr>
      <w:tr w:rsidR="00F77E0C" w14:paraId="4CD5677A" w14:textId="77777777">
        <w:tblPrEx>
          <w:tblCellMar>
            <w:top w:w="0" w:type="dxa"/>
            <w:bottom w:w="0" w:type="dxa"/>
          </w:tblCellMar>
        </w:tblPrEx>
        <w:tc>
          <w:tcPr>
            <w:tcW w:w="0" w:type="auto"/>
            <w:vMerge/>
            <w:tcBorders>
              <w:top w:val="single" w:sz="1" w:space="0" w:color="1A5276"/>
              <w:left w:val="single" w:sz="1" w:space="0" w:color="1A5276"/>
              <w:bottom w:val="single" w:sz="1" w:space="0" w:color="1A5276"/>
              <w:right w:val="single" w:sz="1" w:space="0" w:color="1A5276"/>
            </w:tcBorders>
          </w:tcPr>
          <w:p w14:paraId="2A55D5F8" w14:textId="77777777" w:rsidR="00F77E0C" w:rsidRDefault="00F77E0C"/>
        </w:tc>
        <w:tc>
          <w:tcPr>
            <w:tcW w:w="8680" w:type="dxa"/>
            <w:tcBorders>
              <w:top w:val="none" w:sz="0" w:space="0" w:color="FFFFFF"/>
              <w:left w:val="none" w:sz="0" w:space="0" w:color="FFFFFF"/>
              <w:bottom w:val="none" w:sz="0" w:space="0" w:color="FFFFFF"/>
              <w:right w:val="single" w:sz="1" w:space="0" w:color="1A5276"/>
            </w:tcBorders>
            <w:shd w:val="clear" w:color="auto" w:fill="FFFFFF"/>
            <w:tcMar>
              <w:top w:w="80" w:type="dxa"/>
              <w:left w:w="140" w:type="dxa"/>
              <w:bottom w:w="80" w:type="dxa"/>
              <w:right w:w="140" w:type="dxa"/>
            </w:tcMar>
          </w:tcPr>
          <w:p w14:paraId="39FE6323" w14:textId="77777777" w:rsidR="00F77E0C" w:rsidRDefault="00000000">
            <w:pPr>
              <w:spacing w:after="40"/>
            </w:pPr>
            <w:r>
              <w:rPr>
                <w:b/>
                <w:bCs/>
                <w:color w:val="1A5276"/>
                <w:sz w:val="18"/>
                <w:szCs w:val="18"/>
              </w:rPr>
              <w:t xml:space="preserve">Risk addressed:  </w:t>
            </w:r>
            <w:r>
              <w:rPr>
                <w:sz w:val="18"/>
                <w:szCs w:val="18"/>
              </w:rPr>
              <w:t>No single detection capability currently correlates network, endpoint, DNS, and application events</w:t>
            </w:r>
          </w:p>
          <w:p w14:paraId="6F2DF999" w14:textId="77777777" w:rsidR="00F77E0C" w:rsidRDefault="00000000">
            <w:pPr>
              <w:spacing w:after="40"/>
            </w:pPr>
            <w:r>
              <w:rPr>
                <w:b/>
                <w:bCs/>
                <w:color w:val="1A5276"/>
                <w:sz w:val="18"/>
                <w:szCs w:val="18"/>
              </w:rPr>
              <w:t xml:space="preserve">What to expect:  </w:t>
            </w:r>
            <w:r>
              <w:rPr>
                <w:sz w:val="18"/>
                <w:szCs w:val="18"/>
              </w:rPr>
              <w:t>The attack chain identified in this assessment would trigger automated alerts within hours rather than going unnoticed.</w:t>
            </w:r>
          </w:p>
          <w:p w14:paraId="51CD5226" w14:textId="5B4C96A2" w:rsidR="00F77E0C" w:rsidRDefault="00000000">
            <w:pPr>
              <w:spacing w:before="30"/>
            </w:pPr>
            <w:r>
              <w:rPr>
                <w:i/>
                <w:iCs/>
                <w:sz w:val="19"/>
                <w:szCs w:val="19"/>
              </w:rPr>
              <w:t xml:space="preserve">The network evidence in Workstream A was only visible because traffic was captured for analysis. In normal operations, none of this would have been detected. A SIEM ingesting EDR, DNS, firewall, and web app logs </w:t>
            </w:r>
            <w:r w:rsidR="00063584">
              <w:rPr>
                <w:i/>
                <w:iCs/>
                <w:sz w:val="19"/>
                <w:szCs w:val="19"/>
              </w:rPr>
              <w:t>give</w:t>
            </w:r>
            <w:r>
              <w:rPr>
                <w:i/>
                <w:iCs/>
                <w:sz w:val="19"/>
                <w:szCs w:val="19"/>
              </w:rPr>
              <w:t xml:space="preserve"> the security team the visibility they currently lack.</w:t>
            </w:r>
          </w:p>
        </w:tc>
      </w:tr>
      <w:tr w:rsidR="00F77E0C" w14:paraId="65326014" w14:textId="77777777">
        <w:tblPrEx>
          <w:tblCellMar>
            <w:top w:w="0" w:type="dxa"/>
            <w:bottom w:w="0" w:type="dxa"/>
          </w:tblCellMar>
        </w:tblPrEx>
        <w:tc>
          <w:tcPr>
            <w:tcW w:w="0" w:type="auto"/>
            <w:vMerge/>
            <w:tcBorders>
              <w:top w:val="single" w:sz="1" w:space="0" w:color="1A5276"/>
              <w:left w:val="single" w:sz="1" w:space="0" w:color="1A5276"/>
              <w:bottom w:val="single" w:sz="1" w:space="0" w:color="1A5276"/>
              <w:right w:val="single" w:sz="1" w:space="0" w:color="1A5276"/>
            </w:tcBorders>
          </w:tcPr>
          <w:p w14:paraId="31EF8DD6" w14:textId="77777777" w:rsidR="00F77E0C" w:rsidRDefault="00F77E0C"/>
        </w:tc>
        <w:tc>
          <w:tcPr>
            <w:tcW w:w="8680" w:type="dxa"/>
            <w:tcBorders>
              <w:top w:val="none" w:sz="0" w:space="0" w:color="FFFFFF"/>
              <w:left w:val="none" w:sz="0" w:space="0" w:color="FFFFFF"/>
              <w:bottom w:val="single" w:sz="2" w:space="0" w:color="1A5276"/>
              <w:right w:val="single" w:sz="1" w:space="0" w:color="1A5276"/>
            </w:tcBorders>
            <w:shd w:val="clear" w:color="auto" w:fill="EAF2FF"/>
            <w:tcMar>
              <w:top w:w="50" w:type="dxa"/>
              <w:left w:w="140" w:type="dxa"/>
              <w:bottom w:w="50" w:type="dxa"/>
              <w:right w:w="140" w:type="dxa"/>
            </w:tcMar>
          </w:tcPr>
          <w:p w14:paraId="4E210E67" w14:textId="77777777" w:rsidR="00F77E0C" w:rsidRDefault="00F77E0C"/>
        </w:tc>
      </w:tr>
    </w:tbl>
    <w:p w14:paraId="589CD73A" w14:textId="77777777" w:rsidR="00F77E0C" w:rsidRDefault="00F77E0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F77E0C" w14:paraId="04F0E2A5" w14:textId="77777777">
        <w:tblPrEx>
          <w:tblCellMar>
            <w:top w:w="0" w:type="dxa"/>
            <w:bottom w:w="0" w:type="dxa"/>
          </w:tblCellMar>
        </w:tblPrEx>
        <w:tc>
          <w:tcPr>
            <w:tcW w:w="680" w:type="dxa"/>
            <w:vMerge w:val="restart"/>
            <w:tcBorders>
              <w:top w:val="single" w:sz="1" w:space="0" w:color="1A5276"/>
              <w:left w:val="single" w:sz="1" w:space="0" w:color="1A5276"/>
              <w:bottom w:val="single" w:sz="1" w:space="0" w:color="1A5276"/>
              <w:right w:val="single" w:sz="1" w:space="0" w:color="1A5276"/>
            </w:tcBorders>
            <w:shd w:val="clear" w:color="auto" w:fill="1A5276"/>
            <w:tcMar>
              <w:top w:w="80" w:type="dxa"/>
              <w:left w:w="80" w:type="dxa"/>
              <w:bottom w:w="80" w:type="dxa"/>
              <w:right w:w="80" w:type="dxa"/>
            </w:tcMar>
            <w:vAlign w:val="center"/>
          </w:tcPr>
          <w:p w14:paraId="13F99E7F" w14:textId="77777777" w:rsidR="00F77E0C" w:rsidRDefault="00000000">
            <w:pPr>
              <w:spacing w:after="30"/>
              <w:jc w:val="center"/>
            </w:pPr>
            <w:r>
              <w:rPr>
                <w:b/>
                <w:bCs/>
                <w:color w:val="FFFFFF"/>
                <w:sz w:val="22"/>
                <w:szCs w:val="22"/>
              </w:rPr>
              <w:t>R-09</w:t>
            </w:r>
          </w:p>
        </w:tc>
        <w:tc>
          <w:tcPr>
            <w:tcW w:w="8680" w:type="dxa"/>
            <w:tcBorders>
              <w:top w:val="single" w:sz="2" w:space="0" w:color="1A5276"/>
              <w:left w:val="none" w:sz="0" w:space="0" w:color="FFFFFF"/>
              <w:bottom w:val="single" w:sz="1" w:space="0" w:color="AED6F1"/>
              <w:right w:val="single" w:sz="1" w:space="0" w:color="1A5276"/>
            </w:tcBorders>
            <w:shd w:val="clear" w:color="auto" w:fill="EAF2FF"/>
            <w:tcMar>
              <w:top w:w="80" w:type="dxa"/>
              <w:left w:w="140" w:type="dxa"/>
              <w:bottom w:w="80" w:type="dxa"/>
              <w:right w:w="140" w:type="dxa"/>
            </w:tcMar>
          </w:tcPr>
          <w:p w14:paraId="6A421A1E" w14:textId="77777777" w:rsidR="00F77E0C" w:rsidRDefault="00000000">
            <w:r>
              <w:rPr>
                <w:b/>
                <w:bCs/>
                <w:color w:val="1B2631"/>
                <w:sz w:val="21"/>
                <w:szCs w:val="21"/>
              </w:rPr>
              <w:t>Run targeted security awareness training</w:t>
            </w:r>
          </w:p>
        </w:tc>
      </w:tr>
      <w:tr w:rsidR="00F77E0C" w14:paraId="460DD122" w14:textId="77777777">
        <w:tblPrEx>
          <w:tblCellMar>
            <w:top w:w="0" w:type="dxa"/>
            <w:bottom w:w="0" w:type="dxa"/>
          </w:tblCellMar>
        </w:tblPrEx>
        <w:tc>
          <w:tcPr>
            <w:tcW w:w="0" w:type="auto"/>
            <w:vMerge/>
            <w:tcBorders>
              <w:top w:val="single" w:sz="1" w:space="0" w:color="1A5276"/>
              <w:left w:val="single" w:sz="1" w:space="0" w:color="1A5276"/>
              <w:bottom w:val="single" w:sz="1" w:space="0" w:color="1A5276"/>
              <w:right w:val="single" w:sz="1" w:space="0" w:color="1A5276"/>
            </w:tcBorders>
          </w:tcPr>
          <w:p w14:paraId="28337D14" w14:textId="77777777" w:rsidR="00F77E0C" w:rsidRDefault="00F77E0C"/>
        </w:tc>
        <w:tc>
          <w:tcPr>
            <w:tcW w:w="8680" w:type="dxa"/>
            <w:tcBorders>
              <w:top w:val="none" w:sz="0" w:space="0" w:color="FFFFFF"/>
              <w:left w:val="none" w:sz="0" w:space="0" w:color="FFFFFF"/>
              <w:bottom w:val="none" w:sz="0" w:space="0" w:color="FFFFFF"/>
              <w:right w:val="single" w:sz="1" w:space="0" w:color="1A5276"/>
            </w:tcBorders>
            <w:shd w:val="clear" w:color="auto" w:fill="FFFFFF"/>
            <w:tcMar>
              <w:top w:w="80" w:type="dxa"/>
              <w:left w:w="140" w:type="dxa"/>
              <w:bottom w:w="80" w:type="dxa"/>
              <w:right w:w="140" w:type="dxa"/>
            </w:tcMar>
          </w:tcPr>
          <w:p w14:paraId="5A523763" w14:textId="77777777" w:rsidR="00F77E0C" w:rsidRDefault="00000000">
            <w:pPr>
              <w:spacing w:after="40"/>
            </w:pPr>
            <w:r>
              <w:rPr>
                <w:b/>
                <w:bCs/>
                <w:color w:val="1A5276"/>
                <w:sz w:val="18"/>
                <w:szCs w:val="18"/>
              </w:rPr>
              <w:t xml:space="preserve">Risk addressed:  </w:t>
            </w:r>
            <w:r>
              <w:rPr>
                <w:sz w:val="18"/>
                <w:szCs w:val="18"/>
              </w:rPr>
              <w:t>Initial access almost certainly began with a phishing or social engineering vector targeting a workstation user</w:t>
            </w:r>
          </w:p>
          <w:p w14:paraId="1F23C9FA" w14:textId="77777777" w:rsidR="00F77E0C" w:rsidRDefault="00000000">
            <w:pPr>
              <w:spacing w:after="40"/>
            </w:pPr>
            <w:r>
              <w:rPr>
                <w:b/>
                <w:bCs/>
                <w:color w:val="1A5276"/>
                <w:sz w:val="18"/>
                <w:szCs w:val="18"/>
              </w:rPr>
              <w:t xml:space="preserve">What to expect:  </w:t>
            </w:r>
            <w:r>
              <w:rPr>
                <w:sz w:val="18"/>
                <w:szCs w:val="18"/>
              </w:rPr>
              <w:t>Staff recognise and report suspicious emails before a workstation is compromised.</w:t>
            </w:r>
          </w:p>
          <w:p w14:paraId="3B083CB5" w14:textId="77777777" w:rsidR="00F77E0C" w:rsidRDefault="00000000">
            <w:pPr>
              <w:spacing w:before="30"/>
            </w:pPr>
            <w:r>
              <w:rPr>
                <w:i/>
                <w:iCs/>
                <w:sz w:val="19"/>
                <w:szCs w:val="19"/>
              </w:rPr>
              <w:t>Technical controls catch things humans miss. But humans catch things technical controls miss too — particularly novel phishing lures. A short, targeted training campaign focused on credential phishing and social engineering pays outsized dividends relative to its cost.</w:t>
            </w:r>
          </w:p>
        </w:tc>
      </w:tr>
      <w:tr w:rsidR="00F77E0C" w14:paraId="6F0116CB" w14:textId="77777777">
        <w:tblPrEx>
          <w:tblCellMar>
            <w:top w:w="0" w:type="dxa"/>
            <w:bottom w:w="0" w:type="dxa"/>
          </w:tblCellMar>
        </w:tblPrEx>
        <w:tc>
          <w:tcPr>
            <w:tcW w:w="0" w:type="auto"/>
            <w:vMerge/>
            <w:tcBorders>
              <w:top w:val="single" w:sz="1" w:space="0" w:color="1A5276"/>
              <w:left w:val="single" w:sz="1" w:space="0" w:color="1A5276"/>
              <w:bottom w:val="single" w:sz="1" w:space="0" w:color="1A5276"/>
              <w:right w:val="single" w:sz="1" w:space="0" w:color="1A5276"/>
            </w:tcBorders>
          </w:tcPr>
          <w:p w14:paraId="1B1CD5FA" w14:textId="77777777" w:rsidR="00F77E0C" w:rsidRDefault="00F77E0C"/>
        </w:tc>
        <w:tc>
          <w:tcPr>
            <w:tcW w:w="8680" w:type="dxa"/>
            <w:tcBorders>
              <w:top w:val="none" w:sz="0" w:space="0" w:color="FFFFFF"/>
              <w:left w:val="none" w:sz="0" w:space="0" w:color="FFFFFF"/>
              <w:bottom w:val="single" w:sz="2" w:space="0" w:color="1A5276"/>
              <w:right w:val="single" w:sz="1" w:space="0" w:color="1A5276"/>
            </w:tcBorders>
            <w:shd w:val="clear" w:color="auto" w:fill="EAF2FF"/>
            <w:tcMar>
              <w:top w:w="50" w:type="dxa"/>
              <w:left w:w="140" w:type="dxa"/>
              <w:bottom w:w="50" w:type="dxa"/>
              <w:right w:w="140" w:type="dxa"/>
            </w:tcMar>
          </w:tcPr>
          <w:p w14:paraId="3C499C61" w14:textId="77777777" w:rsidR="00F77E0C" w:rsidRDefault="00F77E0C"/>
        </w:tc>
      </w:tr>
    </w:tbl>
    <w:p w14:paraId="17D4569F" w14:textId="77777777" w:rsidR="00F77E0C" w:rsidRDefault="00F77E0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F77E0C" w14:paraId="12BFBAED" w14:textId="77777777">
        <w:tblPrEx>
          <w:tblCellMar>
            <w:top w:w="0" w:type="dxa"/>
            <w:bottom w:w="0" w:type="dxa"/>
          </w:tblCellMar>
        </w:tblPrEx>
        <w:tc>
          <w:tcPr>
            <w:tcW w:w="680" w:type="dxa"/>
            <w:vMerge w:val="restart"/>
            <w:tcBorders>
              <w:top w:val="single" w:sz="1" w:space="0" w:color="1A5276"/>
              <w:left w:val="single" w:sz="1" w:space="0" w:color="1A5276"/>
              <w:bottom w:val="single" w:sz="1" w:space="0" w:color="1A5276"/>
              <w:right w:val="single" w:sz="1" w:space="0" w:color="1A5276"/>
            </w:tcBorders>
            <w:shd w:val="clear" w:color="auto" w:fill="1A5276"/>
            <w:tcMar>
              <w:top w:w="80" w:type="dxa"/>
              <w:left w:w="80" w:type="dxa"/>
              <w:bottom w:w="80" w:type="dxa"/>
              <w:right w:w="80" w:type="dxa"/>
            </w:tcMar>
            <w:vAlign w:val="center"/>
          </w:tcPr>
          <w:p w14:paraId="480BC264" w14:textId="77777777" w:rsidR="00F77E0C" w:rsidRDefault="00000000">
            <w:pPr>
              <w:spacing w:after="30"/>
              <w:jc w:val="center"/>
            </w:pPr>
            <w:r>
              <w:rPr>
                <w:b/>
                <w:bCs/>
                <w:color w:val="FFFFFF"/>
                <w:sz w:val="22"/>
                <w:szCs w:val="22"/>
              </w:rPr>
              <w:t>R-10</w:t>
            </w:r>
          </w:p>
        </w:tc>
        <w:tc>
          <w:tcPr>
            <w:tcW w:w="8680" w:type="dxa"/>
            <w:tcBorders>
              <w:top w:val="single" w:sz="2" w:space="0" w:color="1A5276"/>
              <w:left w:val="none" w:sz="0" w:space="0" w:color="FFFFFF"/>
              <w:bottom w:val="single" w:sz="1" w:space="0" w:color="AED6F1"/>
              <w:right w:val="single" w:sz="1" w:space="0" w:color="1A5276"/>
            </w:tcBorders>
            <w:shd w:val="clear" w:color="auto" w:fill="EAF2FF"/>
            <w:tcMar>
              <w:top w:w="80" w:type="dxa"/>
              <w:left w:w="140" w:type="dxa"/>
              <w:bottom w:w="80" w:type="dxa"/>
              <w:right w:w="140" w:type="dxa"/>
            </w:tcMar>
          </w:tcPr>
          <w:p w14:paraId="062D4BC0" w14:textId="77777777" w:rsidR="00F77E0C" w:rsidRDefault="00000000">
            <w:r>
              <w:rPr>
                <w:b/>
                <w:bCs/>
                <w:color w:val="1B2631"/>
                <w:sz w:val="21"/>
                <w:szCs w:val="21"/>
              </w:rPr>
              <w:t>Commit to annual penetration testing and threat modelling</w:t>
            </w:r>
          </w:p>
        </w:tc>
      </w:tr>
      <w:tr w:rsidR="00F77E0C" w14:paraId="23F18356" w14:textId="77777777">
        <w:tblPrEx>
          <w:tblCellMar>
            <w:top w:w="0" w:type="dxa"/>
            <w:bottom w:w="0" w:type="dxa"/>
          </w:tblCellMar>
        </w:tblPrEx>
        <w:tc>
          <w:tcPr>
            <w:tcW w:w="0" w:type="auto"/>
            <w:vMerge/>
            <w:tcBorders>
              <w:top w:val="single" w:sz="1" w:space="0" w:color="1A5276"/>
              <w:left w:val="single" w:sz="1" w:space="0" w:color="1A5276"/>
              <w:bottom w:val="single" w:sz="1" w:space="0" w:color="1A5276"/>
              <w:right w:val="single" w:sz="1" w:space="0" w:color="1A5276"/>
            </w:tcBorders>
          </w:tcPr>
          <w:p w14:paraId="6072D616" w14:textId="77777777" w:rsidR="00F77E0C" w:rsidRDefault="00F77E0C"/>
        </w:tc>
        <w:tc>
          <w:tcPr>
            <w:tcW w:w="8680" w:type="dxa"/>
            <w:tcBorders>
              <w:top w:val="none" w:sz="0" w:space="0" w:color="FFFFFF"/>
              <w:left w:val="none" w:sz="0" w:space="0" w:color="FFFFFF"/>
              <w:bottom w:val="none" w:sz="0" w:space="0" w:color="FFFFFF"/>
              <w:right w:val="single" w:sz="1" w:space="0" w:color="1A5276"/>
            </w:tcBorders>
            <w:shd w:val="clear" w:color="auto" w:fill="FFFFFF"/>
            <w:tcMar>
              <w:top w:w="80" w:type="dxa"/>
              <w:left w:w="140" w:type="dxa"/>
              <w:bottom w:w="80" w:type="dxa"/>
              <w:right w:w="140" w:type="dxa"/>
            </w:tcMar>
          </w:tcPr>
          <w:p w14:paraId="308BE87A" w14:textId="77777777" w:rsidR="00F77E0C" w:rsidRDefault="00000000">
            <w:pPr>
              <w:spacing w:after="40"/>
            </w:pPr>
            <w:r>
              <w:rPr>
                <w:b/>
                <w:bCs/>
                <w:color w:val="1A5276"/>
                <w:sz w:val="18"/>
                <w:szCs w:val="18"/>
              </w:rPr>
              <w:t xml:space="preserve">Risk addressed:  </w:t>
            </w:r>
            <w:r>
              <w:rPr>
                <w:sz w:val="18"/>
                <w:szCs w:val="18"/>
              </w:rPr>
              <w:t>Without a recurring testing cycle, new vulnerabilities accumulate undetected between assessments</w:t>
            </w:r>
          </w:p>
          <w:p w14:paraId="02626C09" w14:textId="77777777" w:rsidR="00F77E0C" w:rsidRDefault="00000000">
            <w:pPr>
              <w:spacing w:after="40"/>
            </w:pPr>
            <w:r>
              <w:rPr>
                <w:b/>
                <w:bCs/>
                <w:color w:val="1A5276"/>
                <w:sz w:val="18"/>
                <w:szCs w:val="18"/>
              </w:rPr>
              <w:t xml:space="preserve">What to expect:  </w:t>
            </w:r>
            <w:r>
              <w:rPr>
                <w:sz w:val="18"/>
                <w:szCs w:val="18"/>
              </w:rPr>
              <w:t>Each year's assessment finds fewer critical findings as the security baseline improves.</w:t>
            </w:r>
          </w:p>
          <w:p w14:paraId="14D75556" w14:textId="77777777" w:rsidR="00F77E0C" w:rsidRDefault="00000000">
            <w:pPr>
              <w:spacing w:before="30"/>
            </w:pPr>
            <w:r>
              <w:rPr>
                <w:i/>
                <w:iCs/>
                <w:sz w:val="19"/>
                <w:szCs w:val="19"/>
              </w:rPr>
              <w:t>This assessment found a credible end-to-end attack path from initial compromise to customer data exposure. The goal of the next one should be that no such path exists. That only happens if remediation is verified and the threat model is revisited as the environment changes.</w:t>
            </w:r>
          </w:p>
        </w:tc>
      </w:tr>
      <w:tr w:rsidR="00F77E0C" w14:paraId="39B9DE0F" w14:textId="77777777">
        <w:tblPrEx>
          <w:tblCellMar>
            <w:top w:w="0" w:type="dxa"/>
            <w:bottom w:w="0" w:type="dxa"/>
          </w:tblCellMar>
        </w:tblPrEx>
        <w:tc>
          <w:tcPr>
            <w:tcW w:w="0" w:type="auto"/>
            <w:vMerge/>
            <w:tcBorders>
              <w:top w:val="single" w:sz="1" w:space="0" w:color="1A5276"/>
              <w:left w:val="single" w:sz="1" w:space="0" w:color="1A5276"/>
              <w:bottom w:val="single" w:sz="1" w:space="0" w:color="1A5276"/>
              <w:right w:val="single" w:sz="1" w:space="0" w:color="1A5276"/>
            </w:tcBorders>
          </w:tcPr>
          <w:p w14:paraId="0348427A" w14:textId="77777777" w:rsidR="00F77E0C" w:rsidRDefault="00F77E0C"/>
        </w:tc>
        <w:tc>
          <w:tcPr>
            <w:tcW w:w="8680" w:type="dxa"/>
            <w:tcBorders>
              <w:top w:val="none" w:sz="0" w:space="0" w:color="FFFFFF"/>
              <w:left w:val="none" w:sz="0" w:space="0" w:color="FFFFFF"/>
              <w:bottom w:val="single" w:sz="2" w:space="0" w:color="1A5276"/>
              <w:right w:val="single" w:sz="1" w:space="0" w:color="1A5276"/>
            </w:tcBorders>
            <w:shd w:val="clear" w:color="auto" w:fill="EAF2FF"/>
            <w:tcMar>
              <w:top w:w="50" w:type="dxa"/>
              <w:left w:w="140" w:type="dxa"/>
              <w:bottom w:w="50" w:type="dxa"/>
              <w:right w:w="140" w:type="dxa"/>
            </w:tcMar>
          </w:tcPr>
          <w:p w14:paraId="062AF9B2" w14:textId="77777777" w:rsidR="00F77E0C" w:rsidRDefault="00F77E0C"/>
        </w:tc>
      </w:tr>
    </w:tbl>
    <w:p w14:paraId="2A88BF5B" w14:textId="77777777" w:rsidR="00F77E0C" w:rsidRDefault="00F77E0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7E0C" w14:paraId="2BD12684" w14:textId="77777777">
        <w:tblPrEx>
          <w:tblCellMar>
            <w:top w:w="0" w:type="dxa"/>
            <w:bottom w:w="0" w:type="dxa"/>
          </w:tblCellMar>
        </w:tblPrEx>
        <w:tc>
          <w:tcPr>
            <w:tcW w:w="9360" w:type="dxa"/>
            <w:tcBorders>
              <w:top w:val="single" w:sz="2" w:space="0" w:color="1B2631"/>
              <w:left w:val="single" w:sz="2" w:space="0" w:color="1B2631"/>
              <w:bottom w:val="single" w:sz="2" w:space="0" w:color="1B2631"/>
              <w:right w:val="single" w:sz="2" w:space="0" w:color="1B2631"/>
            </w:tcBorders>
            <w:shd w:val="clear" w:color="auto" w:fill="EBF5FB"/>
            <w:tcMar>
              <w:top w:w="140" w:type="dxa"/>
              <w:left w:w="180" w:type="dxa"/>
              <w:bottom w:w="140" w:type="dxa"/>
              <w:right w:w="180" w:type="dxa"/>
            </w:tcMar>
          </w:tcPr>
          <w:p w14:paraId="5B21CF69" w14:textId="77777777" w:rsidR="00F77E0C" w:rsidRDefault="00000000">
            <w:pPr>
              <w:spacing w:after="60"/>
            </w:pPr>
            <w:r>
              <w:rPr>
                <w:b/>
                <w:bCs/>
                <w:color w:val="1B2631"/>
                <w:sz w:val="21"/>
                <w:szCs w:val="21"/>
              </w:rPr>
              <w:t>The bottom line</w:t>
            </w:r>
          </w:p>
          <w:p w14:paraId="3B1EE8AE" w14:textId="77777777" w:rsidR="00F77E0C" w:rsidRDefault="00000000">
            <w:r>
              <w:rPr>
                <w:sz w:val="19"/>
                <w:szCs w:val="19"/>
              </w:rPr>
              <w:t>Meridian FinServe has a credible, exploitable attack path from a compromised workstation to customer data exposure. The three immediate recommendations will disrupt that path. The short-term recommendations will make rebuilding it significantly harder. The strategic recommendations will ensure this kind of exposure is caught earlier — or prevented entirely. The order matters. Do not start a SIEM project while the attacker is still in the network.</w:t>
            </w:r>
          </w:p>
        </w:tc>
      </w:tr>
    </w:tbl>
    <w:p w14:paraId="11BF5E7D" w14:textId="77777777" w:rsidR="00F77E0C" w:rsidRDefault="00F77E0C">
      <w:pPr>
        <w:spacing w:after="80"/>
      </w:pPr>
    </w:p>
    <w:p w14:paraId="75988E4A" w14:textId="77777777" w:rsidR="00F77E0C" w:rsidRDefault="00000000">
      <w:pPr>
        <w:pBdr>
          <w:top w:val="single" w:sz="4" w:space="6" w:color="D5D8DC"/>
        </w:pBdr>
        <w:spacing w:before="80"/>
        <w:jc w:val="center"/>
      </w:pPr>
      <w:r>
        <w:rPr>
          <w:i/>
          <w:iCs/>
          <w:color w:val="AEB6BF"/>
          <w:sz w:val="18"/>
          <w:szCs w:val="18"/>
        </w:rPr>
        <w:t>— End of Recommendations —</w:t>
      </w:r>
    </w:p>
    <w:sectPr w:rsidR="00F77E0C">
      <w:headerReference w:type="default" r:id="rId9"/>
      <w:footerReference w:type="default" r:id="rId10"/>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F21A3" w14:textId="77777777" w:rsidR="009E73E4" w:rsidRDefault="009E73E4">
      <w:r>
        <w:separator/>
      </w:r>
    </w:p>
  </w:endnote>
  <w:endnote w:type="continuationSeparator" w:id="0">
    <w:p w14:paraId="64465543" w14:textId="77777777" w:rsidR="009E73E4" w:rsidRDefault="009E7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8A915" w14:textId="77777777" w:rsidR="00F77E0C" w:rsidRDefault="00000000">
    <w:pPr>
      <w:pBdr>
        <w:top w:val="single" w:sz="4" w:space="4" w:color="D5D8DC"/>
      </w:pBdr>
      <w:spacing w:before="80"/>
    </w:pPr>
    <w:r>
      <w:rPr>
        <w:color w:val="AEB6BF"/>
        <w:sz w:val="16"/>
        <w:szCs w:val="16"/>
      </w:rPr>
      <w:t>Restricted — For Authorised Recipients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11E76" w14:textId="77777777" w:rsidR="00F77E0C" w:rsidRDefault="00000000">
    <w:pPr>
      <w:pBdr>
        <w:top w:val="single" w:sz="4" w:space="4" w:color="D5D8DC"/>
      </w:pBdr>
      <w:spacing w:before="80"/>
    </w:pPr>
    <w:r>
      <w:rPr>
        <w:color w:val="AEB6BF"/>
        <w:sz w:val="16"/>
        <w:szCs w:val="16"/>
      </w:rPr>
      <w:t>Restricted — For Authorised Recipients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C6296" w14:textId="77777777" w:rsidR="009E73E4" w:rsidRDefault="009E73E4">
      <w:r>
        <w:separator/>
      </w:r>
    </w:p>
  </w:footnote>
  <w:footnote w:type="continuationSeparator" w:id="0">
    <w:p w14:paraId="08BF9EF0" w14:textId="77777777" w:rsidR="009E73E4" w:rsidRDefault="009E73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23D1" w14:textId="77777777" w:rsidR="00F77E0C" w:rsidRDefault="00000000">
    <w:pPr>
      <w:pBdr>
        <w:bottom w:val="single" w:sz="6" w:space="4" w:color="1B2631"/>
      </w:pBdr>
      <w:tabs>
        <w:tab w:val="right" w:pos="9026"/>
      </w:tabs>
      <w:spacing w:after="100"/>
    </w:pPr>
    <w:r>
      <w:rPr>
        <w:b/>
        <w:bCs/>
        <w:color w:val="5D6D7E"/>
        <w:sz w:val="18"/>
        <w:szCs w:val="18"/>
      </w:rPr>
      <w:t>Meridian FinServe — Top 10 Recommendations</w:t>
    </w:r>
    <w:r>
      <w:rPr>
        <w:b/>
        <w:bCs/>
        <w:color w:val="A93226"/>
        <w:sz w:val="18"/>
        <w:szCs w:val="18"/>
      </w:rPr>
      <w:tab/>
      <w:t xml:space="preserve">Project </w:t>
    </w:r>
    <w:proofErr w:type="gramStart"/>
    <w:r>
      <w:rPr>
        <w:b/>
        <w:bCs/>
        <w:color w:val="A93226"/>
        <w:sz w:val="18"/>
        <w:szCs w:val="18"/>
      </w:rPr>
      <w:t>KAVACH  |</w:t>
    </w:r>
    <w:proofErr w:type="gramEnd"/>
    <w:r>
      <w:rPr>
        <w:b/>
        <w:bCs/>
        <w:color w:val="A93226"/>
        <w:sz w:val="18"/>
        <w:szCs w:val="18"/>
      </w:rPr>
      <w:t xml:space="preserve">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17E7" w14:textId="42FEE0BC" w:rsidR="00F77E0C" w:rsidRDefault="00000000">
    <w:pPr>
      <w:pBdr>
        <w:bottom w:val="single" w:sz="6" w:space="4" w:color="1B2631"/>
      </w:pBdr>
      <w:tabs>
        <w:tab w:val="right" w:pos="9026"/>
      </w:tabs>
      <w:spacing w:after="100"/>
    </w:pPr>
    <w:r>
      <w:rPr>
        <w:b/>
        <w:bCs/>
        <w:color w:val="5D6D7E"/>
        <w:sz w:val="18"/>
        <w:szCs w:val="18"/>
      </w:rPr>
      <w:t>Meridian FinServe — Top 10 Recommendations</w:t>
    </w:r>
    <w:r>
      <w:rPr>
        <w:b/>
        <w:bCs/>
        <w:color w:val="A93226"/>
        <w:sz w:val="18"/>
        <w:szCs w:val="18"/>
      </w:rPr>
      <w:tab/>
      <w:t xml:space="preserve">Project </w:t>
    </w:r>
    <w:r w:rsidR="00063584">
      <w:rPr>
        <w:b/>
        <w:bCs/>
        <w:color w:val="A93226"/>
        <w:sz w:val="18"/>
        <w:szCs w:val="18"/>
      </w:rPr>
      <w:t>KAVACH |</w:t>
    </w:r>
    <w:r>
      <w:rPr>
        <w:b/>
        <w:bCs/>
        <w:color w:val="A93226"/>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613C1"/>
    <w:multiLevelType w:val="hybridMultilevel"/>
    <w:tmpl w:val="F1A0178C"/>
    <w:lvl w:ilvl="0" w:tplc="B3AEA5B2">
      <w:start w:val="1"/>
      <w:numFmt w:val="bullet"/>
      <w:lvlText w:val="•"/>
      <w:lvlJc w:val="left"/>
      <w:pPr>
        <w:ind w:left="560" w:hanging="280"/>
      </w:pPr>
    </w:lvl>
    <w:lvl w:ilvl="1" w:tplc="3246ED90">
      <w:numFmt w:val="decimal"/>
      <w:lvlText w:val=""/>
      <w:lvlJc w:val="left"/>
    </w:lvl>
    <w:lvl w:ilvl="2" w:tplc="3AA07E56">
      <w:numFmt w:val="decimal"/>
      <w:lvlText w:val=""/>
      <w:lvlJc w:val="left"/>
    </w:lvl>
    <w:lvl w:ilvl="3" w:tplc="2A28A656">
      <w:numFmt w:val="decimal"/>
      <w:lvlText w:val=""/>
      <w:lvlJc w:val="left"/>
    </w:lvl>
    <w:lvl w:ilvl="4" w:tplc="DCFC4888">
      <w:numFmt w:val="decimal"/>
      <w:lvlText w:val=""/>
      <w:lvlJc w:val="left"/>
    </w:lvl>
    <w:lvl w:ilvl="5" w:tplc="1D8E32C8">
      <w:numFmt w:val="decimal"/>
      <w:lvlText w:val=""/>
      <w:lvlJc w:val="left"/>
    </w:lvl>
    <w:lvl w:ilvl="6" w:tplc="85F6C0C8">
      <w:numFmt w:val="decimal"/>
      <w:lvlText w:val=""/>
      <w:lvlJc w:val="left"/>
    </w:lvl>
    <w:lvl w:ilvl="7" w:tplc="4912C1AE">
      <w:numFmt w:val="decimal"/>
      <w:lvlText w:val=""/>
      <w:lvlJc w:val="left"/>
    </w:lvl>
    <w:lvl w:ilvl="8" w:tplc="C3A08282">
      <w:numFmt w:val="decimal"/>
      <w:lvlText w:val=""/>
      <w:lvlJc w:val="left"/>
    </w:lvl>
  </w:abstractNum>
  <w:abstractNum w:abstractNumId="1" w15:restartNumberingAfterBreak="0">
    <w:nsid w:val="6F7F1C42"/>
    <w:multiLevelType w:val="hybridMultilevel"/>
    <w:tmpl w:val="F5A44EB4"/>
    <w:lvl w:ilvl="0" w:tplc="B77C8118">
      <w:start w:val="1"/>
      <w:numFmt w:val="bullet"/>
      <w:lvlText w:val="●"/>
      <w:lvlJc w:val="left"/>
      <w:pPr>
        <w:ind w:left="720" w:hanging="360"/>
      </w:pPr>
    </w:lvl>
    <w:lvl w:ilvl="1" w:tplc="DD20BD56">
      <w:start w:val="1"/>
      <w:numFmt w:val="bullet"/>
      <w:lvlText w:val="○"/>
      <w:lvlJc w:val="left"/>
      <w:pPr>
        <w:ind w:left="1440" w:hanging="360"/>
      </w:pPr>
    </w:lvl>
    <w:lvl w:ilvl="2" w:tplc="11380996">
      <w:start w:val="1"/>
      <w:numFmt w:val="bullet"/>
      <w:lvlText w:val="■"/>
      <w:lvlJc w:val="left"/>
      <w:pPr>
        <w:ind w:left="2160" w:hanging="360"/>
      </w:pPr>
    </w:lvl>
    <w:lvl w:ilvl="3" w:tplc="407C46BC">
      <w:start w:val="1"/>
      <w:numFmt w:val="bullet"/>
      <w:lvlText w:val="●"/>
      <w:lvlJc w:val="left"/>
      <w:pPr>
        <w:ind w:left="2880" w:hanging="360"/>
      </w:pPr>
    </w:lvl>
    <w:lvl w:ilvl="4" w:tplc="2730AEDC">
      <w:start w:val="1"/>
      <w:numFmt w:val="bullet"/>
      <w:lvlText w:val="○"/>
      <w:lvlJc w:val="left"/>
      <w:pPr>
        <w:ind w:left="3600" w:hanging="360"/>
      </w:pPr>
    </w:lvl>
    <w:lvl w:ilvl="5" w:tplc="A896026E">
      <w:start w:val="1"/>
      <w:numFmt w:val="bullet"/>
      <w:lvlText w:val="■"/>
      <w:lvlJc w:val="left"/>
      <w:pPr>
        <w:ind w:left="4320" w:hanging="360"/>
      </w:pPr>
    </w:lvl>
    <w:lvl w:ilvl="6" w:tplc="8836005A">
      <w:start w:val="1"/>
      <w:numFmt w:val="bullet"/>
      <w:lvlText w:val="●"/>
      <w:lvlJc w:val="left"/>
      <w:pPr>
        <w:ind w:left="5040" w:hanging="360"/>
      </w:pPr>
    </w:lvl>
    <w:lvl w:ilvl="7" w:tplc="E668B50C">
      <w:start w:val="1"/>
      <w:numFmt w:val="bullet"/>
      <w:lvlText w:val="●"/>
      <w:lvlJc w:val="left"/>
      <w:pPr>
        <w:ind w:left="5760" w:hanging="360"/>
      </w:pPr>
    </w:lvl>
    <w:lvl w:ilvl="8" w:tplc="FDE87A24">
      <w:start w:val="1"/>
      <w:numFmt w:val="bullet"/>
      <w:lvlText w:val="●"/>
      <w:lvlJc w:val="left"/>
      <w:pPr>
        <w:ind w:left="6480" w:hanging="360"/>
      </w:pPr>
    </w:lvl>
  </w:abstractNum>
  <w:num w:numId="1" w16cid:durableId="3279446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E0C"/>
    <w:rsid w:val="00063584"/>
    <w:rsid w:val="009E73E4"/>
    <w:rsid w:val="00EB2BE7"/>
    <w:rsid w:val="00F77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58DE8"/>
  <w15:docId w15:val="{1319C656-4398-4D39-91B9-C22CC0857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outlineLvl w:val="0"/>
    </w:pPr>
    <w:rPr>
      <w:b/>
      <w:bCs/>
      <w:color w:val="1B2631"/>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3584"/>
    <w:pPr>
      <w:tabs>
        <w:tab w:val="center" w:pos="4513"/>
        <w:tab w:val="right" w:pos="9026"/>
      </w:tabs>
    </w:pPr>
  </w:style>
  <w:style w:type="character" w:customStyle="1" w:styleId="HeaderChar">
    <w:name w:val="Header Char"/>
    <w:basedOn w:val="DefaultParagraphFont"/>
    <w:link w:val="Header"/>
    <w:uiPriority w:val="99"/>
    <w:rsid w:val="00063584"/>
  </w:style>
  <w:style w:type="paragraph" w:styleId="Footer">
    <w:name w:val="footer"/>
    <w:basedOn w:val="Normal"/>
    <w:link w:val="FooterChar"/>
    <w:uiPriority w:val="99"/>
    <w:unhideWhenUsed/>
    <w:rsid w:val="00063584"/>
    <w:pPr>
      <w:tabs>
        <w:tab w:val="center" w:pos="4513"/>
        <w:tab w:val="right" w:pos="9026"/>
      </w:tabs>
    </w:pPr>
  </w:style>
  <w:style w:type="character" w:customStyle="1" w:styleId="FooterChar">
    <w:name w:val="Footer Char"/>
    <w:basedOn w:val="DefaultParagraphFont"/>
    <w:link w:val="Footer"/>
    <w:uiPriority w:val="99"/>
    <w:rsid w:val="000635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1072</Words>
  <Characters>6112</Characters>
  <Application>Microsoft Office Word</Application>
  <DocSecurity>0</DocSecurity>
  <Lines>50</Lines>
  <Paragraphs>14</Paragraphs>
  <ScaleCrop>false</ScaleCrop>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Indrajit Singh</cp:lastModifiedBy>
  <cp:revision>2</cp:revision>
  <dcterms:created xsi:type="dcterms:W3CDTF">2026-06-10T08:15:00Z</dcterms:created>
  <dcterms:modified xsi:type="dcterms:W3CDTF">2026-06-10T08:15:00Z</dcterms:modified>
</cp:coreProperties>
</file>