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309C" w14:textId="77777777" w:rsidR="00B430A0" w:rsidRDefault="00000000">
      <w:pPr>
        <w:spacing w:after="60"/>
        <w:jc w:val="center"/>
      </w:pPr>
      <w:r>
        <w:rPr>
          <w:b/>
          <w:bCs/>
          <w:color w:val="A32D2D"/>
          <w:sz w:val="48"/>
          <w:szCs w:val="48"/>
        </w:rPr>
        <w:t>Meridian FinServe</w:t>
      </w:r>
    </w:p>
    <w:p w14:paraId="0C0987AC" w14:textId="77777777" w:rsidR="00B430A0" w:rsidRDefault="00000000">
      <w:pPr>
        <w:spacing w:after="60"/>
        <w:jc w:val="center"/>
      </w:pPr>
      <w:r>
        <w:rPr>
          <w:b/>
          <w:bCs/>
          <w:color w:val="791F1F"/>
          <w:sz w:val="34"/>
          <w:szCs w:val="34"/>
        </w:rPr>
        <w:t>Threat Model</w:t>
      </w:r>
    </w:p>
    <w:p w14:paraId="64A69165" w14:textId="77777777" w:rsidR="00B430A0" w:rsidRDefault="00000000">
      <w:pPr>
        <w:spacing w:after="200"/>
        <w:jc w:val="center"/>
      </w:pPr>
      <w:r>
        <w:rPr>
          <w:i/>
          <w:iCs/>
          <w:color w:val="717D7E"/>
        </w:rPr>
        <w:t>Workstream A × Workstream B — Combined Security Assessment</w:t>
      </w:r>
    </w:p>
    <w:p w14:paraId="6524CD92" w14:textId="77777777" w:rsidR="00B430A0" w:rsidRDefault="00000000">
      <w:pPr>
        <w:pStyle w:val="Heading1"/>
        <w:pBdr>
          <w:bottom w:val="single" w:sz="8" w:space="4" w:color="A32D2D"/>
        </w:pBdr>
      </w:pPr>
      <w:r>
        <w:t>1. Threat Model Diagram</w:t>
      </w:r>
    </w:p>
    <w:p w14:paraId="4FEF39DF" w14:textId="77777777" w:rsidR="00B430A0" w:rsidRDefault="00000000">
      <w:pPr>
        <w:spacing w:before="60" w:after="60"/>
      </w:pPr>
      <w:r>
        <w:t>The diagram below presents the complete threat model for the Meridian FinServe environment, mapping threat actors and entry points through key threats to assets at risk and business impact.</w:t>
      </w:r>
    </w:p>
    <w:p w14:paraId="1CAD1738" w14:textId="4118ED1B" w:rsidR="00B430A0" w:rsidRDefault="00FF3A17">
      <w:pPr>
        <w:spacing w:after="80"/>
      </w:pPr>
      <w:r>
        <w:rPr>
          <w:noProof/>
        </w:rPr>
        <w:drawing>
          <wp:inline distT="0" distB="0" distL="0" distR="0" wp14:anchorId="68AA6ACE" wp14:editId="57FDE3A3">
            <wp:extent cx="5718810" cy="6913245"/>
            <wp:effectExtent l="0" t="0" r="0" b="0"/>
            <wp:docPr id="25801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8810" cy="6913245"/>
                    </a:xfrm>
                    <a:prstGeom prst="rect">
                      <a:avLst/>
                    </a:prstGeom>
                    <a:noFill/>
                  </pic:spPr>
                </pic:pic>
              </a:graphicData>
            </a:graphic>
          </wp:inline>
        </w:drawing>
      </w:r>
    </w:p>
    <w:p w14:paraId="37607DE9" w14:textId="77777777" w:rsidR="00B430A0" w:rsidRDefault="00000000">
      <w:pPr>
        <w:pStyle w:val="Heading1"/>
        <w:pBdr>
          <w:bottom w:val="single" w:sz="8" w:space="4" w:color="A32D2D"/>
        </w:pBdr>
      </w:pPr>
      <w:r>
        <w:lastRenderedPageBreak/>
        <w:t>2. Assets</w:t>
      </w:r>
    </w:p>
    <w:p w14:paraId="0BCB20D3" w14:textId="77777777" w:rsidR="00B430A0" w:rsidRDefault="00000000">
      <w:pPr>
        <w:spacing w:before="60" w:after="60"/>
      </w:pPr>
      <w:r>
        <w:t>The following assets represent the critical information and infrastructure components within the Meridian FinServe environment that are exposed to threat actor activity.</w:t>
      </w:r>
    </w:p>
    <w:p w14:paraId="0AB6F594" w14:textId="77777777" w:rsidR="00B430A0" w:rsidRDefault="00B430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430A0" w14:paraId="21D0DC9E" w14:textId="77777777">
        <w:tblPrEx>
          <w:tblCellMar>
            <w:top w:w="0" w:type="dxa"/>
            <w:bottom w:w="0" w:type="dxa"/>
          </w:tblCellMar>
        </w:tblPrEx>
        <w:tc>
          <w:tcPr>
            <w:tcW w:w="200" w:type="dxa"/>
            <w:tcBorders>
              <w:top w:val="none" w:sz="0" w:space="0" w:color="FFFFFF"/>
              <w:left w:val="single" w:sz="16" w:space="0" w:color="0F6E56"/>
              <w:bottom w:val="none" w:sz="0" w:space="0" w:color="FFFFFF"/>
              <w:right w:val="none" w:sz="0" w:space="0" w:color="FFFFFF"/>
            </w:tcBorders>
            <w:shd w:val="clear" w:color="auto" w:fill="E1F5EE"/>
            <w:tcMar>
              <w:top w:w="80" w:type="dxa"/>
              <w:left w:w="80" w:type="dxa"/>
              <w:bottom w:w="80" w:type="dxa"/>
              <w:right w:w="0" w:type="dxa"/>
            </w:tcMar>
          </w:tcPr>
          <w:p w14:paraId="27F7E7B7" w14:textId="77777777" w:rsidR="00B430A0" w:rsidRDefault="00B430A0"/>
        </w:tc>
        <w:tc>
          <w:tcPr>
            <w:tcW w:w="9160" w:type="dxa"/>
            <w:tcBorders>
              <w:top w:val="none" w:sz="0" w:space="0" w:color="FFFFFF"/>
              <w:left w:val="none" w:sz="0" w:space="0" w:color="FFFFFF"/>
              <w:bottom w:val="none" w:sz="0" w:space="0" w:color="FFFFFF"/>
              <w:right w:val="none" w:sz="0" w:space="0" w:color="FFFFFF"/>
            </w:tcBorders>
            <w:shd w:val="clear" w:color="auto" w:fill="E1F5EE"/>
            <w:tcMar>
              <w:top w:w="100" w:type="dxa"/>
              <w:left w:w="140" w:type="dxa"/>
              <w:bottom w:w="100" w:type="dxa"/>
              <w:right w:w="140" w:type="dxa"/>
            </w:tcMar>
          </w:tcPr>
          <w:p w14:paraId="6C810CC1" w14:textId="77777777" w:rsidR="00B430A0" w:rsidRDefault="00000000">
            <w:pPr>
              <w:spacing w:after="80"/>
            </w:pPr>
            <w:r>
              <w:rPr>
                <w:b/>
                <w:bCs/>
                <w:color w:val="0F6E56"/>
              </w:rPr>
              <w:t>Protected Assets</w:t>
            </w:r>
          </w:p>
          <w:p w14:paraId="2DD32793" w14:textId="77777777" w:rsidR="00B430A0" w:rsidRDefault="00000000">
            <w:pPr>
              <w:pStyle w:val="ListParagraph"/>
              <w:numPr>
                <w:ilvl w:val="0"/>
                <w:numId w:val="2"/>
              </w:numPr>
              <w:spacing w:before="50" w:after="50"/>
            </w:pPr>
            <w:r>
              <w:rPr>
                <w:color w:val="0F6E56"/>
              </w:rPr>
              <w:t>Customer PII — personal and financial identity data held for customer accounts</w:t>
            </w:r>
          </w:p>
          <w:p w14:paraId="18A1F5C4" w14:textId="77777777" w:rsidR="00B430A0" w:rsidRDefault="00000000">
            <w:pPr>
              <w:pStyle w:val="ListParagraph"/>
              <w:numPr>
                <w:ilvl w:val="0"/>
                <w:numId w:val="2"/>
              </w:numPr>
              <w:spacing w:before="50" w:after="50"/>
            </w:pPr>
            <w:r>
              <w:rPr>
                <w:color w:val="0F6E56"/>
              </w:rPr>
              <w:t>Financial Records — transaction history, account balances, payment data</w:t>
            </w:r>
          </w:p>
          <w:p w14:paraId="185E1EFF" w14:textId="77777777" w:rsidR="00B430A0" w:rsidRDefault="00000000">
            <w:pPr>
              <w:pStyle w:val="ListParagraph"/>
              <w:numPr>
                <w:ilvl w:val="0"/>
                <w:numId w:val="2"/>
              </w:numPr>
              <w:spacing w:before="50" w:after="50"/>
            </w:pPr>
            <w:r>
              <w:rPr>
                <w:color w:val="0F6E56"/>
              </w:rPr>
              <w:t>Active Directory Accounts — domain user accounts, privileged service accounts, group memberships</w:t>
            </w:r>
          </w:p>
          <w:p w14:paraId="6DD7D85A" w14:textId="77777777" w:rsidR="00B430A0" w:rsidRDefault="00000000">
            <w:pPr>
              <w:pStyle w:val="ListParagraph"/>
              <w:numPr>
                <w:ilvl w:val="0"/>
                <w:numId w:val="2"/>
              </w:numPr>
              <w:spacing w:before="50" w:after="50"/>
            </w:pPr>
            <w:r>
              <w:rPr>
                <w:color w:val="0F6E56"/>
              </w:rPr>
              <w:t>Internal Servers — backend infrastructure including application, database, and file servers</w:t>
            </w:r>
          </w:p>
          <w:p w14:paraId="0C93EBFC" w14:textId="77777777" w:rsidR="00B430A0" w:rsidRDefault="00000000">
            <w:pPr>
              <w:pStyle w:val="ListParagraph"/>
              <w:numPr>
                <w:ilvl w:val="0"/>
                <w:numId w:val="2"/>
              </w:numPr>
              <w:spacing w:before="50" w:after="50"/>
            </w:pPr>
            <w:r>
              <w:rPr>
                <w:color w:val="0F6E56"/>
              </w:rPr>
              <w:t>Customer Portal — the externally accessible web application serving customer self-service functions</w:t>
            </w:r>
          </w:p>
        </w:tc>
      </w:tr>
    </w:tbl>
    <w:p w14:paraId="64AC6A78" w14:textId="77777777" w:rsidR="00B430A0" w:rsidRDefault="00B430A0">
      <w:pPr>
        <w:spacing w:after="80"/>
      </w:pPr>
    </w:p>
    <w:p w14:paraId="457D6BF7" w14:textId="77777777" w:rsidR="00B430A0" w:rsidRDefault="00000000">
      <w:pPr>
        <w:pStyle w:val="Heading1"/>
        <w:pBdr>
          <w:bottom w:val="single" w:sz="8" w:space="4" w:color="A32D2D"/>
        </w:pBdr>
      </w:pPr>
      <w:r>
        <w:t>3. Threat Actors</w:t>
      </w:r>
    </w:p>
    <w:p w14:paraId="77A3AB8F" w14:textId="77777777" w:rsidR="00B430A0" w:rsidRDefault="00000000">
      <w:pPr>
        <w:spacing w:before="60" w:after="60"/>
      </w:pPr>
      <w:r>
        <w:t>The following threat actor categories represent realistic adversaries with the motivation, capability, and opportunity to target the Meridian FinServe environment.</w:t>
      </w:r>
    </w:p>
    <w:p w14:paraId="5CF97C11" w14:textId="77777777" w:rsidR="00B430A0" w:rsidRDefault="00B430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430A0" w14:paraId="73E2D87E" w14:textId="77777777">
        <w:tblPrEx>
          <w:tblCellMar>
            <w:top w:w="0" w:type="dxa"/>
            <w:bottom w:w="0" w:type="dxa"/>
          </w:tblCellMar>
        </w:tblPrEx>
        <w:tc>
          <w:tcPr>
            <w:tcW w:w="200" w:type="dxa"/>
            <w:tcBorders>
              <w:top w:val="none" w:sz="0" w:space="0" w:color="FFFFFF"/>
              <w:left w:val="single" w:sz="16" w:space="0" w:color="A32D2D"/>
              <w:bottom w:val="none" w:sz="0" w:space="0" w:color="FFFFFF"/>
              <w:right w:val="none" w:sz="0" w:space="0" w:color="FFFFFF"/>
            </w:tcBorders>
            <w:shd w:val="clear" w:color="auto" w:fill="FAECE7"/>
            <w:tcMar>
              <w:top w:w="80" w:type="dxa"/>
              <w:left w:w="80" w:type="dxa"/>
              <w:bottom w:w="80" w:type="dxa"/>
              <w:right w:w="0" w:type="dxa"/>
            </w:tcMar>
          </w:tcPr>
          <w:p w14:paraId="6A198066" w14:textId="77777777" w:rsidR="00B430A0" w:rsidRDefault="00B430A0"/>
        </w:tc>
        <w:tc>
          <w:tcPr>
            <w:tcW w:w="9160" w:type="dxa"/>
            <w:tcBorders>
              <w:top w:val="none" w:sz="0" w:space="0" w:color="FFFFFF"/>
              <w:left w:val="none" w:sz="0" w:space="0" w:color="FFFFFF"/>
              <w:bottom w:val="none" w:sz="0" w:space="0" w:color="FFFFFF"/>
              <w:right w:val="none" w:sz="0" w:space="0" w:color="FFFFFF"/>
            </w:tcBorders>
            <w:shd w:val="clear" w:color="auto" w:fill="FAECE7"/>
            <w:tcMar>
              <w:top w:w="100" w:type="dxa"/>
              <w:left w:w="140" w:type="dxa"/>
              <w:bottom w:w="100" w:type="dxa"/>
              <w:right w:w="140" w:type="dxa"/>
            </w:tcMar>
          </w:tcPr>
          <w:p w14:paraId="6F5FBC4B" w14:textId="77777777" w:rsidR="00B430A0" w:rsidRDefault="00000000">
            <w:pPr>
              <w:spacing w:after="80"/>
            </w:pPr>
            <w:r>
              <w:rPr>
                <w:b/>
                <w:bCs/>
                <w:color w:val="791F1F"/>
              </w:rPr>
              <w:t>Identified Threat Actors</w:t>
            </w:r>
          </w:p>
          <w:p w14:paraId="46C77106" w14:textId="77777777" w:rsidR="00B430A0" w:rsidRDefault="00000000">
            <w:pPr>
              <w:pStyle w:val="ListParagraph"/>
              <w:numPr>
                <w:ilvl w:val="0"/>
                <w:numId w:val="2"/>
              </w:numPr>
              <w:spacing w:before="50" w:after="50"/>
            </w:pPr>
            <w:r>
              <w:rPr>
                <w:color w:val="791F1F"/>
              </w:rPr>
              <w:t>Cybercriminal Groups — organised criminal entities seeking financial gain through data theft, fraud, or ransomware deployment</w:t>
            </w:r>
          </w:p>
          <w:p w14:paraId="6C47BCAF" w14:textId="77777777" w:rsidR="00B430A0" w:rsidRDefault="00000000">
            <w:pPr>
              <w:pStyle w:val="ListParagraph"/>
              <w:numPr>
                <w:ilvl w:val="0"/>
                <w:numId w:val="2"/>
              </w:numPr>
              <w:spacing w:before="50" w:after="50"/>
            </w:pPr>
            <w:r>
              <w:rPr>
                <w:color w:val="791F1F"/>
              </w:rPr>
              <w:t>Initial Access Brokers — specialised actors who establish and sell network access to downstream criminal groups</w:t>
            </w:r>
          </w:p>
          <w:p w14:paraId="171E66AF" w14:textId="77777777" w:rsidR="00B430A0" w:rsidRDefault="00000000">
            <w:pPr>
              <w:pStyle w:val="ListParagraph"/>
              <w:numPr>
                <w:ilvl w:val="0"/>
                <w:numId w:val="2"/>
              </w:numPr>
              <w:spacing w:before="50" w:after="50"/>
            </w:pPr>
            <w:r>
              <w:rPr>
                <w:color w:val="791F1F"/>
              </w:rPr>
              <w:t>Insider Threats — current or former employees, contractors, or partners with legitimate access who misuse privileges intentionally or inadvertently</w:t>
            </w:r>
          </w:p>
          <w:p w14:paraId="04560AA4" w14:textId="77777777" w:rsidR="00B430A0" w:rsidRDefault="00000000">
            <w:pPr>
              <w:pStyle w:val="ListParagraph"/>
              <w:numPr>
                <w:ilvl w:val="0"/>
                <w:numId w:val="2"/>
              </w:numPr>
              <w:spacing w:before="50" w:after="50"/>
            </w:pPr>
            <w:r>
              <w:rPr>
                <w:color w:val="791F1F"/>
              </w:rPr>
              <w:t>Financially Motivated Attackers — opportunistic individuals or groups targeting payment data, customer credentials, and account takeover for direct monetary gain</w:t>
            </w:r>
          </w:p>
        </w:tc>
      </w:tr>
    </w:tbl>
    <w:p w14:paraId="60984C56" w14:textId="77777777" w:rsidR="00B430A0" w:rsidRDefault="00B430A0">
      <w:pPr>
        <w:spacing w:after="80"/>
      </w:pPr>
    </w:p>
    <w:p w14:paraId="4DB5751B" w14:textId="77777777" w:rsidR="00B430A0" w:rsidRDefault="00000000">
      <w:pPr>
        <w:pStyle w:val="Heading1"/>
        <w:pBdr>
          <w:bottom w:val="single" w:sz="8" w:space="4" w:color="A32D2D"/>
        </w:pBdr>
      </w:pPr>
      <w:r>
        <w:t>4. Entry Points</w:t>
      </w:r>
    </w:p>
    <w:p w14:paraId="455A5BEF" w14:textId="77777777" w:rsidR="00B430A0" w:rsidRDefault="00000000">
      <w:pPr>
        <w:spacing w:before="60" w:after="60"/>
      </w:pPr>
      <w:r>
        <w:t>The entry points below represent the attack surfaces through which a threat actor could gain initial access to or escalate within the Meridian FinServe environment.</w:t>
      </w:r>
    </w:p>
    <w:p w14:paraId="3685B279" w14:textId="77777777" w:rsidR="00B430A0" w:rsidRDefault="00B430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430A0" w14:paraId="0058C57B" w14:textId="77777777">
        <w:tblPrEx>
          <w:tblCellMar>
            <w:top w:w="0" w:type="dxa"/>
            <w:bottom w:w="0" w:type="dxa"/>
          </w:tblCellMar>
        </w:tblPrEx>
        <w:tc>
          <w:tcPr>
            <w:tcW w:w="200" w:type="dxa"/>
            <w:tcBorders>
              <w:top w:val="none" w:sz="0" w:space="0" w:color="FFFFFF"/>
              <w:left w:val="single" w:sz="16" w:space="0" w:color="854F0B"/>
              <w:bottom w:val="none" w:sz="0" w:space="0" w:color="FFFFFF"/>
              <w:right w:val="none" w:sz="0" w:space="0" w:color="FFFFFF"/>
            </w:tcBorders>
            <w:shd w:val="clear" w:color="auto" w:fill="FAEEDA"/>
            <w:tcMar>
              <w:top w:w="80" w:type="dxa"/>
              <w:left w:w="80" w:type="dxa"/>
              <w:bottom w:w="80" w:type="dxa"/>
              <w:right w:w="0" w:type="dxa"/>
            </w:tcMar>
          </w:tcPr>
          <w:p w14:paraId="421C8CD8" w14:textId="77777777" w:rsidR="00B430A0" w:rsidRDefault="00B430A0"/>
        </w:tc>
        <w:tc>
          <w:tcPr>
            <w:tcW w:w="9160" w:type="dxa"/>
            <w:tcBorders>
              <w:top w:val="none" w:sz="0" w:space="0" w:color="FFFFFF"/>
              <w:left w:val="none" w:sz="0" w:space="0" w:color="FFFFFF"/>
              <w:bottom w:val="none" w:sz="0" w:space="0" w:color="FFFFFF"/>
              <w:right w:val="none" w:sz="0" w:space="0" w:color="FFFFFF"/>
            </w:tcBorders>
            <w:shd w:val="clear" w:color="auto" w:fill="FAEEDA"/>
            <w:tcMar>
              <w:top w:w="100" w:type="dxa"/>
              <w:left w:w="140" w:type="dxa"/>
              <w:bottom w:w="100" w:type="dxa"/>
              <w:right w:w="140" w:type="dxa"/>
            </w:tcMar>
          </w:tcPr>
          <w:p w14:paraId="5C541FD8" w14:textId="77777777" w:rsidR="00B430A0" w:rsidRDefault="00000000">
            <w:pPr>
              <w:spacing w:after="80"/>
            </w:pPr>
            <w:r>
              <w:rPr>
                <w:b/>
                <w:bCs/>
                <w:color w:val="854F0B"/>
              </w:rPr>
              <w:t>Identified Entry Points</w:t>
            </w:r>
          </w:p>
          <w:p w14:paraId="22569875" w14:textId="77777777" w:rsidR="00B430A0" w:rsidRDefault="00000000">
            <w:pPr>
              <w:pStyle w:val="ListParagraph"/>
              <w:numPr>
                <w:ilvl w:val="0"/>
                <w:numId w:val="2"/>
              </w:numPr>
              <w:spacing w:before="50" w:after="50"/>
            </w:pPr>
            <w:r>
              <w:rPr>
                <w:color w:val="854F0B"/>
              </w:rPr>
              <w:t>Compromised Workstation (10.1.21.58) — observed establishing C2 communications; primary confirmed point of initial compromise</w:t>
            </w:r>
          </w:p>
          <w:p w14:paraId="6F238510" w14:textId="77777777" w:rsidR="00B430A0" w:rsidRDefault="00000000">
            <w:pPr>
              <w:pStyle w:val="ListParagraph"/>
              <w:numPr>
                <w:ilvl w:val="0"/>
                <w:numId w:val="2"/>
              </w:numPr>
              <w:spacing w:before="50" w:after="50"/>
            </w:pPr>
            <w:r>
              <w:rPr>
                <w:color w:val="854F0B"/>
              </w:rPr>
              <w:t>Customer Web Portal — externally accessible application containing multiple exploitable vulnerabilities (SQLi, XSS, Auth Failures, IDOR, File Upload)</w:t>
            </w:r>
          </w:p>
          <w:p w14:paraId="40B4985F" w14:textId="77777777" w:rsidR="00B430A0" w:rsidRDefault="00000000">
            <w:pPr>
              <w:pStyle w:val="ListParagraph"/>
              <w:numPr>
                <w:ilvl w:val="0"/>
                <w:numId w:val="2"/>
              </w:numPr>
              <w:spacing w:before="50" w:after="50"/>
            </w:pPr>
            <w:r>
              <w:rPr>
                <w:color w:val="854F0B"/>
              </w:rPr>
              <w:t>SMB Services — internal SMB accessible from compromised workstation; used for LSARPC and SAMR enumeration against 10.1.21.2</w:t>
            </w:r>
          </w:p>
          <w:p w14:paraId="6B463B2B" w14:textId="77777777" w:rsidR="00B430A0" w:rsidRDefault="00000000">
            <w:pPr>
              <w:pStyle w:val="ListParagraph"/>
              <w:numPr>
                <w:ilvl w:val="0"/>
                <w:numId w:val="2"/>
              </w:numPr>
              <w:spacing w:before="50" w:after="50"/>
            </w:pPr>
            <w:r>
              <w:rPr>
                <w:color w:val="854F0B"/>
              </w:rPr>
              <w:t>User Authentication Interfaces — login endpoints susceptible to credential stuffing, brute force, and authentication bypass attacks</w:t>
            </w:r>
          </w:p>
        </w:tc>
      </w:tr>
    </w:tbl>
    <w:p w14:paraId="689C9FAD" w14:textId="77777777" w:rsidR="00B430A0" w:rsidRDefault="00B430A0">
      <w:pPr>
        <w:spacing w:after="80"/>
      </w:pPr>
    </w:p>
    <w:p w14:paraId="5BA69F31" w14:textId="77777777" w:rsidR="00B430A0" w:rsidRDefault="00000000">
      <w:pPr>
        <w:pStyle w:val="Heading1"/>
        <w:pBdr>
          <w:bottom w:val="single" w:sz="8" w:space="4" w:color="A32D2D"/>
        </w:pBdr>
      </w:pPr>
      <w:r>
        <w:lastRenderedPageBreak/>
        <w:t>5. Key Threats</w:t>
      </w:r>
    </w:p>
    <w:p w14:paraId="2235FFE2" w14:textId="77777777" w:rsidR="00B430A0" w:rsidRDefault="00000000">
      <w:pPr>
        <w:spacing w:before="60" w:after="60"/>
      </w:pPr>
      <w:r>
        <w:t>The table below maps each identified threat to its supporting evidence from Workstream A (Network Forensics) and Workstream B (Web Application Security Assessment).</w:t>
      </w:r>
    </w:p>
    <w:tbl>
      <w:tblPr>
        <w:tblpPr w:leftFromText="180" w:rightFromText="180" w:vertAnchor="text" w:horzAnchor="margin" w:tblpY="31"/>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9"/>
        <w:gridCol w:w="4859"/>
      </w:tblGrid>
      <w:tr w:rsidR="00FF3A17" w14:paraId="6B9E2F7B" w14:textId="77777777" w:rsidTr="00FF3A17">
        <w:tblPrEx>
          <w:tblCellMar>
            <w:top w:w="0" w:type="dxa"/>
            <w:bottom w:w="0" w:type="dxa"/>
          </w:tblCellMar>
        </w:tblPrEx>
        <w:trPr>
          <w:trHeight w:val="141"/>
        </w:trPr>
        <w:tc>
          <w:tcPr>
            <w:tcW w:w="4859" w:type="dxa"/>
            <w:tcBorders>
              <w:top w:val="single" w:sz="1" w:space="0" w:color="D5D8DC"/>
              <w:left w:val="single" w:sz="1" w:space="0" w:color="D5D8DC"/>
              <w:bottom w:val="single" w:sz="1" w:space="0" w:color="D5D8DC"/>
              <w:right w:val="single" w:sz="1" w:space="0" w:color="D5D8DC"/>
            </w:tcBorders>
            <w:shd w:val="clear" w:color="auto" w:fill="3C3489"/>
            <w:tcMar>
              <w:top w:w="90" w:type="dxa"/>
              <w:left w:w="120" w:type="dxa"/>
              <w:bottom w:w="90" w:type="dxa"/>
              <w:right w:w="120" w:type="dxa"/>
            </w:tcMar>
          </w:tcPr>
          <w:p w14:paraId="454690CF" w14:textId="77777777" w:rsidR="00FF3A17" w:rsidRDefault="00FF3A17" w:rsidP="00FF3A17">
            <w:pPr>
              <w:jc w:val="center"/>
            </w:pPr>
            <w:r>
              <w:rPr>
                <w:b/>
                <w:bCs/>
                <w:color w:val="FFFFFF"/>
                <w:sz w:val="19"/>
                <w:szCs w:val="19"/>
              </w:rPr>
              <w:t>Threat</w:t>
            </w:r>
          </w:p>
        </w:tc>
        <w:tc>
          <w:tcPr>
            <w:tcW w:w="4859" w:type="dxa"/>
            <w:tcBorders>
              <w:top w:val="single" w:sz="1" w:space="0" w:color="D5D8DC"/>
              <w:left w:val="single" w:sz="1" w:space="0" w:color="D5D8DC"/>
              <w:bottom w:val="single" w:sz="1" w:space="0" w:color="D5D8DC"/>
              <w:right w:val="single" w:sz="1" w:space="0" w:color="D5D8DC"/>
            </w:tcBorders>
            <w:shd w:val="clear" w:color="auto" w:fill="3C3489"/>
            <w:tcMar>
              <w:top w:w="90" w:type="dxa"/>
              <w:left w:w="120" w:type="dxa"/>
              <w:bottom w:w="90" w:type="dxa"/>
              <w:right w:w="120" w:type="dxa"/>
            </w:tcMar>
          </w:tcPr>
          <w:p w14:paraId="3F2E3B1A" w14:textId="77777777" w:rsidR="00FF3A17" w:rsidRDefault="00FF3A17" w:rsidP="00FF3A17">
            <w:pPr>
              <w:jc w:val="center"/>
            </w:pPr>
            <w:r>
              <w:rPr>
                <w:b/>
                <w:bCs/>
                <w:color w:val="FFFFFF"/>
                <w:sz w:val="19"/>
                <w:szCs w:val="19"/>
              </w:rPr>
              <w:t>Evidence</w:t>
            </w:r>
          </w:p>
        </w:tc>
      </w:tr>
      <w:tr w:rsidR="00FF3A17" w14:paraId="4B62EE03" w14:textId="77777777" w:rsidTr="00FF3A17">
        <w:tblPrEx>
          <w:tblCellMar>
            <w:top w:w="0" w:type="dxa"/>
            <w:bottom w:w="0" w:type="dxa"/>
          </w:tblCellMar>
        </w:tblPrEx>
        <w:trPr>
          <w:trHeight w:val="150"/>
        </w:trPr>
        <w:tc>
          <w:tcPr>
            <w:tcW w:w="485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E907620" w14:textId="77777777" w:rsidR="00FF3A17" w:rsidRDefault="00FF3A17" w:rsidP="00FF3A17">
            <w:r>
              <w:rPr>
                <w:b/>
                <w:bCs/>
                <w:color w:val="3C3489"/>
                <w:sz w:val="19"/>
                <w:szCs w:val="19"/>
              </w:rPr>
              <w:t>Command &amp; Control</w:t>
            </w:r>
          </w:p>
        </w:tc>
        <w:tc>
          <w:tcPr>
            <w:tcW w:w="485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106796" w14:textId="77777777" w:rsidR="00FF3A17" w:rsidRDefault="00FF3A17" w:rsidP="00FF3A17">
            <w:r>
              <w:rPr>
                <w:sz w:val="19"/>
                <w:szCs w:val="19"/>
              </w:rPr>
              <w:t>whitepepper.su, /api/set_agent</w:t>
            </w:r>
          </w:p>
        </w:tc>
      </w:tr>
      <w:tr w:rsidR="00FF3A17" w14:paraId="06E8625E" w14:textId="77777777" w:rsidTr="00FF3A17">
        <w:tblPrEx>
          <w:tblCellMar>
            <w:top w:w="0" w:type="dxa"/>
            <w:bottom w:w="0" w:type="dxa"/>
          </w:tblCellMar>
        </w:tblPrEx>
        <w:trPr>
          <w:trHeight w:val="150"/>
        </w:trPr>
        <w:tc>
          <w:tcPr>
            <w:tcW w:w="4859"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D51C122" w14:textId="77777777" w:rsidR="00FF3A17" w:rsidRDefault="00FF3A17" w:rsidP="00FF3A17">
            <w:r>
              <w:rPr>
                <w:b/>
                <w:bCs/>
                <w:color w:val="3C3489"/>
                <w:sz w:val="19"/>
                <w:szCs w:val="19"/>
              </w:rPr>
              <w:t>Account Enumeration</w:t>
            </w:r>
          </w:p>
        </w:tc>
        <w:tc>
          <w:tcPr>
            <w:tcW w:w="4859"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46AF93D" w14:textId="77777777" w:rsidR="00FF3A17" w:rsidRDefault="00FF3A17" w:rsidP="00FF3A17">
            <w:r>
              <w:rPr>
                <w:sz w:val="19"/>
                <w:szCs w:val="19"/>
              </w:rPr>
              <w:t>LSARPC / SAMR</w:t>
            </w:r>
          </w:p>
        </w:tc>
      </w:tr>
      <w:tr w:rsidR="00FF3A17" w14:paraId="7F61ED95" w14:textId="77777777" w:rsidTr="00FF3A17">
        <w:tblPrEx>
          <w:tblCellMar>
            <w:top w:w="0" w:type="dxa"/>
            <w:bottom w:w="0" w:type="dxa"/>
          </w:tblCellMar>
        </w:tblPrEx>
        <w:trPr>
          <w:trHeight w:val="141"/>
        </w:trPr>
        <w:tc>
          <w:tcPr>
            <w:tcW w:w="485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127562" w14:textId="77777777" w:rsidR="00FF3A17" w:rsidRDefault="00FF3A17" w:rsidP="00FF3A17">
            <w:r>
              <w:rPr>
                <w:b/>
                <w:bCs/>
                <w:color w:val="3C3489"/>
                <w:sz w:val="19"/>
                <w:szCs w:val="19"/>
              </w:rPr>
              <w:t>Credential Abuse</w:t>
            </w:r>
          </w:p>
        </w:tc>
        <w:tc>
          <w:tcPr>
            <w:tcW w:w="485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2E0426" w14:textId="77777777" w:rsidR="00FF3A17" w:rsidRDefault="00FF3A17" w:rsidP="00FF3A17">
            <w:r>
              <w:rPr>
                <w:sz w:val="19"/>
                <w:szCs w:val="19"/>
              </w:rPr>
              <w:t>AD Reconnaissance</w:t>
            </w:r>
          </w:p>
        </w:tc>
      </w:tr>
      <w:tr w:rsidR="00FF3A17" w14:paraId="38FA80E7" w14:textId="77777777" w:rsidTr="00FF3A17">
        <w:tblPrEx>
          <w:tblCellMar>
            <w:top w:w="0" w:type="dxa"/>
            <w:bottom w:w="0" w:type="dxa"/>
          </w:tblCellMar>
        </w:tblPrEx>
        <w:trPr>
          <w:trHeight w:val="150"/>
        </w:trPr>
        <w:tc>
          <w:tcPr>
            <w:tcW w:w="4859"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AE46DC7" w14:textId="77777777" w:rsidR="00FF3A17" w:rsidRDefault="00FF3A17" w:rsidP="00FF3A17">
            <w:r>
              <w:rPr>
                <w:b/>
                <w:bCs/>
                <w:color w:val="3C3489"/>
                <w:sz w:val="19"/>
                <w:szCs w:val="19"/>
              </w:rPr>
              <w:t>SQL Injection</w:t>
            </w:r>
          </w:p>
        </w:tc>
        <w:tc>
          <w:tcPr>
            <w:tcW w:w="4859"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85466D9" w14:textId="77777777" w:rsidR="00FF3A17" w:rsidRDefault="00FF3A17" w:rsidP="00FF3A17">
            <w:r>
              <w:rPr>
                <w:sz w:val="19"/>
                <w:szCs w:val="19"/>
              </w:rPr>
              <w:t>F-01</w:t>
            </w:r>
          </w:p>
        </w:tc>
      </w:tr>
      <w:tr w:rsidR="00FF3A17" w14:paraId="343851C8" w14:textId="77777777" w:rsidTr="00FF3A17">
        <w:tblPrEx>
          <w:tblCellMar>
            <w:top w:w="0" w:type="dxa"/>
            <w:bottom w:w="0" w:type="dxa"/>
          </w:tblCellMar>
        </w:tblPrEx>
        <w:trPr>
          <w:trHeight w:val="150"/>
        </w:trPr>
        <w:tc>
          <w:tcPr>
            <w:tcW w:w="485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2FF13C" w14:textId="77777777" w:rsidR="00FF3A17" w:rsidRDefault="00FF3A17" w:rsidP="00FF3A17">
            <w:r>
              <w:rPr>
                <w:b/>
                <w:bCs/>
                <w:color w:val="3C3489"/>
                <w:sz w:val="19"/>
                <w:szCs w:val="19"/>
              </w:rPr>
              <w:t>XSS</w:t>
            </w:r>
          </w:p>
        </w:tc>
        <w:tc>
          <w:tcPr>
            <w:tcW w:w="485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468A67" w14:textId="77777777" w:rsidR="00FF3A17" w:rsidRDefault="00FF3A17" w:rsidP="00FF3A17">
            <w:r>
              <w:rPr>
                <w:sz w:val="19"/>
                <w:szCs w:val="19"/>
              </w:rPr>
              <w:t>F-02</w:t>
            </w:r>
          </w:p>
        </w:tc>
      </w:tr>
      <w:tr w:rsidR="00FF3A17" w14:paraId="0D1E5F07" w14:textId="77777777" w:rsidTr="00FF3A17">
        <w:tblPrEx>
          <w:tblCellMar>
            <w:top w:w="0" w:type="dxa"/>
            <w:bottom w:w="0" w:type="dxa"/>
          </w:tblCellMar>
        </w:tblPrEx>
        <w:trPr>
          <w:trHeight w:val="150"/>
        </w:trPr>
        <w:tc>
          <w:tcPr>
            <w:tcW w:w="4859"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FA6409E" w14:textId="77777777" w:rsidR="00FF3A17" w:rsidRDefault="00FF3A17" w:rsidP="00FF3A17">
            <w:r>
              <w:rPr>
                <w:b/>
                <w:bCs/>
                <w:color w:val="3C3489"/>
                <w:sz w:val="19"/>
                <w:szCs w:val="19"/>
              </w:rPr>
              <w:t>Authentication Failure</w:t>
            </w:r>
          </w:p>
        </w:tc>
        <w:tc>
          <w:tcPr>
            <w:tcW w:w="4859"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809DADE" w14:textId="77777777" w:rsidR="00FF3A17" w:rsidRDefault="00FF3A17" w:rsidP="00FF3A17">
            <w:r>
              <w:rPr>
                <w:sz w:val="19"/>
                <w:szCs w:val="19"/>
              </w:rPr>
              <w:t>F-03</w:t>
            </w:r>
          </w:p>
        </w:tc>
      </w:tr>
      <w:tr w:rsidR="00FF3A17" w14:paraId="79823D60" w14:textId="77777777" w:rsidTr="00FF3A17">
        <w:tblPrEx>
          <w:tblCellMar>
            <w:top w:w="0" w:type="dxa"/>
            <w:bottom w:w="0" w:type="dxa"/>
          </w:tblCellMar>
        </w:tblPrEx>
        <w:trPr>
          <w:trHeight w:val="141"/>
        </w:trPr>
        <w:tc>
          <w:tcPr>
            <w:tcW w:w="485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3043FE" w14:textId="77777777" w:rsidR="00FF3A17" w:rsidRDefault="00FF3A17" w:rsidP="00FF3A17">
            <w:r>
              <w:rPr>
                <w:b/>
                <w:bCs/>
                <w:color w:val="3C3489"/>
                <w:sz w:val="19"/>
                <w:szCs w:val="19"/>
              </w:rPr>
              <w:t>File Upload Abuse</w:t>
            </w:r>
          </w:p>
        </w:tc>
        <w:tc>
          <w:tcPr>
            <w:tcW w:w="485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AD46CF" w14:textId="77777777" w:rsidR="00FF3A17" w:rsidRDefault="00FF3A17" w:rsidP="00FF3A17">
            <w:r>
              <w:rPr>
                <w:sz w:val="19"/>
                <w:szCs w:val="19"/>
              </w:rPr>
              <w:t>F-04</w:t>
            </w:r>
          </w:p>
        </w:tc>
      </w:tr>
      <w:tr w:rsidR="00FF3A17" w14:paraId="47DBF24A" w14:textId="77777777" w:rsidTr="00FF3A17">
        <w:tblPrEx>
          <w:tblCellMar>
            <w:top w:w="0" w:type="dxa"/>
            <w:bottom w:w="0" w:type="dxa"/>
          </w:tblCellMar>
        </w:tblPrEx>
        <w:trPr>
          <w:trHeight w:val="150"/>
        </w:trPr>
        <w:tc>
          <w:tcPr>
            <w:tcW w:w="4859"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4798556" w14:textId="77777777" w:rsidR="00FF3A17" w:rsidRDefault="00FF3A17" w:rsidP="00FF3A17">
            <w:r>
              <w:rPr>
                <w:b/>
                <w:bCs/>
                <w:color w:val="3C3489"/>
                <w:sz w:val="19"/>
                <w:szCs w:val="19"/>
              </w:rPr>
              <w:t>IDOR</w:t>
            </w:r>
          </w:p>
        </w:tc>
        <w:tc>
          <w:tcPr>
            <w:tcW w:w="4859"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4FCF8A8" w14:textId="77777777" w:rsidR="00FF3A17" w:rsidRDefault="00FF3A17" w:rsidP="00FF3A17">
            <w:r>
              <w:rPr>
                <w:sz w:val="19"/>
                <w:szCs w:val="19"/>
              </w:rPr>
              <w:t>F-05</w:t>
            </w:r>
          </w:p>
        </w:tc>
      </w:tr>
    </w:tbl>
    <w:p w14:paraId="55E536BB" w14:textId="77777777" w:rsidR="00B430A0" w:rsidRDefault="00B430A0">
      <w:pPr>
        <w:spacing w:after="80"/>
      </w:pPr>
    </w:p>
    <w:p w14:paraId="55717ED2" w14:textId="77777777" w:rsidR="00B430A0" w:rsidRDefault="00000000">
      <w:pPr>
        <w:pStyle w:val="Heading1"/>
        <w:pBdr>
          <w:bottom w:val="single" w:sz="8" w:space="4" w:color="A32D2D"/>
        </w:pBdr>
      </w:pPr>
      <w:r>
        <w:t>6. Business Impact</w:t>
      </w:r>
    </w:p>
    <w:p w14:paraId="7E1B24CA" w14:textId="77777777" w:rsidR="00B430A0" w:rsidRDefault="00000000">
      <w:pPr>
        <w:spacing w:before="60" w:after="60"/>
      </w:pPr>
      <w:r>
        <w:t>Successful exploitation of the identified threats could result in the following material business consequences for Meridian FinServe.</w:t>
      </w:r>
    </w:p>
    <w:p w14:paraId="725F45CD" w14:textId="77777777" w:rsidR="00B430A0" w:rsidRDefault="00B430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430A0" w14:paraId="48626E6A" w14:textId="77777777">
        <w:tblPrEx>
          <w:tblCellMar>
            <w:top w:w="0" w:type="dxa"/>
            <w:bottom w:w="0" w:type="dxa"/>
          </w:tblCellMar>
        </w:tblPrEx>
        <w:tc>
          <w:tcPr>
            <w:tcW w:w="200" w:type="dxa"/>
            <w:tcBorders>
              <w:top w:val="none" w:sz="0" w:space="0" w:color="FFFFFF"/>
              <w:left w:val="single" w:sz="16" w:space="0" w:color="A32D2D"/>
              <w:bottom w:val="none" w:sz="0" w:space="0" w:color="FFFFFF"/>
              <w:right w:val="none" w:sz="0" w:space="0" w:color="FFFFFF"/>
            </w:tcBorders>
            <w:shd w:val="clear" w:color="auto" w:fill="FCEBEB"/>
            <w:tcMar>
              <w:top w:w="80" w:type="dxa"/>
              <w:left w:w="80" w:type="dxa"/>
              <w:bottom w:w="80" w:type="dxa"/>
              <w:right w:w="0" w:type="dxa"/>
            </w:tcMar>
          </w:tcPr>
          <w:p w14:paraId="4C05C361" w14:textId="77777777" w:rsidR="00B430A0" w:rsidRDefault="00B430A0"/>
        </w:tc>
        <w:tc>
          <w:tcPr>
            <w:tcW w:w="9160" w:type="dxa"/>
            <w:tcBorders>
              <w:top w:val="none" w:sz="0" w:space="0" w:color="FFFFFF"/>
              <w:left w:val="none" w:sz="0" w:space="0" w:color="FFFFFF"/>
              <w:bottom w:val="none" w:sz="0" w:space="0" w:color="FFFFFF"/>
              <w:right w:val="none" w:sz="0" w:space="0" w:color="FFFFFF"/>
            </w:tcBorders>
            <w:shd w:val="clear" w:color="auto" w:fill="FCEBEB"/>
            <w:tcMar>
              <w:top w:w="100" w:type="dxa"/>
              <w:left w:w="140" w:type="dxa"/>
              <w:bottom w:w="100" w:type="dxa"/>
              <w:right w:w="140" w:type="dxa"/>
            </w:tcMar>
          </w:tcPr>
          <w:p w14:paraId="14254E76" w14:textId="77777777" w:rsidR="00B430A0" w:rsidRDefault="00000000">
            <w:pPr>
              <w:spacing w:after="80"/>
            </w:pPr>
            <w:r>
              <w:rPr>
                <w:b/>
                <w:bCs/>
                <w:color w:val="791F1F"/>
              </w:rPr>
              <w:t>Potential Business Consequences</w:t>
            </w:r>
          </w:p>
          <w:p w14:paraId="763FBFC2" w14:textId="77777777" w:rsidR="00B430A0" w:rsidRDefault="00000000">
            <w:pPr>
              <w:pStyle w:val="ListParagraph"/>
              <w:numPr>
                <w:ilvl w:val="0"/>
                <w:numId w:val="2"/>
              </w:numPr>
              <w:spacing w:before="50" w:after="50"/>
            </w:pPr>
            <w:r>
              <w:rPr>
                <w:color w:val="791F1F"/>
              </w:rPr>
              <w:t>Customer Data Exposure — unauthorised disclosure of customer PII and financial records, triggering notification obligations under applicable data protection law</w:t>
            </w:r>
          </w:p>
          <w:p w14:paraId="06AC6CD7" w14:textId="77777777" w:rsidR="00B430A0" w:rsidRDefault="00000000">
            <w:pPr>
              <w:pStyle w:val="ListParagraph"/>
              <w:numPr>
                <w:ilvl w:val="0"/>
                <w:numId w:val="2"/>
              </w:numPr>
              <w:spacing w:before="50" w:after="50"/>
            </w:pPr>
            <w:r>
              <w:rPr>
                <w:color w:val="791F1F"/>
              </w:rPr>
              <w:t>Financial Fraud — account takeover and transaction manipulation resulting in direct monetary loss to customers and the organisation</w:t>
            </w:r>
          </w:p>
          <w:p w14:paraId="1FD83538" w14:textId="77777777" w:rsidR="00B430A0" w:rsidRDefault="00000000">
            <w:pPr>
              <w:pStyle w:val="ListParagraph"/>
              <w:numPr>
                <w:ilvl w:val="0"/>
                <w:numId w:val="2"/>
              </w:numPr>
              <w:spacing w:before="50" w:after="50"/>
            </w:pPr>
            <w:r>
              <w:rPr>
                <w:color w:val="791F1F"/>
              </w:rPr>
              <w:t>Regulatory Penalties — breach of financial services and data protection regulations may result in significant fines, enforcement action, and mandatory remediation</w:t>
            </w:r>
          </w:p>
          <w:p w14:paraId="447E7943" w14:textId="77777777" w:rsidR="00B430A0" w:rsidRDefault="00000000">
            <w:pPr>
              <w:pStyle w:val="ListParagraph"/>
              <w:numPr>
                <w:ilvl w:val="0"/>
                <w:numId w:val="2"/>
              </w:numPr>
              <w:spacing w:before="50" w:after="50"/>
            </w:pPr>
            <w:r>
              <w:rPr>
                <w:color w:val="791F1F"/>
              </w:rPr>
              <w:t>Reputational Damage — loss of customer trust, adverse press coverage, and long-term impact on customer acquisition and retention</w:t>
            </w:r>
          </w:p>
          <w:p w14:paraId="42FEE9F7" w14:textId="77777777" w:rsidR="00B430A0" w:rsidRDefault="00000000">
            <w:pPr>
              <w:pStyle w:val="ListParagraph"/>
              <w:numPr>
                <w:ilvl w:val="0"/>
                <w:numId w:val="2"/>
              </w:numPr>
              <w:spacing w:before="50" w:after="50"/>
            </w:pPr>
            <w:r>
              <w:rPr>
                <w:color w:val="791F1F"/>
              </w:rPr>
              <w:t>Privilege Escalation — attacker progression from standard user access to administrative or system-level control, amplifying all other impacts</w:t>
            </w:r>
          </w:p>
        </w:tc>
      </w:tr>
    </w:tbl>
    <w:p w14:paraId="0332AF81" w14:textId="77777777" w:rsidR="00B430A0" w:rsidRDefault="00B430A0">
      <w:pPr>
        <w:spacing w:after="80"/>
      </w:pPr>
    </w:p>
    <w:p w14:paraId="4A8396EB" w14:textId="77777777" w:rsidR="00B430A0" w:rsidRDefault="00000000">
      <w:pPr>
        <w:pStyle w:val="Heading1"/>
        <w:pBdr>
          <w:bottom w:val="single" w:sz="8" w:space="4" w:color="A32D2D"/>
        </w:pBdr>
      </w:pPr>
      <w:r>
        <w:t>7. Overall Risk</w:t>
      </w:r>
    </w:p>
    <w:p w14:paraId="354191E9" w14:textId="77777777" w:rsidR="00B430A0" w:rsidRDefault="00000000">
      <w:pPr>
        <w:spacing w:before="60" w:after="60"/>
      </w:pPr>
      <w:r>
        <w:t>The combined assessment of threat actor capability, asset exposure, entry point accessibility, and vulnerability density yields the following overall risk rating.</w:t>
      </w:r>
    </w:p>
    <w:p w14:paraId="2F876EA3" w14:textId="77777777" w:rsidR="00B430A0" w:rsidRDefault="00B430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430A0" w14:paraId="7E33C0C7"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A32D2D"/>
            <w:tcMar>
              <w:top w:w="120" w:type="dxa"/>
              <w:left w:w="140" w:type="dxa"/>
              <w:bottom w:w="120" w:type="dxa"/>
              <w:right w:w="140" w:type="dxa"/>
            </w:tcMar>
            <w:vAlign w:val="center"/>
          </w:tcPr>
          <w:p w14:paraId="79AC38A1" w14:textId="77777777" w:rsidR="00B430A0" w:rsidRDefault="00000000">
            <w:pPr>
              <w:jc w:val="center"/>
            </w:pPr>
            <w:r>
              <w:rPr>
                <w:b/>
                <w:bCs/>
                <w:color w:val="FFFFFF"/>
                <w:sz w:val="22"/>
                <w:szCs w:val="22"/>
              </w:rPr>
              <w:t>Overall Risk Rating</w:t>
            </w:r>
          </w:p>
        </w:tc>
        <w:tc>
          <w:tcPr>
            <w:tcW w:w="6360" w:type="dxa"/>
            <w:tcBorders>
              <w:top w:val="single" w:sz="1" w:space="0" w:color="D5D8DC"/>
              <w:left w:val="single" w:sz="1" w:space="0" w:color="D5D8DC"/>
              <w:bottom w:val="single" w:sz="1" w:space="0" w:color="D5D8DC"/>
              <w:right w:val="single" w:sz="1" w:space="0" w:color="D5D8DC"/>
            </w:tcBorders>
            <w:shd w:val="clear" w:color="auto" w:fill="FCEBEB"/>
            <w:tcMar>
              <w:top w:w="120" w:type="dxa"/>
              <w:left w:w="140" w:type="dxa"/>
              <w:bottom w:w="120" w:type="dxa"/>
              <w:right w:w="140" w:type="dxa"/>
            </w:tcMar>
            <w:vAlign w:val="center"/>
          </w:tcPr>
          <w:p w14:paraId="5F057B63" w14:textId="6603F69E" w:rsidR="00B430A0" w:rsidRDefault="00FF3A17">
            <w:pPr>
              <w:jc w:val="center"/>
            </w:pPr>
            <w:r>
              <w:rPr>
                <w:rFonts w:ascii="Segoe UI Symbol" w:hAnsi="Segoe UI Symbol" w:cs="Segoe UI Symbol"/>
                <w:b/>
                <w:bCs/>
                <w:color w:val="A32D2D"/>
                <w:sz w:val="32"/>
                <w:szCs w:val="32"/>
              </w:rPr>
              <w:t>⚠</w:t>
            </w:r>
            <w:r>
              <w:rPr>
                <w:b/>
                <w:bCs/>
                <w:color w:val="A32D2D"/>
                <w:sz w:val="32"/>
                <w:szCs w:val="32"/>
              </w:rPr>
              <w:t xml:space="preserve"> CRITICAL</w:t>
            </w:r>
          </w:p>
          <w:p w14:paraId="705B6B64" w14:textId="77777777" w:rsidR="00B430A0" w:rsidRDefault="00000000">
            <w:pPr>
              <w:spacing w:before="40"/>
              <w:jc w:val="center"/>
            </w:pPr>
            <w:r>
              <w:rPr>
                <w:i/>
                <w:iCs/>
                <w:color w:val="791F1F"/>
                <w:sz w:val="18"/>
                <w:szCs w:val="18"/>
              </w:rPr>
              <w:t>The environment currently lacks sufficient controls to interrupt the attack chain at any single stage.</w:t>
            </w:r>
          </w:p>
        </w:tc>
      </w:tr>
    </w:tbl>
    <w:p w14:paraId="2A1FE53A" w14:textId="77777777" w:rsidR="00FF3A17" w:rsidRDefault="00FF3A17" w:rsidP="00FF3A17">
      <w:pPr>
        <w:spacing w:before="60" w:after="60"/>
      </w:pPr>
      <w:r>
        <w:rPr>
          <w:i/>
          <w:iCs/>
          <w:color w:val="791F1F"/>
        </w:rPr>
        <w:t>The environment currently lacks sufficient preventive and detective controls to interrupt the attack chain at any single stage. Immediate remediation action is required across endpoint security, network segmentation, and web application hardening to reduce the overall risk rating to an acceptable level.</w:t>
      </w:r>
    </w:p>
    <w:sectPr w:rsidR="00FF3A1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895A" w14:textId="77777777" w:rsidR="00CC2D5C" w:rsidRDefault="00CC2D5C">
      <w:r>
        <w:separator/>
      </w:r>
    </w:p>
  </w:endnote>
  <w:endnote w:type="continuationSeparator" w:id="0">
    <w:p w14:paraId="498A469D" w14:textId="77777777" w:rsidR="00CC2D5C" w:rsidRDefault="00CC2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2ADD" w14:textId="49293EEB" w:rsidR="00FF3A17" w:rsidRPr="00FF3A17" w:rsidRDefault="00FF3A17">
    <w:pPr>
      <w:pBdr>
        <w:top w:val="single" w:sz="4" w:space="4" w:color="D5D8DC"/>
      </w:pBdr>
      <w:spacing w:before="80"/>
      <w:rPr>
        <w:color w:val="AEB6BF"/>
        <w:sz w:val="16"/>
        <w:szCs w:val="16"/>
      </w:rPr>
    </w:pPr>
    <w:r>
      <w:rPr>
        <w:color w:val="AEB6BF"/>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9004" w14:textId="77777777" w:rsidR="00CC2D5C" w:rsidRDefault="00CC2D5C">
      <w:r>
        <w:separator/>
      </w:r>
    </w:p>
  </w:footnote>
  <w:footnote w:type="continuationSeparator" w:id="0">
    <w:p w14:paraId="1531B857" w14:textId="77777777" w:rsidR="00CC2D5C" w:rsidRDefault="00CC2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BF11" w14:textId="35DAE1CB" w:rsidR="00FF3A17" w:rsidRPr="00FF3A17" w:rsidRDefault="00FF3A17">
    <w:pPr>
      <w:pBdr>
        <w:bottom w:val="single" w:sz="6" w:space="4" w:color="A32D2D"/>
      </w:pBdr>
      <w:tabs>
        <w:tab w:val="right" w:pos="9026"/>
      </w:tabs>
      <w:spacing w:after="100"/>
      <w:rPr>
        <w:b/>
        <w:bCs/>
        <w:color w:val="A32D2D"/>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004"/>
    <w:multiLevelType w:val="hybridMultilevel"/>
    <w:tmpl w:val="4A3068B2"/>
    <w:lvl w:ilvl="0" w:tplc="E2D21B70">
      <w:start w:val="1"/>
      <w:numFmt w:val="bullet"/>
      <w:lvlText w:val="●"/>
      <w:lvlJc w:val="left"/>
      <w:pPr>
        <w:ind w:left="720" w:hanging="360"/>
      </w:pPr>
    </w:lvl>
    <w:lvl w:ilvl="1" w:tplc="E8E2C964">
      <w:start w:val="1"/>
      <w:numFmt w:val="bullet"/>
      <w:lvlText w:val="○"/>
      <w:lvlJc w:val="left"/>
      <w:pPr>
        <w:ind w:left="1440" w:hanging="360"/>
      </w:pPr>
    </w:lvl>
    <w:lvl w:ilvl="2" w:tplc="B6600D04">
      <w:start w:val="1"/>
      <w:numFmt w:val="bullet"/>
      <w:lvlText w:val="■"/>
      <w:lvlJc w:val="left"/>
      <w:pPr>
        <w:ind w:left="2160" w:hanging="360"/>
      </w:pPr>
    </w:lvl>
    <w:lvl w:ilvl="3" w:tplc="D3B0961E">
      <w:start w:val="1"/>
      <w:numFmt w:val="bullet"/>
      <w:lvlText w:val="●"/>
      <w:lvlJc w:val="left"/>
      <w:pPr>
        <w:ind w:left="2880" w:hanging="360"/>
      </w:pPr>
    </w:lvl>
    <w:lvl w:ilvl="4" w:tplc="A3289EBC">
      <w:start w:val="1"/>
      <w:numFmt w:val="bullet"/>
      <w:lvlText w:val="○"/>
      <w:lvlJc w:val="left"/>
      <w:pPr>
        <w:ind w:left="3600" w:hanging="360"/>
      </w:pPr>
    </w:lvl>
    <w:lvl w:ilvl="5" w:tplc="41301A6C">
      <w:start w:val="1"/>
      <w:numFmt w:val="bullet"/>
      <w:lvlText w:val="■"/>
      <w:lvlJc w:val="left"/>
      <w:pPr>
        <w:ind w:left="4320" w:hanging="360"/>
      </w:pPr>
    </w:lvl>
    <w:lvl w:ilvl="6" w:tplc="11682C2C">
      <w:start w:val="1"/>
      <w:numFmt w:val="bullet"/>
      <w:lvlText w:val="●"/>
      <w:lvlJc w:val="left"/>
      <w:pPr>
        <w:ind w:left="5040" w:hanging="360"/>
      </w:pPr>
    </w:lvl>
    <w:lvl w:ilvl="7" w:tplc="2138ED3E">
      <w:start w:val="1"/>
      <w:numFmt w:val="bullet"/>
      <w:lvlText w:val="●"/>
      <w:lvlJc w:val="left"/>
      <w:pPr>
        <w:ind w:left="5760" w:hanging="360"/>
      </w:pPr>
    </w:lvl>
    <w:lvl w:ilvl="8" w:tplc="0590CF82">
      <w:start w:val="1"/>
      <w:numFmt w:val="bullet"/>
      <w:lvlText w:val="●"/>
      <w:lvlJc w:val="left"/>
      <w:pPr>
        <w:ind w:left="6480" w:hanging="360"/>
      </w:pPr>
    </w:lvl>
  </w:abstractNum>
  <w:abstractNum w:abstractNumId="1" w15:restartNumberingAfterBreak="0">
    <w:nsid w:val="71DA1368"/>
    <w:multiLevelType w:val="hybridMultilevel"/>
    <w:tmpl w:val="812632C8"/>
    <w:lvl w:ilvl="0" w:tplc="A63CD608">
      <w:start w:val="1"/>
      <w:numFmt w:val="bullet"/>
      <w:lvlText w:val="•"/>
      <w:lvlJc w:val="left"/>
      <w:pPr>
        <w:ind w:left="600" w:hanging="300"/>
      </w:pPr>
    </w:lvl>
    <w:lvl w:ilvl="1" w:tplc="AF24AF34">
      <w:numFmt w:val="decimal"/>
      <w:lvlText w:val=""/>
      <w:lvlJc w:val="left"/>
    </w:lvl>
    <w:lvl w:ilvl="2" w:tplc="CCEE711E">
      <w:numFmt w:val="decimal"/>
      <w:lvlText w:val=""/>
      <w:lvlJc w:val="left"/>
    </w:lvl>
    <w:lvl w:ilvl="3" w:tplc="ED1CE29C">
      <w:numFmt w:val="decimal"/>
      <w:lvlText w:val=""/>
      <w:lvlJc w:val="left"/>
    </w:lvl>
    <w:lvl w:ilvl="4" w:tplc="377C0BBC">
      <w:numFmt w:val="decimal"/>
      <w:lvlText w:val=""/>
      <w:lvlJc w:val="left"/>
    </w:lvl>
    <w:lvl w:ilvl="5" w:tplc="97E6F79E">
      <w:numFmt w:val="decimal"/>
      <w:lvlText w:val=""/>
      <w:lvlJc w:val="left"/>
    </w:lvl>
    <w:lvl w:ilvl="6" w:tplc="20CA4B14">
      <w:numFmt w:val="decimal"/>
      <w:lvlText w:val=""/>
      <w:lvlJc w:val="left"/>
    </w:lvl>
    <w:lvl w:ilvl="7" w:tplc="C090E180">
      <w:numFmt w:val="decimal"/>
      <w:lvlText w:val=""/>
      <w:lvlJc w:val="left"/>
    </w:lvl>
    <w:lvl w:ilvl="8" w:tplc="9FE8FEB8">
      <w:numFmt w:val="decimal"/>
      <w:lvlText w:val=""/>
      <w:lvlJc w:val="left"/>
    </w:lvl>
  </w:abstractNum>
  <w:num w:numId="1" w16cid:durableId="133761106">
    <w:abstractNumId w:val="0"/>
    <w:lvlOverride w:ilvl="0">
      <w:startOverride w:val="1"/>
    </w:lvlOverride>
  </w:num>
  <w:num w:numId="2" w16cid:durableId="1418281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0A0"/>
    <w:rsid w:val="00B430A0"/>
    <w:rsid w:val="00CC2D5C"/>
    <w:rsid w:val="00F30598"/>
    <w:rsid w:val="00FF3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FF3E6"/>
  <w15:docId w15:val="{C5456E81-FF95-4104-9552-3D66AAD5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A17"/>
  </w:style>
  <w:style w:type="paragraph" w:styleId="Heading1">
    <w:name w:val="heading 1"/>
    <w:uiPriority w:val="9"/>
    <w:qFormat/>
    <w:pPr>
      <w:spacing w:before="300" w:after="140"/>
      <w:outlineLvl w:val="0"/>
    </w:pPr>
    <w:rPr>
      <w:b/>
      <w:bCs/>
      <w:color w:val="791F1F"/>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3A17"/>
    <w:pPr>
      <w:tabs>
        <w:tab w:val="center" w:pos="4513"/>
        <w:tab w:val="right" w:pos="9026"/>
      </w:tabs>
    </w:pPr>
  </w:style>
  <w:style w:type="character" w:customStyle="1" w:styleId="HeaderChar">
    <w:name w:val="Header Char"/>
    <w:basedOn w:val="DefaultParagraphFont"/>
    <w:link w:val="Header"/>
    <w:uiPriority w:val="99"/>
    <w:rsid w:val="00FF3A17"/>
  </w:style>
  <w:style w:type="paragraph" w:styleId="Footer">
    <w:name w:val="footer"/>
    <w:basedOn w:val="Normal"/>
    <w:link w:val="FooterChar"/>
    <w:uiPriority w:val="99"/>
    <w:unhideWhenUsed/>
    <w:rsid w:val="00FF3A17"/>
    <w:pPr>
      <w:tabs>
        <w:tab w:val="center" w:pos="4513"/>
        <w:tab w:val="right" w:pos="9026"/>
      </w:tabs>
    </w:pPr>
  </w:style>
  <w:style w:type="character" w:customStyle="1" w:styleId="FooterChar">
    <w:name w:val="Footer Char"/>
    <w:basedOn w:val="DefaultParagraphFont"/>
    <w:link w:val="Footer"/>
    <w:uiPriority w:val="99"/>
    <w:rsid w:val="00FF3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Indrajit Singh</cp:lastModifiedBy>
  <cp:revision>2</cp:revision>
  <dcterms:created xsi:type="dcterms:W3CDTF">2026-06-10T08:05:00Z</dcterms:created>
  <dcterms:modified xsi:type="dcterms:W3CDTF">2026-06-10T08:05:00Z</dcterms:modified>
</cp:coreProperties>
</file>