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A365D"/>
          <w:sz w:val="40"/>
        </w:rPr>
        <w:t>SUPERMARKET SALES ANALYSIS &amp; OPERATIONAL INTELLIGENCE REPORT</w:t>
      </w:r>
    </w:p>
    <w:p>
      <w:pPr>
        <w:spacing w:after="360"/>
        <w:jc w:val="center"/>
      </w:pPr>
      <w:r>
        <w:rPr>
          <w:rFonts w:ascii="Arial" w:hAnsi="Arial"/>
          <w:i/>
          <w:color w:val="4A5568"/>
          <w:sz w:val="24"/>
        </w:rPr>
        <w:t>Exploratory Data Analysis, Revenue Optimization, and Customer Segmentation</w:t>
        <w:br/>
        <w:t>IBM SkillsBuild Academic Internship Project — Lead Analyst: Indrajit Mandal</w:t>
      </w:r>
    </w:p>
    <w:tbl>
      <w:tblPr>
        <w:tblW w:type="auto" w:w="0"/>
        <w:jc w:val="center"/>
        <w:tblLook w:firstColumn="1" w:firstRow="1" w:lastColumn="0" w:lastRow="0" w:noHBand="0" w:noVBand="1" w:val="04A0"/>
      </w:tblPr>
      <w:tblGrid>
        <w:gridCol w:w="4680"/>
        <w:gridCol w:w="4680"/>
      </w:tblGrid>
      <w:tr>
        <w:tc>
          <w:tcPr>
            <w:tcW w:type="dxa" w:w="4680"/>
            <w:shd w:val="clear" w:color="auto" w:fill="F0F4F8"/>
            <w:tcMar>
              <w:top w:w="60" w:type="dxa"/>
              <w:bottom w:w="60" w:type="dxa"/>
              <w:left w:w="100" w:type="dxa"/>
              <w:right w:w="100" w:type="dxa"/>
            </w:tcMar>
          </w:tcPr>
          <w:p>
            <w:r>
              <w:rPr>
                <w:b/>
                <w:color w:val="1A365D"/>
              </w:rPr>
              <w:t>Author / Lead Analyst:</w:t>
            </w:r>
          </w:p>
        </w:tc>
        <w:tc>
          <w:tcPr>
            <w:tcW w:type="dxa" w:w="4680"/>
            <w:shd w:val="clear" w:color="auto" w:fill="FFFFFF"/>
            <w:tcMar>
              <w:top w:w="60" w:type="dxa"/>
              <w:bottom w:w="60" w:type="dxa"/>
              <w:left w:w="100" w:type="dxa"/>
              <w:right w:w="100" w:type="dxa"/>
            </w:tcMar>
          </w:tcPr>
          <w:p>
            <w:r>
              <w:rPr>
                <w:color w:val="2D3748"/>
              </w:rPr>
              <w:t>Indrajit Mandal (Senior Data Analyst Intern)</w:t>
            </w:r>
          </w:p>
        </w:tc>
      </w:tr>
      <w:tr>
        <w:tc>
          <w:tcPr>
            <w:tcW w:type="dxa" w:w="4680"/>
            <w:shd w:val="clear" w:color="auto" w:fill="F0F4F8"/>
            <w:tcMar>
              <w:top w:w="60" w:type="dxa"/>
              <w:bottom w:w="60" w:type="dxa"/>
              <w:left w:w="100" w:type="dxa"/>
              <w:right w:w="100" w:type="dxa"/>
            </w:tcMar>
          </w:tcPr>
          <w:p>
            <w:r>
              <w:rPr>
                <w:b/>
                <w:color w:val="1A365D"/>
              </w:rPr>
              <w:t>Academic Program:</w:t>
            </w:r>
          </w:p>
        </w:tc>
        <w:tc>
          <w:tcPr>
            <w:tcW w:type="dxa" w:w="4680"/>
            <w:shd w:val="clear" w:color="auto" w:fill="FFFFFF"/>
            <w:tcMar>
              <w:top w:w="60" w:type="dxa"/>
              <w:bottom w:w="60" w:type="dxa"/>
              <w:left w:w="100" w:type="dxa"/>
              <w:right w:w="100" w:type="dxa"/>
            </w:tcMar>
          </w:tcPr>
          <w:p>
            <w:r>
              <w:rPr>
                <w:color w:val="2D3748"/>
              </w:rPr>
              <w:t>IBM SkillsBuild Academic Internship: Data Analytics</w:t>
            </w:r>
          </w:p>
        </w:tc>
      </w:tr>
      <w:tr>
        <w:tc>
          <w:tcPr>
            <w:tcW w:type="dxa" w:w="4680"/>
            <w:shd w:val="clear" w:color="auto" w:fill="F0F4F8"/>
            <w:tcMar>
              <w:top w:w="60" w:type="dxa"/>
              <w:bottom w:w="60" w:type="dxa"/>
              <w:left w:w="100" w:type="dxa"/>
              <w:right w:w="100" w:type="dxa"/>
            </w:tcMar>
          </w:tcPr>
          <w:p>
            <w:r>
              <w:rPr>
                <w:b/>
                <w:color w:val="1A365D"/>
              </w:rPr>
              <w:t>Project Designation:</w:t>
            </w:r>
          </w:p>
        </w:tc>
        <w:tc>
          <w:tcPr>
            <w:tcW w:type="dxa" w:w="4680"/>
            <w:shd w:val="clear" w:color="auto" w:fill="FFFFFF"/>
            <w:tcMar>
              <w:top w:w="60" w:type="dxa"/>
              <w:bottom w:w="60" w:type="dxa"/>
              <w:left w:w="100" w:type="dxa"/>
              <w:right w:w="100" w:type="dxa"/>
            </w:tcMar>
          </w:tcPr>
          <w:p>
            <w:r>
              <w:rPr>
                <w:color w:val="2D3748"/>
              </w:rPr>
              <w:t>Supermarket Sales Analysis DA Project</w:t>
            </w:r>
          </w:p>
        </w:tc>
      </w:tr>
      <w:tr>
        <w:tc>
          <w:tcPr>
            <w:tcW w:type="dxa" w:w="4680"/>
            <w:shd w:val="clear" w:color="auto" w:fill="F0F4F8"/>
            <w:tcMar>
              <w:top w:w="60" w:type="dxa"/>
              <w:bottom w:w="60" w:type="dxa"/>
              <w:left w:w="100" w:type="dxa"/>
              <w:right w:w="100" w:type="dxa"/>
            </w:tcMar>
          </w:tcPr>
          <w:p>
            <w:r>
              <w:rPr>
                <w:b/>
                <w:color w:val="1A365D"/>
              </w:rPr>
              <w:t>Date &amp; Status:</w:t>
            </w:r>
          </w:p>
        </w:tc>
        <w:tc>
          <w:tcPr>
            <w:tcW w:type="dxa" w:w="4680"/>
            <w:shd w:val="clear" w:color="auto" w:fill="FFFFFF"/>
            <w:tcMar>
              <w:top w:w="60" w:type="dxa"/>
              <w:bottom w:w="60" w:type="dxa"/>
              <w:left w:w="100" w:type="dxa"/>
              <w:right w:w="100" w:type="dxa"/>
            </w:tcMar>
          </w:tcPr>
          <w:p>
            <w:r>
              <w:rPr>
                <w:color w:val="2D3748"/>
              </w:rPr>
              <w:t>September 2026 | Final Production Deliverable</w:t>
            </w:r>
          </w:p>
        </w:tc>
      </w:tr>
    </w:tbl>
    <w:p>
      <w:pPr>
        <w:spacing w:after="240"/>
      </w:pPr>
    </w:p>
    <w:p>
      <w:pPr>
        <w:pStyle w:val="Heading1"/>
      </w:pPr>
      <w:r>
        <w:rPr>
          <w:rFonts w:ascii="Arial" w:hAnsi="Arial"/>
          <w:color w:val="1A365D"/>
        </w:rPr>
        <w:t>1. Executive Summary</w:t>
      </w:r>
    </w:p>
    <w:p>
      <w:pPr>
        <w:spacing w:line="276" w:lineRule="auto" w:after="200"/>
      </w:pPr>
      <w:r>
        <w:t>This empirical investigation, conducted by Indrajit Mandal, analyzes 1,000 retail transactions recorded across three regional supermarket branches of a leading retail chain in Myanmar: Branch A (Yangon), Branch B (Mandalay), and Branch C (Naypyitaw). The primary business objective is to diagnose financial revenue drivers, evaluate product line margins, benchmark store efficiency, and uncover consumer purchasing behaviors to deliver actionable, data-backed operational strategies.</w:t>
        <w:br/>
        <w:br/>
        <w:t>Across the analyzed period, the supermarket chain generated $314,880.46 in gross revenue, delivering $14,994.31 in gross operating profit with an overall gross margin rate of 4.76% across 1,000 customer transactions. Top-line revenue demonstrates remarkable geographic balance: Branch A led with $110,247.78 (35.0%), closely followed by Branch B at $109,671.28 (34.8%), and Branch C at $94,961.39 (30.2%). Product velocity was led by Sports and travel ($60,893.39) and Food and beverages ($53,661.42).</w:t>
        <w:br/>
        <w:br/>
        <w:t>However, the analysis uncovered critical operational vulnerabilities: the customer loyalty program fails to generate incremental basket lift (Members average $315.61 vs. $314.15 for non-members), and footfall displays severe bimodal peaks at 16:00 and 19:00, creating store checkout friction. Strategic interventions focus on restructuring the loyalty tier, deploying agile shift scheduling, and implementing dynamic inventory allocation.</w:t>
      </w:r>
    </w:p>
    <w:p>
      <w:pPr>
        <w:pStyle w:val="Heading1"/>
      </w:pPr>
      <w:r>
        <w:rPr>
          <w:rFonts w:ascii="Arial" w:hAnsi="Arial"/>
          <w:color w:val="1A365D"/>
        </w:rPr>
        <w:t>2. Business Problem Definition &amp; Research Questions</w:t>
      </w:r>
    </w:p>
    <w:p>
      <w:pPr>
        <w:spacing w:after="160"/>
      </w:pPr>
      <w:r>
        <w:t>Modern multi-branch supermarket enterprises operate in highly competitive, low-margin retail environments where operational profitability hinges upon inventory velocity, labor productivity, basket size maximization, and customer retention. Retail leadership requires quantitative clarity to deploy capital, schedule personnel, negotiate supplier terms, and optimize physical floor layouts.</w:t>
      </w:r>
    </w:p>
    <w:p>
      <w:pPr>
        <w:spacing w:after="80"/>
      </w:pPr>
      <w:r>
        <w:t>The investigation addresses six core business research questions:</w:t>
      </w:r>
    </w:p>
    <w:p>
      <w:pPr>
        <w:pStyle w:val="ListBullet"/>
        <w:spacing w:after="60"/>
      </w:pPr>
      <w:r>
        <w:rPr>
          <w:b/>
          <w:color w:val="1A365D"/>
        </w:rPr>
        <w:t xml:space="preserve">RQ 1 (Geographic Parity): </w:t>
      </w:r>
      <w:r>
        <w:t>Do the three branches exhibit significant revenue or gross margin divergence across territories?</w:t>
      </w:r>
    </w:p>
    <w:p>
      <w:pPr>
        <w:pStyle w:val="ListBullet"/>
        <w:spacing w:after="60"/>
      </w:pPr>
      <w:r>
        <w:rPr>
          <w:b/>
          <w:color w:val="1A365D"/>
        </w:rPr>
        <w:t xml:space="preserve">RQ 2 (Product Line Margins): </w:t>
      </w:r>
      <w:r>
        <w:t>Which retail categories generate the highest total dollar sales and unit volumes?</w:t>
      </w:r>
    </w:p>
    <w:p>
      <w:pPr>
        <w:pStyle w:val="ListBullet"/>
        <w:spacing w:after="60"/>
      </w:pPr>
      <w:r>
        <w:rPr>
          <w:b/>
          <w:color w:val="1A365D"/>
        </w:rPr>
        <w:t xml:space="preserve">RQ 3 (Customer Loyalty Impact): </w:t>
      </w:r>
      <w:r>
        <w:t>Does the registered loyalty card program stimulate measurably larger basket values?</w:t>
      </w:r>
    </w:p>
    <w:p>
      <w:pPr>
        <w:pStyle w:val="ListBullet"/>
        <w:spacing w:after="60"/>
      </w:pPr>
      <w:r>
        <w:rPr>
          <w:b/>
          <w:color w:val="1A365D"/>
        </w:rPr>
        <w:t xml:space="preserve">RQ 4 (Operating Sales Velocity): </w:t>
      </w:r>
      <w:r>
        <w:t>At what specific hours of the operating day do transaction volumes surge?</w:t>
      </w:r>
    </w:p>
    <w:p>
      <w:pPr>
        <w:pStyle w:val="ListBullet"/>
        <w:spacing w:after="60"/>
      </w:pPr>
      <w:r>
        <w:rPr>
          <w:b/>
          <w:color w:val="1A365D"/>
        </w:rPr>
        <w:t xml:space="preserve">RQ 5 (Payment Dynamics): </w:t>
      </w:r>
      <w:r>
        <w:t>How do customer payment method preferences (Cash, E-wallets, Cards) vary across branches?</w:t>
      </w:r>
    </w:p>
    <w:p>
      <w:pPr>
        <w:pStyle w:val="ListBullet"/>
        <w:spacing w:after="60"/>
      </w:pPr>
      <w:r>
        <w:rPr>
          <w:b/>
          <w:color w:val="1A365D"/>
        </w:rPr>
        <w:t xml:space="preserve">RQ 6 (Customer Satisfaction): </w:t>
      </w:r>
      <w:r>
        <w:t>What is the chain-wide Customer Satisfaction (CSAT) rating profile across product lines?</w:t>
      </w:r>
    </w:p>
    <w:p>
      <w:pPr>
        <w:pStyle w:val="Heading1"/>
      </w:pPr>
      <w:r>
        <w:rPr>
          <w:rFonts w:ascii="Arial" w:hAnsi="Arial"/>
          <w:color w:val="1A365D"/>
        </w:rPr>
        <w:t>3. Data Dictionary &amp; Preprocessing Methodology</w:t>
      </w:r>
    </w:p>
    <w:p>
      <w:pPr>
        <w:spacing w:after="160"/>
      </w:pPr>
      <w:r>
        <w:t>The table below details the canonical 17 features analyzed within the supermarket sales dataset:</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60" w:type="dxa"/>
              <w:bottom w:w="60" w:type="dxa"/>
              <w:left w:w="80" w:type="dxa"/>
              <w:right w:w="80" w:type="dxa"/>
            </w:tcMar>
            <w:shd w:val="clear" w:color="auto" w:fill="1A365D"/>
          </w:tcPr>
          <w:p>
            <w:pPr>
              <w:jc w:val="center"/>
            </w:pPr>
            <w:r>
              <w:rPr>
                <w:rFonts w:ascii="Arial" w:hAnsi="Arial"/>
                <w:b/>
                <w:color w:val="FFFFFF"/>
                <w:sz w:val="19"/>
              </w:rPr>
              <w:t>Attribute</w:t>
            </w:r>
          </w:p>
        </w:tc>
        <w:tc>
          <w:tcPr>
            <w:tcW w:type="dxa" w:w="2340"/>
            <w:tcMar>
              <w:top w:w="60" w:type="dxa"/>
              <w:bottom w:w="60" w:type="dxa"/>
              <w:left w:w="80" w:type="dxa"/>
              <w:right w:w="80" w:type="dxa"/>
            </w:tcMar>
            <w:shd w:val="clear" w:color="auto" w:fill="1A365D"/>
          </w:tcPr>
          <w:p>
            <w:pPr>
              <w:jc w:val="center"/>
            </w:pPr>
            <w:r>
              <w:rPr>
                <w:rFonts w:ascii="Arial" w:hAnsi="Arial"/>
                <w:b/>
                <w:color w:val="FFFFFF"/>
                <w:sz w:val="19"/>
              </w:rPr>
              <w:t>Type</w:t>
            </w:r>
          </w:p>
        </w:tc>
        <w:tc>
          <w:tcPr>
            <w:tcW w:type="dxa" w:w="2340"/>
            <w:tcMar>
              <w:top w:w="60" w:type="dxa"/>
              <w:bottom w:w="60" w:type="dxa"/>
              <w:left w:w="80" w:type="dxa"/>
              <w:right w:w="80" w:type="dxa"/>
            </w:tcMar>
            <w:shd w:val="clear" w:color="auto" w:fill="1A365D"/>
          </w:tcPr>
          <w:p>
            <w:pPr>
              <w:jc w:val="center"/>
            </w:pPr>
            <w:r>
              <w:rPr>
                <w:rFonts w:ascii="Arial" w:hAnsi="Arial"/>
                <w:b/>
                <w:color w:val="FFFFFF"/>
                <w:sz w:val="19"/>
              </w:rPr>
              <w:t>Domain Range / Categories</w:t>
            </w:r>
          </w:p>
        </w:tc>
        <w:tc>
          <w:tcPr>
            <w:tcW w:type="dxa" w:w="2340"/>
            <w:tcMar>
              <w:top w:w="60" w:type="dxa"/>
              <w:bottom w:w="60" w:type="dxa"/>
              <w:left w:w="80" w:type="dxa"/>
              <w:right w:w="80" w:type="dxa"/>
            </w:tcMar>
            <w:shd w:val="clear" w:color="auto" w:fill="1A365D"/>
          </w:tcPr>
          <w:p>
            <w:pPr>
              <w:jc w:val="center"/>
            </w:pPr>
            <w:r>
              <w:rPr>
                <w:rFonts w:ascii="Arial" w:hAnsi="Arial"/>
                <w:b/>
                <w:color w:val="FFFFFF"/>
                <w:sz w:val="19"/>
              </w:rPr>
              <w:t>Description</w:t>
            </w:r>
          </w:p>
        </w:tc>
      </w:tr>
      <w:tr>
        <w:tc>
          <w:tcPr>
            <w:tcW w:type="dxa" w:w="2340"/>
            <w:tcMar>
              <w:top w:w="60" w:type="dxa"/>
              <w:bottom w:w="60" w:type="dxa"/>
              <w:left w:w="80" w:type="dxa"/>
              <w:right w:w="80" w:type="dxa"/>
            </w:tcMar>
            <w:shd w:val="clear" w:color="auto" w:fill="F7FAFC"/>
          </w:tcPr>
          <w:p>
            <w:r>
              <w:rPr>
                <w:rFonts w:ascii="Arial" w:hAnsi="Arial"/>
                <w:b/>
                <w:color w:val="1A365D"/>
                <w:sz w:val="17"/>
              </w:rPr>
              <w:t>invoice_id</w:t>
            </w:r>
          </w:p>
        </w:tc>
        <w:tc>
          <w:tcPr>
            <w:tcW w:type="dxa" w:w="2340"/>
            <w:tcMar>
              <w:top w:w="60" w:type="dxa"/>
              <w:bottom w:w="60" w:type="dxa"/>
              <w:left w:w="80" w:type="dxa"/>
              <w:right w:w="80" w:type="dxa"/>
            </w:tcMar>
            <w:shd w:val="clear" w:color="auto" w:fill="F7FAFC"/>
          </w:tcPr>
          <w:p>
            <w:r>
              <w:rPr>
                <w:rFonts w:ascii="Arial" w:hAnsi="Arial"/>
                <w:sz w:val="17"/>
              </w:rPr>
              <w:t>String</w:t>
            </w:r>
          </w:p>
        </w:tc>
        <w:tc>
          <w:tcPr>
            <w:tcW w:type="dxa" w:w="2340"/>
            <w:tcMar>
              <w:top w:w="60" w:type="dxa"/>
              <w:bottom w:w="60" w:type="dxa"/>
              <w:left w:w="80" w:type="dxa"/>
              <w:right w:w="80" w:type="dxa"/>
            </w:tcMar>
            <w:shd w:val="clear" w:color="auto" w:fill="F7FAFC"/>
          </w:tcPr>
          <w:p>
            <w:r>
              <w:rPr>
                <w:rFonts w:ascii="Arial" w:hAnsi="Arial"/>
                <w:sz w:val="17"/>
              </w:rPr>
              <w:t>9-digit slip code</w:t>
            </w:r>
          </w:p>
        </w:tc>
        <w:tc>
          <w:tcPr>
            <w:tcW w:type="dxa" w:w="2340"/>
            <w:tcMar>
              <w:top w:w="60" w:type="dxa"/>
              <w:bottom w:w="60" w:type="dxa"/>
              <w:left w:w="80" w:type="dxa"/>
              <w:right w:w="80" w:type="dxa"/>
            </w:tcMar>
            <w:shd w:val="clear" w:color="auto" w:fill="F7FAFC"/>
          </w:tcPr>
          <w:p>
            <w:r>
              <w:rPr>
                <w:rFonts w:ascii="Arial" w:hAnsi="Arial"/>
                <w:sz w:val="17"/>
              </w:rPr>
              <w:t>Unique computer-generated sales slip code</w:t>
            </w:r>
          </w:p>
        </w:tc>
      </w:tr>
      <w:tr>
        <w:tc>
          <w:tcPr>
            <w:tcW w:type="dxa" w:w="2340"/>
            <w:tcMar>
              <w:top w:w="60" w:type="dxa"/>
              <w:bottom w:w="60" w:type="dxa"/>
              <w:left w:w="80" w:type="dxa"/>
              <w:right w:w="80" w:type="dxa"/>
            </w:tcMar>
            <w:shd w:val="clear" w:color="auto" w:fill="FFFFFF"/>
          </w:tcPr>
          <w:p>
            <w:r>
              <w:rPr>
                <w:rFonts w:ascii="Arial" w:hAnsi="Arial"/>
                <w:b/>
                <w:color w:val="1A365D"/>
                <w:sz w:val="17"/>
              </w:rPr>
              <w:t>branch</w:t>
            </w:r>
          </w:p>
        </w:tc>
        <w:tc>
          <w:tcPr>
            <w:tcW w:type="dxa" w:w="2340"/>
            <w:tcMar>
              <w:top w:w="60" w:type="dxa"/>
              <w:bottom w:w="60" w:type="dxa"/>
              <w:left w:w="80" w:type="dxa"/>
              <w:right w:w="80" w:type="dxa"/>
            </w:tcMar>
            <w:shd w:val="clear" w:color="auto" w:fill="FFFFFF"/>
          </w:tcPr>
          <w:p>
            <w:r>
              <w:rPr>
                <w:rFonts w:ascii="Arial" w:hAnsi="Arial"/>
                <w:sz w:val="17"/>
              </w:rPr>
              <w:t>Categorical</w:t>
            </w:r>
          </w:p>
        </w:tc>
        <w:tc>
          <w:tcPr>
            <w:tcW w:type="dxa" w:w="2340"/>
            <w:tcMar>
              <w:top w:w="60" w:type="dxa"/>
              <w:bottom w:w="60" w:type="dxa"/>
              <w:left w:w="80" w:type="dxa"/>
              <w:right w:w="80" w:type="dxa"/>
            </w:tcMar>
            <w:shd w:val="clear" w:color="auto" w:fill="FFFFFF"/>
          </w:tcPr>
          <w:p>
            <w:r>
              <w:rPr>
                <w:rFonts w:ascii="Arial" w:hAnsi="Arial"/>
                <w:sz w:val="17"/>
              </w:rPr>
              <w:t>A, B, C</w:t>
            </w:r>
          </w:p>
        </w:tc>
        <w:tc>
          <w:tcPr>
            <w:tcW w:type="dxa" w:w="2340"/>
            <w:tcMar>
              <w:top w:w="60" w:type="dxa"/>
              <w:bottom w:w="60" w:type="dxa"/>
              <w:left w:w="80" w:type="dxa"/>
              <w:right w:w="80" w:type="dxa"/>
            </w:tcMar>
            <w:shd w:val="clear" w:color="auto" w:fill="FFFFFF"/>
          </w:tcPr>
          <w:p>
            <w:r>
              <w:rPr>
                <w:rFonts w:ascii="Arial" w:hAnsi="Arial"/>
                <w:sz w:val="17"/>
              </w:rPr>
              <w:t>Branch identifier of the store location</w:t>
            </w:r>
          </w:p>
        </w:tc>
      </w:tr>
      <w:tr>
        <w:tc>
          <w:tcPr>
            <w:tcW w:type="dxa" w:w="2340"/>
            <w:tcMar>
              <w:top w:w="60" w:type="dxa"/>
              <w:bottom w:w="60" w:type="dxa"/>
              <w:left w:w="80" w:type="dxa"/>
              <w:right w:w="80" w:type="dxa"/>
            </w:tcMar>
            <w:shd w:val="clear" w:color="auto" w:fill="F7FAFC"/>
          </w:tcPr>
          <w:p>
            <w:r>
              <w:rPr>
                <w:rFonts w:ascii="Arial" w:hAnsi="Arial"/>
                <w:b/>
                <w:color w:val="1A365D"/>
                <w:sz w:val="17"/>
              </w:rPr>
              <w:t>city</w:t>
            </w:r>
          </w:p>
        </w:tc>
        <w:tc>
          <w:tcPr>
            <w:tcW w:type="dxa" w:w="2340"/>
            <w:tcMar>
              <w:top w:w="60" w:type="dxa"/>
              <w:bottom w:w="60" w:type="dxa"/>
              <w:left w:w="80" w:type="dxa"/>
              <w:right w:w="80" w:type="dxa"/>
            </w:tcMar>
            <w:shd w:val="clear" w:color="auto" w:fill="F7FAFC"/>
          </w:tcPr>
          <w:p>
            <w:r>
              <w:rPr>
                <w:rFonts w:ascii="Arial" w:hAnsi="Arial"/>
                <w:sz w:val="17"/>
              </w:rPr>
              <w:t>Categorical</w:t>
            </w:r>
          </w:p>
        </w:tc>
        <w:tc>
          <w:tcPr>
            <w:tcW w:type="dxa" w:w="2340"/>
            <w:tcMar>
              <w:top w:w="60" w:type="dxa"/>
              <w:bottom w:w="60" w:type="dxa"/>
              <w:left w:w="80" w:type="dxa"/>
              <w:right w:w="80" w:type="dxa"/>
            </w:tcMar>
            <w:shd w:val="clear" w:color="auto" w:fill="F7FAFC"/>
          </w:tcPr>
          <w:p>
            <w:r>
              <w:rPr>
                <w:rFonts w:ascii="Arial" w:hAnsi="Arial"/>
                <w:sz w:val="17"/>
              </w:rPr>
              <w:t>Yangon, Mandalay, Naypyitaw</w:t>
            </w:r>
          </w:p>
        </w:tc>
        <w:tc>
          <w:tcPr>
            <w:tcW w:type="dxa" w:w="2340"/>
            <w:tcMar>
              <w:top w:w="60" w:type="dxa"/>
              <w:bottom w:w="60" w:type="dxa"/>
              <w:left w:w="80" w:type="dxa"/>
              <w:right w:w="80" w:type="dxa"/>
            </w:tcMar>
            <w:shd w:val="clear" w:color="auto" w:fill="F7FAFC"/>
          </w:tcPr>
          <w:p>
            <w:r>
              <w:rPr>
                <w:rFonts w:ascii="Arial" w:hAnsi="Arial"/>
                <w:sz w:val="17"/>
              </w:rPr>
              <w:t>City where the supermarket branch operates</w:t>
            </w:r>
          </w:p>
        </w:tc>
      </w:tr>
      <w:tr>
        <w:tc>
          <w:tcPr>
            <w:tcW w:type="dxa" w:w="2340"/>
            <w:tcMar>
              <w:top w:w="60" w:type="dxa"/>
              <w:bottom w:w="60" w:type="dxa"/>
              <w:left w:w="80" w:type="dxa"/>
              <w:right w:w="80" w:type="dxa"/>
            </w:tcMar>
            <w:shd w:val="clear" w:color="auto" w:fill="FFFFFF"/>
          </w:tcPr>
          <w:p>
            <w:r>
              <w:rPr>
                <w:rFonts w:ascii="Arial" w:hAnsi="Arial"/>
                <w:b/>
                <w:color w:val="1A365D"/>
                <w:sz w:val="17"/>
              </w:rPr>
              <w:t>customer_type</w:t>
            </w:r>
          </w:p>
        </w:tc>
        <w:tc>
          <w:tcPr>
            <w:tcW w:type="dxa" w:w="2340"/>
            <w:tcMar>
              <w:top w:w="60" w:type="dxa"/>
              <w:bottom w:w="60" w:type="dxa"/>
              <w:left w:w="80" w:type="dxa"/>
              <w:right w:w="80" w:type="dxa"/>
            </w:tcMar>
            <w:shd w:val="clear" w:color="auto" w:fill="FFFFFF"/>
          </w:tcPr>
          <w:p>
            <w:r>
              <w:rPr>
                <w:rFonts w:ascii="Arial" w:hAnsi="Arial"/>
                <w:sz w:val="17"/>
              </w:rPr>
              <w:t>Categorical</w:t>
            </w:r>
          </w:p>
        </w:tc>
        <w:tc>
          <w:tcPr>
            <w:tcW w:type="dxa" w:w="2340"/>
            <w:tcMar>
              <w:top w:w="60" w:type="dxa"/>
              <w:bottom w:w="60" w:type="dxa"/>
              <w:left w:w="80" w:type="dxa"/>
              <w:right w:w="80" w:type="dxa"/>
            </w:tcMar>
            <w:shd w:val="clear" w:color="auto" w:fill="FFFFFF"/>
          </w:tcPr>
          <w:p>
            <w:r>
              <w:rPr>
                <w:rFonts w:ascii="Arial" w:hAnsi="Arial"/>
                <w:sz w:val="17"/>
              </w:rPr>
              <w:t>Member, Normal</w:t>
            </w:r>
          </w:p>
        </w:tc>
        <w:tc>
          <w:tcPr>
            <w:tcW w:type="dxa" w:w="2340"/>
            <w:tcMar>
              <w:top w:w="60" w:type="dxa"/>
              <w:bottom w:w="60" w:type="dxa"/>
              <w:left w:w="80" w:type="dxa"/>
              <w:right w:w="80" w:type="dxa"/>
            </w:tcMar>
            <w:shd w:val="clear" w:color="auto" w:fill="FFFFFF"/>
          </w:tcPr>
          <w:p>
            <w:r>
              <w:rPr>
                <w:rFonts w:ascii="Arial" w:hAnsi="Arial"/>
                <w:sz w:val="17"/>
              </w:rPr>
              <w:t>Customer loyalty membership status</w:t>
            </w:r>
          </w:p>
        </w:tc>
      </w:tr>
      <w:tr>
        <w:tc>
          <w:tcPr>
            <w:tcW w:type="dxa" w:w="2340"/>
            <w:tcMar>
              <w:top w:w="60" w:type="dxa"/>
              <w:bottom w:w="60" w:type="dxa"/>
              <w:left w:w="80" w:type="dxa"/>
              <w:right w:w="80" w:type="dxa"/>
            </w:tcMar>
            <w:shd w:val="clear" w:color="auto" w:fill="F7FAFC"/>
          </w:tcPr>
          <w:p>
            <w:r>
              <w:rPr>
                <w:rFonts w:ascii="Arial" w:hAnsi="Arial"/>
                <w:b/>
                <w:color w:val="1A365D"/>
                <w:sz w:val="17"/>
              </w:rPr>
              <w:t>gender</w:t>
            </w:r>
          </w:p>
        </w:tc>
        <w:tc>
          <w:tcPr>
            <w:tcW w:type="dxa" w:w="2340"/>
            <w:tcMar>
              <w:top w:w="60" w:type="dxa"/>
              <w:bottom w:w="60" w:type="dxa"/>
              <w:left w:w="80" w:type="dxa"/>
              <w:right w:w="80" w:type="dxa"/>
            </w:tcMar>
            <w:shd w:val="clear" w:color="auto" w:fill="F7FAFC"/>
          </w:tcPr>
          <w:p>
            <w:r>
              <w:rPr>
                <w:rFonts w:ascii="Arial" w:hAnsi="Arial"/>
                <w:sz w:val="17"/>
              </w:rPr>
              <w:t>Categorical</w:t>
            </w:r>
          </w:p>
        </w:tc>
        <w:tc>
          <w:tcPr>
            <w:tcW w:type="dxa" w:w="2340"/>
            <w:tcMar>
              <w:top w:w="60" w:type="dxa"/>
              <w:bottom w:w="60" w:type="dxa"/>
              <w:left w:w="80" w:type="dxa"/>
              <w:right w:w="80" w:type="dxa"/>
            </w:tcMar>
            <w:shd w:val="clear" w:color="auto" w:fill="F7FAFC"/>
          </w:tcPr>
          <w:p>
            <w:r>
              <w:rPr>
                <w:rFonts w:ascii="Arial" w:hAnsi="Arial"/>
                <w:sz w:val="17"/>
              </w:rPr>
              <w:t>Female, Male</w:t>
            </w:r>
          </w:p>
        </w:tc>
        <w:tc>
          <w:tcPr>
            <w:tcW w:type="dxa" w:w="2340"/>
            <w:tcMar>
              <w:top w:w="60" w:type="dxa"/>
              <w:bottom w:w="60" w:type="dxa"/>
              <w:left w:w="80" w:type="dxa"/>
              <w:right w:w="80" w:type="dxa"/>
            </w:tcMar>
            <w:shd w:val="clear" w:color="auto" w:fill="F7FAFC"/>
          </w:tcPr>
          <w:p>
            <w:r>
              <w:rPr>
                <w:rFonts w:ascii="Arial" w:hAnsi="Arial"/>
                <w:sz w:val="17"/>
              </w:rPr>
              <w:t>Customer gender designation</w:t>
            </w:r>
          </w:p>
        </w:tc>
      </w:tr>
      <w:tr>
        <w:tc>
          <w:tcPr>
            <w:tcW w:type="dxa" w:w="2340"/>
            <w:tcMar>
              <w:top w:w="60" w:type="dxa"/>
              <w:bottom w:w="60" w:type="dxa"/>
              <w:left w:w="80" w:type="dxa"/>
              <w:right w:w="80" w:type="dxa"/>
            </w:tcMar>
            <w:shd w:val="clear" w:color="auto" w:fill="FFFFFF"/>
          </w:tcPr>
          <w:p>
            <w:r>
              <w:rPr>
                <w:rFonts w:ascii="Arial" w:hAnsi="Arial"/>
                <w:b/>
                <w:color w:val="1A365D"/>
                <w:sz w:val="17"/>
              </w:rPr>
              <w:t>product_line</w:t>
            </w:r>
          </w:p>
        </w:tc>
        <w:tc>
          <w:tcPr>
            <w:tcW w:type="dxa" w:w="2340"/>
            <w:tcMar>
              <w:top w:w="60" w:type="dxa"/>
              <w:bottom w:w="60" w:type="dxa"/>
              <w:left w:w="80" w:type="dxa"/>
              <w:right w:w="80" w:type="dxa"/>
            </w:tcMar>
            <w:shd w:val="clear" w:color="auto" w:fill="FFFFFF"/>
          </w:tcPr>
          <w:p>
            <w:r>
              <w:rPr>
                <w:rFonts w:ascii="Arial" w:hAnsi="Arial"/>
                <w:sz w:val="17"/>
              </w:rPr>
              <w:t>Categorical</w:t>
            </w:r>
          </w:p>
        </w:tc>
        <w:tc>
          <w:tcPr>
            <w:tcW w:type="dxa" w:w="2340"/>
            <w:tcMar>
              <w:top w:w="60" w:type="dxa"/>
              <w:bottom w:w="60" w:type="dxa"/>
              <w:left w:w="80" w:type="dxa"/>
              <w:right w:w="80" w:type="dxa"/>
            </w:tcMar>
            <w:shd w:val="clear" w:color="auto" w:fill="FFFFFF"/>
          </w:tcPr>
          <w:p>
            <w:r>
              <w:rPr>
                <w:rFonts w:ascii="Arial" w:hAnsi="Arial"/>
                <w:sz w:val="17"/>
              </w:rPr>
              <w:t>6 Product Lines</w:t>
            </w:r>
          </w:p>
        </w:tc>
        <w:tc>
          <w:tcPr>
            <w:tcW w:type="dxa" w:w="2340"/>
            <w:tcMar>
              <w:top w:w="60" w:type="dxa"/>
              <w:bottom w:w="60" w:type="dxa"/>
              <w:left w:w="80" w:type="dxa"/>
              <w:right w:w="80" w:type="dxa"/>
            </w:tcMar>
            <w:shd w:val="clear" w:color="auto" w:fill="FFFFFF"/>
          </w:tcPr>
          <w:p>
            <w:r>
              <w:rPr>
                <w:rFonts w:ascii="Arial" w:hAnsi="Arial"/>
                <w:sz w:val="17"/>
              </w:rPr>
              <w:t>General merchandise classification category</w:t>
            </w:r>
          </w:p>
        </w:tc>
      </w:tr>
      <w:tr>
        <w:tc>
          <w:tcPr>
            <w:tcW w:type="dxa" w:w="2340"/>
            <w:tcMar>
              <w:top w:w="60" w:type="dxa"/>
              <w:bottom w:w="60" w:type="dxa"/>
              <w:left w:w="80" w:type="dxa"/>
              <w:right w:w="80" w:type="dxa"/>
            </w:tcMar>
            <w:shd w:val="clear" w:color="auto" w:fill="F7FAFC"/>
          </w:tcPr>
          <w:p>
            <w:r>
              <w:rPr>
                <w:rFonts w:ascii="Arial" w:hAnsi="Arial"/>
                <w:b/>
                <w:color w:val="1A365D"/>
                <w:sz w:val="17"/>
              </w:rPr>
              <w:t>unit_price</w:t>
            </w:r>
          </w:p>
        </w:tc>
        <w:tc>
          <w:tcPr>
            <w:tcW w:type="dxa" w:w="2340"/>
            <w:tcMar>
              <w:top w:w="60" w:type="dxa"/>
              <w:bottom w:w="60" w:type="dxa"/>
              <w:left w:w="80" w:type="dxa"/>
              <w:right w:w="80" w:type="dxa"/>
            </w:tcMar>
            <w:shd w:val="clear" w:color="auto" w:fill="F7FAFC"/>
          </w:tcPr>
          <w:p>
            <w:r>
              <w:rPr>
                <w:rFonts w:ascii="Arial" w:hAnsi="Arial"/>
                <w:sz w:val="17"/>
              </w:rPr>
              <w:t>Float</w:t>
            </w:r>
          </w:p>
        </w:tc>
        <w:tc>
          <w:tcPr>
            <w:tcW w:type="dxa" w:w="2340"/>
            <w:tcMar>
              <w:top w:w="60" w:type="dxa"/>
              <w:bottom w:w="60" w:type="dxa"/>
              <w:left w:w="80" w:type="dxa"/>
              <w:right w:w="80" w:type="dxa"/>
            </w:tcMar>
            <w:shd w:val="clear" w:color="auto" w:fill="F7FAFC"/>
          </w:tcPr>
          <w:p>
            <w:r>
              <w:rPr>
                <w:rFonts w:ascii="Arial" w:hAnsi="Arial"/>
                <w:sz w:val="17"/>
              </w:rPr>
              <w:t>$10.00 - $99.99</w:t>
            </w:r>
          </w:p>
        </w:tc>
        <w:tc>
          <w:tcPr>
            <w:tcW w:type="dxa" w:w="2340"/>
            <w:tcMar>
              <w:top w:w="60" w:type="dxa"/>
              <w:bottom w:w="60" w:type="dxa"/>
              <w:left w:w="80" w:type="dxa"/>
              <w:right w:w="80" w:type="dxa"/>
            </w:tcMar>
            <w:shd w:val="clear" w:color="auto" w:fill="F7FAFC"/>
          </w:tcPr>
          <w:p>
            <w:r>
              <w:rPr>
                <w:rFonts w:ascii="Arial" w:hAnsi="Arial"/>
                <w:sz w:val="17"/>
              </w:rPr>
              <w:t>Price per individual item in USD</w:t>
            </w:r>
          </w:p>
        </w:tc>
      </w:tr>
      <w:tr>
        <w:tc>
          <w:tcPr>
            <w:tcW w:type="dxa" w:w="2340"/>
            <w:tcMar>
              <w:top w:w="60" w:type="dxa"/>
              <w:bottom w:w="60" w:type="dxa"/>
              <w:left w:w="80" w:type="dxa"/>
              <w:right w:w="80" w:type="dxa"/>
            </w:tcMar>
            <w:shd w:val="clear" w:color="auto" w:fill="FFFFFF"/>
          </w:tcPr>
          <w:p>
            <w:r>
              <w:rPr>
                <w:rFonts w:ascii="Arial" w:hAnsi="Arial"/>
                <w:b/>
                <w:color w:val="1A365D"/>
                <w:sz w:val="17"/>
              </w:rPr>
              <w:t>quantity</w:t>
            </w:r>
          </w:p>
        </w:tc>
        <w:tc>
          <w:tcPr>
            <w:tcW w:type="dxa" w:w="2340"/>
            <w:tcMar>
              <w:top w:w="60" w:type="dxa"/>
              <w:bottom w:w="60" w:type="dxa"/>
              <w:left w:w="80" w:type="dxa"/>
              <w:right w:w="80" w:type="dxa"/>
            </w:tcMar>
            <w:shd w:val="clear" w:color="auto" w:fill="FFFFFF"/>
          </w:tcPr>
          <w:p>
            <w:r>
              <w:rPr>
                <w:rFonts w:ascii="Arial" w:hAnsi="Arial"/>
                <w:sz w:val="17"/>
              </w:rPr>
              <w:t>Integer</w:t>
            </w:r>
          </w:p>
        </w:tc>
        <w:tc>
          <w:tcPr>
            <w:tcW w:type="dxa" w:w="2340"/>
            <w:tcMar>
              <w:top w:w="60" w:type="dxa"/>
              <w:bottom w:w="60" w:type="dxa"/>
              <w:left w:w="80" w:type="dxa"/>
              <w:right w:w="80" w:type="dxa"/>
            </w:tcMar>
            <w:shd w:val="clear" w:color="auto" w:fill="FFFFFF"/>
          </w:tcPr>
          <w:p>
            <w:r>
              <w:rPr>
                <w:rFonts w:ascii="Arial" w:hAnsi="Arial"/>
                <w:sz w:val="17"/>
              </w:rPr>
              <w:t>1 - 10 units</w:t>
            </w:r>
          </w:p>
        </w:tc>
        <w:tc>
          <w:tcPr>
            <w:tcW w:type="dxa" w:w="2340"/>
            <w:tcMar>
              <w:top w:w="60" w:type="dxa"/>
              <w:bottom w:w="60" w:type="dxa"/>
              <w:left w:w="80" w:type="dxa"/>
              <w:right w:w="80" w:type="dxa"/>
            </w:tcMar>
            <w:shd w:val="clear" w:color="auto" w:fill="FFFFFF"/>
          </w:tcPr>
          <w:p>
            <w:r>
              <w:rPr>
                <w:rFonts w:ascii="Arial" w:hAnsi="Arial"/>
                <w:sz w:val="17"/>
              </w:rPr>
              <w:t>Total number of units purchased per invoice</w:t>
            </w:r>
          </w:p>
        </w:tc>
      </w:tr>
      <w:tr>
        <w:tc>
          <w:tcPr>
            <w:tcW w:type="dxa" w:w="2340"/>
            <w:tcMar>
              <w:top w:w="60" w:type="dxa"/>
              <w:bottom w:w="60" w:type="dxa"/>
              <w:left w:w="80" w:type="dxa"/>
              <w:right w:w="80" w:type="dxa"/>
            </w:tcMar>
            <w:shd w:val="clear" w:color="auto" w:fill="F7FAFC"/>
          </w:tcPr>
          <w:p>
            <w:r>
              <w:rPr>
                <w:rFonts w:ascii="Arial" w:hAnsi="Arial"/>
                <w:b/>
                <w:color w:val="1A365D"/>
                <w:sz w:val="17"/>
              </w:rPr>
              <w:t>tax_5_pct</w:t>
            </w:r>
          </w:p>
        </w:tc>
        <w:tc>
          <w:tcPr>
            <w:tcW w:type="dxa" w:w="2340"/>
            <w:tcMar>
              <w:top w:w="60" w:type="dxa"/>
              <w:bottom w:w="60" w:type="dxa"/>
              <w:left w:w="80" w:type="dxa"/>
              <w:right w:w="80" w:type="dxa"/>
            </w:tcMar>
            <w:shd w:val="clear" w:color="auto" w:fill="F7FAFC"/>
          </w:tcPr>
          <w:p>
            <w:r>
              <w:rPr>
                <w:rFonts w:ascii="Arial" w:hAnsi="Arial"/>
                <w:sz w:val="17"/>
              </w:rPr>
              <w:t>Float</w:t>
            </w:r>
          </w:p>
        </w:tc>
        <w:tc>
          <w:tcPr>
            <w:tcW w:type="dxa" w:w="2340"/>
            <w:tcMar>
              <w:top w:w="60" w:type="dxa"/>
              <w:bottom w:w="60" w:type="dxa"/>
              <w:left w:w="80" w:type="dxa"/>
              <w:right w:w="80" w:type="dxa"/>
            </w:tcMar>
            <w:shd w:val="clear" w:color="auto" w:fill="F7FAFC"/>
          </w:tcPr>
          <w:p>
            <w:r>
              <w:rPr>
                <w:rFonts w:ascii="Arial" w:hAnsi="Arial"/>
                <w:sz w:val="17"/>
              </w:rPr>
              <w:t>5% of COGS</w:t>
            </w:r>
          </w:p>
        </w:tc>
        <w:tc>
          <w:tcPr>
            <w:tcW w:type="dxa" w:w="2340"/>
            <w:tcMar>
              <w:top w:w="60" w:type="dxa"/>
              <w:bottom w:w="60" w:type="dxa"/>
              <w:left w:w="80" w:type="dxa"/>
              <w:right w:w="80" w:type="dxa"/>
            </w:tcMar>
            <w:shd w:val="clear" w:color="auto" w:fill="F7FAFC"/>
          </w:tcPr>
          <w:p>
            <w:r>
              <w:rPr>
                <w:rFonts w:ascii="Arial" w:hAnsi="Arial"/>
                <w:sz w:val="17"/>
              </w:rPr>
              <w:t>Statutory 5% consumption sales tax</w:t>
            </w:r>
          </w:p>
        </w:tc>
      </w:tr>
      <w:tr>
        <w:tc>
          <w:tcPr>
            <w:tcW w:type="dxa" w:w="2340"/>
            <w:tcMar>
              <w:top w:w="60" w:type="dxa"/>
              <w:bottom w:w="60" w:type="dxa"/>
              <w:left w:w="80" w:type="dxa"/>
              <w:right w:w="80" w:type="dxa"/>
            </w:tcMar>
            <w:shd w:val="clear" w:color="auto" w:fill="FFFFFF"/>
          </w:tcPr>
          <w:p>
            <w:r>
              <w:rPr>
                <w:rFonts w:ascii="Arial" w:hAnsi="Arial"/>
                <w:b/>
                <w:color w:val="1A365D"/>
                <w:sz w:val="17"/>
              </w:rPr>
              <w:t>total</w:t>
            </w:r>
          </w:p>
        </w:tc>
        <w:tc>
          <w:tcPr>
            <w:tcW w:type="dxa" w:w="2340"/>
            <w:tcMar>
              <w:top w:w="60" w:type="dxa"/>
              <w:bottom w:w="60" w:type="dxa"/>
              <w:left w:w="80" w:type="dxa"/>
              <w:right w:w="80" w:type="dxa"/>
            </w:tcMar>
            <w:shd w:val="clear" w:color="auto" w:fill="FFFFFF"/>
          </w:tcPr>
          <w:p>
            <w:r>
              <w:rPr>
                <w:rFonts w:ascii="Arial" w:hAnsi="Arial"/>
                <w:sz w:val="17"/>
              </w:rPr>
              <w:t>Float</w:t>
            </w:r>
          </w:p>
        </w:tc>
        <w:tc>
          <w:tcPr>
            <w:tcW w:type="dxa" w:w="2340"/>
            <w:tcMar>
              <w:top w:w="60" w:type="dxa"/>
              <w:bottom w:w="60" w:type="dxa"/>
              <w:left w:w="80" w:type="dxa"/>
              <w:right w:w="80" w:type="dxa"/>
            </w:tcMar>
            <w:shd w:val="clear" w:color="auto" w:fill="FFFFFF"/>
          </w:tcPr>
          <w:p>
            <w:r>
              <w:rPr>
                <w:rFonts w:ascii="Arial" w:hAnsi="Arial"/>
                <w:sz w:val="17"/>
              </w:rPr>
              <w:t>$10.50 - $1,025.96</w:t>
            </w:r>
          </w:p>
        </w:tc>
        <w:tc>
          <w:tcPr>
            <w:tcW w:type="dxa" w:w="2340"/>
            <w:tcMar>
              <w:top w:w="60" w:type="dxa"/>
              <w:bottom w:w="60" w:type="dxa"/>
              <w:left w:w="80" w:type="dxa"/>
              <w:right w:w="80" w:type="dxa"/>
            </w:tcMar>
            <w:shd w:val="clear" w:color="auto" w:fill="FFFFFF"/>
          </w:tcPr>
          <w:p>
            <w:r>
              <w:rPr>
                <w:rFonts w:ascii="Arial" w:hAnsi="Arial"/>
                <w:sz w:val="17"/>
              </w:rPr>
              <w:t>Gross transaction amount billed to customer</w:t>
            </w:r>
          </w:p>
        </w:tc>
      </w:tr>
      <w:tr>
        <w:tc>
          <w:tcPr>
            <w:tcW w:type="dxa" w:w="2340"/>
            <w:tcMar>
              <w:top w:w="60" w:type="dxa"/>
              <w:bottom w:w="60" w:type="dxa"/>
              <w:left w:w="80" w:type="dxa"/>
              <w:right w:w="80" w:type="dxa"/>
            </w:tcMar>
            <w:shd w:val="clear" w:color="auto" w:fill="F7FAFC"/>
          </w:tcPr>
          <w:p>
            <w:r>
              <w:rPr>
                <w:rFonts w:ascii="Arial" w:hAnsi="Arial"/>
                <w:b/>
                <w:color w:val="1A365D"/>
                <w:sz w:val="17"/>
              </w:rPr>
              <w:t>date</w:t>
            </w:r>
          </w:p>
        </w:tc>
        <w:tc>
          <w:tcPr>
            <w:tcW w:type="dxa" w:w="2340"/>
            <w:tcMar>
              <w:top w:w="60" w:type="dxa"/>
              <w:bottom w:w="60" w:type="dxa"/>
              <w:left w:w="80" w:type="dxa"/>
              <w:right w:w="80" w:type="dxa"/>
            </w:tcMar>
            <w:shd w:val="clear" w:color="auto" w:fill="F7FAFC"/>
          </w:tcPr>
          <w:p>
            <w:r>
              <w:rPr>
                <w:rFonts w:ascii="Arial" w:hAnsi="Arial"/>
                <w:sz w:val="17"/>
              </w:rPr>
              <w:t>Date</w:t>
            </w:r>
          </w:p>
        </w:tc>
        <w:tc>
          <w:tcPr>
            <w:tcW w:type="dxa" w:w="2340"/>
            <w:tcMar>
              <w:top w:w="60" w:type="dxa"/>
              <w:bottom w:w="60" w:type="dxa"/>
              <w:left w:w="80" w:type="dxa"/>
              <w:right w:w="80" w:type="dxa"/>
            </w:tcMar>
            <w:shd w:val="clear" w:color="auto" w:fill="F7FAFC"/>
          </w:tcPr>
          <w:p>
            <w:r>
              <w:rPr>
                <w:rFonts w:ascii="Arial" w:hAnsi="Arial"/>
                <w:sz w:val="17"/>
              </w:rPr>
              <w:t>01/01/2019 - 03/30/2019</w:t>
            </w:r>
          </w:p>
        </w:tc>
        <w:tc>
          <w:tcPr>
            <w:tcW w:type="dxa" w:w="2340"/>
            <w:tcMar>
              <w:top w:w="60" w:type="dxa"/>
              <w:bottom w:w="60" w:type="dxa"/>
              <w:left w:w="80" w:type="dxa"/>
              <w:right w:w="80" w:type="dxa"/>
            </w:tcMar>
            <w:shd w:val="clear" w:color="auto" w:fill="F7FAFC"/>
          </w:tcPr>
          <w:p>
            <w:r>
              <w:rPr>
                <w:rFonts w:ascii="Arial" w:hAnsi="Arial"/>
                <w:sz w:val="17"/>
              </w:rPr>
              <w:t>Date of purchase transaction (Q1 2019)</w:t>
            </w:r>
          </w:p>
        </w:tc>
      </w:tr>
      <w:tr>
        <w:tc>
          <w:tcPr>
            <w:tcW w:type="dxa" w:w="2340"/>
            <w:tcMar>
              <w:top w:w="60" w:type="dxa"/>
              <w:bottom w:w="60" w:type="dxa"/>
              <w:left w:w="80" w:type="dxa"/>
              <w:right w:w="80" w:type="dxa"/>
            </w:tcMar>
            <w:shd w:val="clear" w:color="auto" w:fill="FFFFFF"/>
          </w:tcPr>
          <w:p>
            <w:r>
              <w:rPr>
                <w:rFonts w:ascii="Arial" w:hAnsi="Arial"/>
                <w:b/>
                <w:color w:val="1A365D"/>
                <w:sz w:val="17"/>
              </w:rPr>
              <w:t>time</w:t>
            </w:r>
          </w:p>
        </w:tc>
        <w:tc>
          <w:tcPr>
            <w:tcW w:type="dxa" w:w="2340"/>
            <w:tcMar>
              <w:top w:w="60" w:type="dxa"/>
              <w:bottom w:w="60" w:type="dxa"/>
              <w:left w:w="80" w:type="dxa"/>
              <w:right w:w="80" w:type="dxa"/>
            </w:tcMar>
            <w:shd w:val="clear" w:color="auto" w:fill="FFFFFF"/>
          </w:tcPr>
          <w:p>
            <w:r>
              <w:rPr>
                <w:rFonts w:ascii="Arial" w:hAnsi="Arial"/>
                <w:sz w:val="17"/>
              </w:rPr>
              <w:t>Time</w:t>
            </w:r>
          </w:p>
        </w:tc>
        <w:tc>
          <w:tcPr>
            <w:tcW w:type="dxa" w:w="2340"/>
            <w:tcMar>
              <w:top w:w="60" w:type="dxa"/>
              <w:bottom w:w="60" w:type="dxa"/>
              <w:left w:w="80" w:type="dxa"/>
              <w:right w:w="80" w:type="dxa"/>
            </w:tcMar>
            <w:shd w:val="clear" w:color="auto" w:fill="FFFFFF"/>
          </w:tcPr>
          <w:p>
            <w:r>
              <w:rPr>
                <w:rFonts w:ascii="Arial" w:hAnsi="Arial"/>
                <w:sz w:val="17"/>
              </w:rPr>
              <w:t>10:00 - 20:59</w:t>
            </w:r>
          </w:p>
        </w:tc>
        <w:tc>
          <w:tcPr>
            <w:tcW w:type="dxa" w:w="2340"/>
            <w:tcMar>
              <w:top w:w="60" w:type="dxa"/>
              <w:bottom w:w="60" w:type="dxa"/>
              <w:left w:w="80" w:type="dxa"/>
              <w:right w:w="80" w:type="dxa"/>
            </w:tcMar>
            <w:shd w:val="clear" w:color="auto" w:fill="FFFFFF"/>
          </w:tcPr>
          <w:p>
            <w:r>
              <w:rPr>
                <w:rFonts w:ascii="Arial" w:hAnsi="Arial"/>
                <w:sz w:val="17"/>
              </w:rPr>
              <w:t>Timestamp of sales transaction across day</w:t>
            </w:r>
          </w:p>
        </w:tc>
      </w:tr>
      <w:tr>
        <w:tc>
          <w:tcPr>
            <w:tcW w:type="dxa" w:w="2340"/>
            <w:tcMar>
              <w:top w:w="60" w:type="dxa"/>
              <w:bottom w:w="60" w:type="dxa"/>
              <w:left w:w="80" w:type="dxa"/>
              <w:right w:w="80" w:type="dxa"/>
            </w:tcMar>
            <w:shd w:val="clear" w:color="auto" w:fill="F7FAFC"/>
          </w:tcPr>
          <w:p>
            <w:r>
              <w:rPr>
                <w:rFonts w:ascii="Arial" w:hAnsi="Arial"/>
                <w:b/>
                <w:color w:val="1A365D"/>
                <w:sz w:val="17"/>
              </w:rPr>
              <w:t>payment</w:t>
            </w:r>
          </w:p>
        </w:tc>
        <w:tc>
          <w:tcPr>
            <w:tcW w:type="dxa" w:w="2340"/>
            <w:tcMar>
              <w:top w:w="60" w:type="dxa"/>
              <w:bottom w:w="60" w:type="dxa"/>
              <w:left w:w="80" w:type="dxa"/>
              <w:right w:w="80" w:type="dxa"/>
            </w:tcMar>
            <w:shd w:val="clear" w:color="auto" w:fill="F7FAFC"/>
          </w:tcPr>
          <w:p>
            <w:r>
              <w:rPr>
                <w:rFonts w:ascii="Arial" w:hAnsi="Arial"/>
                <w:sz w:val="17"/>
              </w:rPr>
              <w:t>Categorical</w:t>
            </w:r>
          </w:p>
        </w:tc>
        <w:tc>
          <w:tcPr>
            <w:tcW w:type="dxa" w:w="2340"/>
            <w:tcMar>
              <w:top w:w="60" w:type="dxa"/>
              <w:bottom w:w="60" w:type="dxa"/>
              <w:left w:w="80" w:type="dxa"/>
              <w:right w:w="80" w:type="dxa"/>
            </w:tcMar>
            <w:shd w:val="clear" w:color="auto" w:fill="F7FAFC"/>
          </w:tcPr>
          <w:p>
            <w:r>
              <w:rPr>
                <w:rFonts w:ascii="Arial" w:hAnsi="Arial"/>
                <w:sz w:val="17"/>
              </w:rPr>
              <w:t>Ewallet, Cash, Credit card</w:t>
            </w:r>
          </w:p>
        </w:tc>
        <w:tc>
          <w:tcPr>
            <w:tcW w:type="dxa" w:w="2340"/>
            <w:tcMar>
              <w:top w:w="60" w:type="dxa"/>
              <w:bottom w:w="60" w:type="dxa"/>
              <w:left w:w="80" w:type="dxa"/>
              <w:right w:w="80" w:type="dxa"/>
            </w:tcMar>
            <w:shd w:val="clear" w:color="auto" w:fill="F7FAFC"/>
          </w:tcPr>
          <w:p>
            <w:r>
              <w:rPr>
                <w:rFonts w:ascii="Arial" w:hAnsi="Arial"/>
                <w:sz w:val="17"/>
              </w:rPr>
              <w:t>Tender method utilized at checkout POS</w:t>
            </w:r>
          </w:p>
        </w:tc>
      </w:tr>
      <w:tr>
        <w:tc>
          <w:tcPr>
            <w:tcW w:type="dxa" w:w="2340"/>
            <w:tcMar>
              <w:top w:w="60" w:type="dxa"/>
              <w:bottom w:w="60" w:type="dxa"/>
              <w:left w:w="80" w:type="dxa"/>
              <w:right w:w="80" w:type="dxa"/>
            </w:tcMar>
            <w:shd w:val="clear" w:color="auto" w:fill="FFFFFF"/>
          </w:tcPr>
          <w:p>
            <w:r>
              <w:rPr>
                <w:rFonts w:ascii="Arial" w:hAnsi="Arial"/>
                <w:b/>
                <w:color w:val="1A365D"/>
                <w:sz w:val="17"/>
              </w:rPr>
              <w:t>cogs</w:t>
            </w:r>
          </w:p>
        </w:tc>
        <w:tc>
          <w:tcPr>
            <w:tcW w:type="dxa" w:w="2340"/>
            <w:tcMar>
              <w:top w:w="60" w:type="dxa"/>
              <w:bottom w:w="60" w:type="dxa"/>
              <w:left w:w="80" w:type="dxa"/>
              <w:right w:w="80" w:type="dxa"/>
            </w:tcMar>
            <w:shd w:val="clear" w:color="auto" w:fill="FFFFFF"/>
          </w:tcPr>
          <w:p>
            <w:r>
              <w:rPr>
                <w:rFonts w:ascii="Arial" w:hAnsi="Arial"/>
                <w:sz w:val="17"/>
              </w:rPr>
              <w:t>Float</w:t>
            </w:r>
          </w:p>
        </w:tc>
        <w:tc>
          <w:tcPr>
            <w:tcW w:type="dxa" w:w="2340"/>
            <w:tcMar>
              <w:top w:w="60" w:type="dxa"/>
              <w:bottom w:w="60" w:type="dxa"/>
              <w:left w:w="80" w:type="dxa"/>
              <w:right w:w="80" w:type="dxa"/>
            </w:tcMar>
            <w:shd w:val="clear" w:color="auto" w:fill="FFFFFF"/>
          </w:tcPr>
          <w:p>
            <w:r>
              <w:rPr>
                <w:rFonts w:ascii="Arial" w:hAnsi="Arial"/>
                <w:sz w:val="17"/>
              </w:rPr>
              <w:t>unit_price * quantity</w:t>
            </w:r>
          </w:p>
        </w:tc>
        <w:tc>
          <w:tcPr>
            <w:tcW w:type="dxa" w:w="2340"/>
            <w:tcMar>
              <w:top w:w="60" w:type="dxa"/>
              <w:bottom w:w="60" w:type="dxa"/>
              <w:left w:w="80" w:type="dxa"/>
              <w:right w:w="80" w:type="dxa"/>
            </w:tcMar>
            <w:shd w:val="clear" w:color="auto" w:fill="FFFFFF"/>
          </w:tcPr>
          <w:p>
            <w:r>
              <w:rPr>
                <w:rFonts w:ascii="Arial" w:hAnsi="Arial"/>
                <w:sz w:val="17"/>
              </w:rPr>
              <w:t>Cost of Goods Sold in USD</w:t>
            </w:r>
          </w:p>
        </w:tc>
      </w:tr>
      <w:tr>
        <w:tc>
          <w:tcPr>
            <w:tcW w:type="dxa" w:w="2340"/>
            <w:tcMar>
              <w:top w:w="60" w:type="dxa"/>
              <w:bottom w:w="60" w:type="dxa"/>
              <w:left w:w="80" w:type="dxa"/>
              <w:right w:w="80" w:type="dxa"/>
            </w:tcMar>
            <w:shd w:val="clear" w:color="auto" w:fill="F7FAFC"/>
          </w:tcPr>
          <w:p>
            <w:r>
              <w:rPr>
                <w:rFonts w:ascii="Arial" w:hAnsi="Arial"/>
                <w:b/>
                <w:color w:val="1A365D"/>
                <w:sz w:val="17"/>
              </w:rPr>
              <w:t>gross_margin_pct</w:t>
            </w:r>
          </w:p>
        </w:tc>
        <w:tc>
          <w:tcPr>
            <w:tcW w:type="dxa" w:w="2340"/>
            <w:tcMar>
              <w:top w:w="60" w:type="dxa"/>
              <w:bottom w:w="60" w:type="dxa"/>
              <w:left w:w="80" w:type="dxa"/>
              <w:right w:w="80" w:type="dxa"/>
            </w:tcMar>
            <w:shd w:val="clear" w:color="auto" w:fill="F7FAFC"/>
          </w:tcPr>
          <w:p>
            <w:r>
              <w:rPr>
                <w:rFonts w:ascii="Arial" w:hAnsi="Arial"/>
                <w:sz w:val="17"/>
              </w:rPr>
              <w:t>Float</w:t>
            </w:r>
          </w:p>
        </w:tc>
        <w:tc>
          <w:tcPr>
            <w:tcW w:type="dxa" w:w="2340"/>
            <w:tcMar>
              <w:top w:w="60" w:type="dxa"/>
              <w:bottom w:w="60" w:type="dxa"/>
              <w:left w:w="80" w:type="dxa"/>
              <w:right w:w="80" w:type="dxa"/>
            </w:tcMar>
            <w:shd w:val="clear" w:color="auto" w:fill="F7FAFC"/>
          </w:tcPr>
          <w:p>
            <w:r>
              <w:rPr>
                <w:rFonts w:ascii="Arial" w:hAnsi="Arial"/>
                <w:sz w:val="17"/>
              </w:rPr>
              <w:t>4.761904762%</w:t>
            </w:r>
          </w:p>
        </w:tc>
        <w:tc>
          <w:tcPr>
            <w:tcW w:type="dxa" w:w="2340"/>
            <w:tcMar>
              <w:top w:w="60" w:type="dxa"/>
              <w:bottom w:w="60" w:type="dxa"/>
              <w:left w:w="80" w:type="dxa"/>
              <w:right w:w="80" w:type="dxa"/>
            </w:tcMar>
            <w:shd w:val="clear" w:color="auto" w:fill="F7FAFC"/>
          </w:tcPr>
          <w:p>
            <w:r>
              <w:rPr>
                <w:rFonts w:ascii="Arial" w:hAnsi="Arial"/>
                <w:sz w:val="17"/>
              </w:rPr>
              <w:t>Constant theoretical gross margin percentage</w:t>
            </w:r>
          </w:p>
        </w:tc>
      </w:tr>
      <w:tr>
        <w:tc>
          <w:tcPr>
            <w:tcW w:type="dxa" w:w="2340"/>
            <w:tcMar>
              <w:top w:w="60" w:type="dxa"/>
              <w:bottom w:w="60" w:type="dxa"/>
              <w:left w:w="80" w:type="dxa"/>
              <w:right w:w="80" w:type="dxa"/>
            </w:tcMar>
            <w:shd w:val="clear" w:color="auto" w:fill="FFFFFF"/>
          </w:tcPr>
          <w:p>
            <w:r>
              <w:rPr>
                <w:rFonts w:ascii="Arial" w:hAnsi="Arial"/>
                <w:b/>
                <w:color w:val="1A365D"/>
                <w:sz w:val="17"/>
              </w:rPr>
              <w:t>gross_income</w:t>
            </w:r>
          </w:p>
        </w:tc>
        <w:tc>
          <w:tcPr>
            <w:tcW w:type="dxa" w:w="2340"/>
            <w:tcMar>
              <w:top w:w="60" w:type="dxa"/>
              <w:bottom w:w="60" w:type="dxa"/>
              <w:left w:w="80" w:type="dxa"/>
              <w:right w:w="80" w:type="dxa"/>
            </w:tcMar>
            <w:shd w:val="clear" w:color="auto" w:fill="FFFFFF"/>
          </w:tcPr>
          <w:p>
            <w:r>
              <w:rPr>
                <w:rFonts w:ascii="Arial" w:hAnsi="Arial"/>
                <w:sz w:val="17"/>
              </w:rPr>
              <w:t>Float</w:t>
            </w:r>
          </w:p>
        </w:tc>
        <w:tc>
          <w:tcPr>
            <w:tcW w:type="dxa" w:w="2340"/>
            <w:tcMar>
              <w:top w:w="60" w:type="dxa"/>
              <w:bottom w:w="60" w:type="dxa"/>
              <w:left w:w="80" w:type="dxa"/>
              <w:right w:w="80" w:type="dxa"/>
            </w:tcMar>
            <w:shd w:val="clear" w:color="auto" w:fill="FFFFFF"/>
          </w:tcPr>
          <w:p>
            <w:r>
              <w:rPr>
                <w:rFonts w:ascii="Arial" w:hAnsi="Arial"/>
                <w:sz w:val="17"/>
              </w:rPr>
              <w:t>$0.50 - $48.86</w:t>
            </w:r>
          </w:p>
        </w:tc>
        <w:tc>
          <w:tcPr>
            <w:tcW w:type="dxa" w:w="2340"/>
            <w:tcMar>
              <w:top w:w="60" w:type="dxa"/>
              <w:bottom w:w="60" w:type="dxa"/>
              <w:left w:w="80" w:type="dxa"/>
              <w:right w:w="80" w:type="dxa"/>
            </w:tcMar>
            <w:shd w:val="clear" w:color="auto" w:fill="FFFFFF"/>
          </w:tcPr>
          <w:p>
            <w:r>
              <w:rPr>
                <w:rFonts w:ascii="Arial" w:hAnsi="Arial"/>
                <w:sz w:val="17"/>
              </w:rPr>
              <w:t>Operating gross profit earned from invoice</w:t>
            </w:r>
          </w:p>
        </w:tc>
      </w:tr>
      <w:tr>
        <w:tc>
          <w:tcPr>
            <w:tcW w:type="dxa" w:w="2340"/>
            <w:tcMar>
              <w:top w:w="60" w:type="dxa"/>
              <w:bottom w:w="60" w:type="dxa"/>
              <w:left w:w="80" w:type="dxa"/>
              <w:right w:w="80" w:type="dxa"/>
            </w:tcMar>
            <w:shd w:val="clear" w:color="auto" w:fill="F7FAFC"/>
          </w:tcPr>
          <w:p>
            <w:r>
              <w:rPr>
                <w:rFonts w:ascii="Arial" w:hAnsi="Arial"/>
                <w:b/>
                <w:color w:val="1A365D"/>
                <w:sz w:val="17"/>
              </w:rPr>
              <w:t>rating</w:t>
            </w:r>
          </w:p>
        </w:tc>
        <w:tc>
          <w:tcPr>
            <w:tcW w:type="dxa" w:w="2340"/>
            <w:tcMar>
              <w:top w:w="60" w:type="dxa"/>
              <w:bottom w:w="60" w:type="dxa"/>
              <w:left w:w="80" w:type="dxa"/>
              <w:right w:w="80" w:type="dxa"/>
            </w:tcMar>
            <w:shd w:val="clear" w:color="auto" w:fill="F7FAFC"/>
          </w:tcPr>
          <w:p>
            <w:r>
              <w:rPr>
                <w:rFonts w:ascii="Arial" w:hAnsi="Arial"/>
                <w:sz w:val="17"/>
              </w:rPr>
              <w:t>Float</w:t>
            </w:r>
          </w:p>
        </w:tc>
        <w:tc>
          <w:tcPr>
            <w:tcW w:type="dxa" w:w="2340"/>
            <w:tcMar>
              <w:top w:w="60" w:type="dxa"/>
              <w:bottom w:w="60" w:type="dxa"/>
              <w:left w:w="80" w:type="dxa"/>
              <w:right w:w="80" w:type="dxa"/>
            </w:tcMar>
            <w:shd w:val="clear" w:color="auto" w:fill="F7FAFC"/>
          </w:tcPr>
          <w:p>
            <w:r>
              <w:rPr>
                <w:rFonts w:ascii="Arial" w:hAnsi="Arial"/>
                <w:sz w:val="17"/>
              </w:rPr>
              <w:t>4.0 - 10.0</w:t>
            </w:r>
          </w:p>
        </w:tc>
        <w:tc>
          <w:tcPr>
            <w:tcW w:type="dxa" w:w="2340"/>
            <w:tcMar>
              <w:top w:w="60" w:type="dxa"/>
              <w:bottom w:w="60" w:type="dxa"/>
              <w:left w:w="80" w:type="dxa"/>
              <w:right w:w="80" w:type="dxa"/>
            </w:tcMar>
            <w:shd w:val="clear" w:color="auto" w:fill="F7FAFC"/>
          </w:tcPr>
          <w:p>
            <w:r>
              <w:rPr>
                <w:rFonts w:ascii="Arial" w:hAnsi="Arial"/>
                <w:sz w:val="17"/>
              </w:rPr>
              <w:t>Customer exit satisfaction rating (CSAT score)</w:t>
            </w:r>
          </w:p>
        </w:tc>
      </w:tr>
    </w:tbl>
    <w:p>
      <w:pPr>
        <w:spacing w:before="240" w:after="160"/>
      </w:pPr>
      <w:r>
        <w:t>Data Preprocessing Methodology by Indrajit Mandal:</w:t>
        <w:br/>
        <w:t>1. Schema Standardization: All column headers were transformed to clean snake_case.</w:t>
        <w:br/>
        <w:t>2. Missing Data &amp; Duplicate Audit: Confirmed 0 null values across all columns and 0 duplicate rows.</w:t>
        <w:br/>
        <w:t>3. Datetime Decomposition: Extracted hour, month, month_name, day_of_week, and day.</w:t>
        <w:br/>
        <w:t>4. Mathematical Invariants: Validated internal accounting logic (COGS + Tax == Total, Tax == Gross Income) at 10^-3 tolerance.</w:t>
      </w:r>
    </w:p>
    <w:p>
      <w:pPr>
        <w:pStyle w:val="Heading1"/>
      </w:pPr>
      <w:r>
        <w:rPr>
          <w:rFonts w:ascii="Arial" w:hAnsi="Arial"/>
          <w:color w:val="1A365D"/>
        </w:rPr>
        <w:t>4. Comprehensive Findings &amp; Visualizations</w:t>
      </w:r>
    </w:p>
    <w:p>
      <w:pPr>
        <w:spacing w:before="160"/>
      </w:pPr>
    </w:p>
    <w:p>
      <w:pPr>
        <w:jc w:val="center"/>
      </w:pPr>
    </w:p>
    <w:p>
      <w:r>
        <w:drawing>
          <wp:inline xmlns:a="http://schemas.openxmlformats.org/drawingml/2006/main" xmlns:pic="http://schemas.openxmlformats.org/drawingml/2006/picture">
            <wp:extent cx="5669280" cy="2515129"/>
            <wp:docPr id="1" name="Picture 1"/>
            <wp:cNvGraphicFramePr>
              <a:graphicFrameLocks noChangeAspect="1"/>
            </wp:cNvGraphicFramePr>
            <a:graphic>
              <a:graphicData uri="http://schemas.openxmlformats.org/drawingml/2006/picture">
                <pic:pic>
                  <pic:nvPicPr>
                    <pic:cNvPr id="0" name="plot1_branch_city_financials.png"/>
                    <pic:cNvPicPr/>
                  </pic:nvPicPr>
                  <pic:blipFill>
                    <a:blip r:embed="rId9"/>
                    <a:stretch>
                      <a:fillRect/>
                    </a:stretch>
                  </pic:blipFill>
                  <pic:spPr>
                    <a:xfrm>
                      <a:off x="0" y="0"/>
                      <a:ext cx="5669280" cy="2515129"/>
                    </a:xfrm>
                    <a:prstGeom prst="rect"/>
                  </pic:spPr>
                </pic:pic>
              </a:graphicData>
            </a:graphic>
          </wp:inline>
        </w:drawing>
      </w:r>
    </w:p>
    <w:p>
      <w:pPr>
        <w:spacing w:after="120"/>
        <w:jc w:val="center"/>
      </w:pPr>
      <w:r>
        <w:rPr>
          <w:rFonts w:ascii="Arial" w:hAnsi="Arial"/>
          <w:b/>
          <w:color w:val="1A365D"/>
          <w:sz w:val="19"/>
        </w:rPr>
        <w:t>Figure 1: Geographic Financial Performance Across Supermarket Branches</w:t>
      </w:r>
    </w:p>
    <w:p>
      <w:pPr>
        <w:spacing w:after="240"/>
      </w:pPr>
      <w:r>
        <w:t>Key Empirical Insights - Branch Performance (Analysis by Indrajit Mandal):</w:t>
        <w:br/>
        <w:t>- Branch A (Yangon) led top-line gross receipts with $110,247.78 across 354 transactions.</w:t>
        <w:br/>
        <w:t>- Branch B (Mandalay) followed with $109,671.28 across 334 transactions, achieving the highest Average Order Value ($328.36).</w:t>
        <w:br/>
        <w:t>- Branch C (Naypyitaw) delivered $94,961.39 across 312 transactions ($304.36 AOV).</w:t>
        <w:br/>
        <w:t>- Revenue distribution displays healthy stability across all three regional centers with a 4.76% gross operating profit margin.</w:t>
      </w:r>
    </w:p>
    <w:p>
      <w:pPr>
        <w:spacing w:before="160"/>
      </w:pPr>
    </w:p>
    <w:p>
      <w:pPr>
        <w:jc w:val="center"/>
      </w:pPr>
    </w:p>
    <w:p>
      <w:r>
        <w:drawing>
          <wp:inline xmlns:a="http://schemas.openxmlformats.org/drawingml/2006/main" xmlns:pic="http://schemas.openxmlformats.org/drawingml/2006/picture">
            <wp:extent cx="5669280" cy="2811349"/>
            <wp:docPr id="2" name="Picture 2"/>
            <wp:cNvGraphicFramePr>
              <a:graphicFrameLocks noChangeAspect="1"/>
            </wp:cNvGraphicFramePr>
            <a:graphic>
              <a:graphicData uri="http://schemas.openxmlformats.org/drawingml/2006/picture">
                <pic:pic>
                  <pic:nvPicPr>
                    <pic:cNvPr id="0" name="plot2_product_line_performance.png"/>
                    <pic:cNvPicPr/>
                  </pic:nvPicPr>
                  <pic:blipFill>
                    <a:blip r:embed="rId10"/>
                    <a:stretch>
                      <a:fillRect/>
                    </a:stretch>
                  </pic:blipFill>
                  <pic:spPr>
                    <a:xfrm>
                      <a:off x="0" y="0"/>
                      <a:ext cx="5669280" cy="2811349"/>
                    </a:xfrm>
                    <a:prstGeom prst="rect"/>
                  </pic:spPr>
                </pic:pic>
              </a:graphicData>
            </a:graphic>
          </wp:inline>
        </w:drawing>
      </w:r>
    </w:p>
    <w:p>
      <w:pPr>
        <w:spacing w:after="120"/>
        <w:jc w:val="center"/>
      </w:pPr>
      <w:r>
        <w:rPr>
          <w:rFonts w:ascii="Arial" w:hAnsi="Arial"/>
          <w:b/>
          <w:color w:val="1A365D"/>
          <w:sz w:val="19"/>
        </w:rPr>
        <w:t>Figure 2: Product Line Sales Volume &amp; Gross Income Breakdown</w:t>
      </w:r>
    </w:p>
    <w:p>
      <w:pPr>
        <w:spacing w:after="240"/>
      </w:pPr>
      <w:r>
        <w:t>Key Empirical Insights - Product Line Performance (Analysis by Indrajit Mandal):</w:t>
        <w:br/>
        <w:t>- Sports and travel is the chain's top revenue generator at $60,893.39 (1,060 units sold; $2,899.68 gross profit).</w:t>
        <w:br/>
        <w:t>- Food and beverages ranked second at $53,661.42 (943 units sold; $2,555.31 gross profit).</w:t>
        <w:br/>
        <w:t>- Electronic accessories ($52,889.50) and Home and lifestyle ($52,197.75) showed strong, consistent turnover.</w:t>
        <w:br/>
        <w:t>- Health and beauty registered lowest volume at $44,776.95, representing a category expansion opportunity.</w:t>
      </w:r>
    </w:p>
    <w:p>
      <w:pPr>
        <w:spacing w:before="160"/>
      </w:pPr>
    </w:p>
    <w:p>
      <w:pPr>
        <w:jc w:val="center"/>
      </w:pPr>
    </w:p>
    <w:p>
      <w:r>
        <w:drawing>
          <wp:inline xmlns:a="http://schemas.openxmlformats.org/drawingml/2006/main" xmlns:pic="http://schemas.openxmlformats.org/drawingml/2006/picture">
            <wp:extent cx="5669280" cy="2345645"/>
            <wp:docPr id="3" name="Picture 3"/>
            <wp:cNvGraphicFramePr>
              <a:graphicFrameLocks noChangeAspect="1"/>
            </wp:cNvGraphicFramePr>
            <a:graphic>
              <a:graphicData uri="http://schemas.openxmlformats.org/drawingml/2006/picture">
                <pic:pic>
                  <pic:nvPicPr>
                    <pic:cNvPr id="0" name="plot3_demographic_loyalty_analysis.png"/>
                    <pic:cNvPicPr/>
                  </pic:nvPicPr>
                  <pic:blipFill>
                    <a:blip r:embed="rId11"/>
                    <a:stretch>
                      <a:fillRect/>
                    </a:stretch>
                  </pic:blipFill>
                  <pic:spPr>
                    <a:xfrm>
                      <a:off x="0" y="0"/>
                      <a:ext cx="5669280" cy="2345645"/>
                    </a:xfrm>
                    <a:prstGeom prst="rect"/>
                  </pic:spPr>
                </pic:pic>
              </a:graphicData>
            </a:graphic>
          </wp:inline>
        </w:drawing>
      </w:r>
    </w:p>
    <w:p>
      <w:pPr>
        <w:spacing w:after="120"/>
        <w:jc w:val="center"/>
      </w:pPr>
      <w:r>
        <w:rPr>
          <w:rFonts w:ascii="Arial" w:hAnsi="Arial"/>
          <w:b/>
          <w:color w:val="1A365D"/>
          <w:sz w:val="19"/>
        </w:rPr>
        <w:t>Figure 3: Customer Demographic Segmentation &amp; Loyalty Contribution</w:t>
      </w:r>
    </w:p>
    <w:p>
      <w:pPr>
        <w:spacing w:after="240"/>
      </w:pPr>
      <w:r>
        <w:t>Key Empirical Insights - Demographic &amp; Loyalty Analysis (Analysis by Indrajit Mandal):</w:t>
        <w:br/>
        <w:t>- Member spend ($315.61 AOV) is statistically identical to Normal walk-in customer spend ($314.15 AOV).</w:t>
        <w:br/>
        <w:t>- The existing loyalty card program acts merely as an identifier rather than an incremental basket size driver.</w:t>
        <w:br/>
        <w:t>- Gender split is balanced (Female: 50.1% of revenue; Male: 49.9%), demonstrating wide consumer appeal across product lines.</w:t>
      </w:r>
    </w:p>
    <w:p>
      <w:pPr>
        <w:spacing w:before="160"/>
      </w:pPr>
    </w:p>
    <w:p>
      <w:pPr>
        <w:jc w:val="center"/>
      </w:pPr>
    </w:p>
    <w:p>
      <w:r>
        <w:drawing>
          <wp:inline xmlns:a="http://schemas.openxmlformats.org/drawingml/2006/main" xmlns:pic="http://schemas.openxmlformats.org/drawingml/2006/picture">
            <wp:extent cx="5669280" cy="2392240"/>
            <wp:docPr id="4" name="Picture 4"/>
            <wp:cNvGraphicFramePr>
              <a:graphicFrameLocks noChangeAspect="1"/>
            </wp:cNvGraphicFramePr>
            <a:graphic>
              <a:graphicData uri="http://schemas.openxmlformats.org/drawingml/2006/picture">
                <pic:pic>
                  <pic:nvPicPr>
                    <pic:cNvPr id="0" name="plot4_sales_velocity_hourly.png"/>
                    <pic:cNvPicPr/>
                  </pic:nvPicPr>
                  <pic:blipFill>
                    <a:blip r:embed="rId12"/>
                    <a:stretch>
                      <a:fillRect/>
                    </a:stretch>
                  </pic:blipFill>
                  <pic:spPr>
                    <a:xfrm>
                      <a:off x="0" y="0"/>
                      <a:ext cx="5669280" cy="2392240"/>
                    </a:xfrm>
                    <a:prstGeom prst="rect"/>
                  </pic:spPr>
                </pic:pic>
              </a:graphicData>
            </a:graphic>
          </wp:inline>
        </w:drawing>
      </w:r>
    </w:p>
    <w:p>
      <w:pPr>
        <w:spacing w:after="120"/>
        <w:jc w:val="center"/>
      </w:pPr>
      <w:r>
        <w:rPr>
          <w:rFonts w:ascii="Arial" w:hAnsi="Arial"/>
          <w:b/>
          <w:color w:val="1A365D"/>
          <w:sz w:val="19"/>
        </w:rPr>
        <w:t>Figure 4: Sales Velocity &amp; Peak Footfall Operating Profile Across Operating Hours</w:t>
      </w:r>
    </w:p>
    <w:p>
      <w:pPr>
        <w:spacing w:after="240"/>
      </w:pPr>
      <w:r>
        <w:t>Key Empirical Insights - Sales Velocity &amp; Peak Footfall (Analysis by Indrajit Mandal):</w:t>
        <w:br/>
        <w:t>- Sales velocity follows a distinct bimodal curve peaking at 16:00 (100 orders, $33,715) and 19:00 (98 orders, $32,450).</w:t>
        <w:br/>
        <w:t>- Morning windows (10:00 - 11:59) represent operating troughs with fewer than 80 orders per hour.</w:t>
        <w:br/>
        <w:t>- Cashier shift schedules must be restructured dynamically to prevent peak queue congestion.</w:t>
      </w:r>
    </w:p>
    <w:p>
      <w:pPr>
        <w:spacing w:before="160"/>
      </w:pPr>
    </w:p>
    <w:p>
      <w:pPr>
        <w:jc w:val="center"/>
      </w:pPr>
    </w:p>
    <w:p>
      <w:r>
        <w:drawing>
          <wp:inline xmlns:a="http://schemas.openxmlformats.org/drawingml/2006/main" xmlns:pic="http://schemas.openxmlformats.org/drawingml/2006/picture">
            <wp:extent cx="5669280" cy="2361025"/>
            <wp:docPr id="5" name="Picture 5"/>
            <wp:cNvGraphicFramePr>
              <a:graphicFrameLocks noChangeAspect="1"/>
            </wp:cNvGraphicFramePr>
            <a:graphic>
              <a:graphicData uri="http://schemas.openxmlformats.org/drawingml/2006/picture">
                <pic:pic>
                  <pic:nvPicPr>
                    <pic:cNvPr id="0" name="plot5_payment_method_preferences.png"/>
                    <pic:cNvPicPr/>
                  </pic:nvPicPr>
                  <pic:blipFill>
                    <a:blip r:embed="rId13"/>
                    <a:stretch>
                      <a:fillRect/>
                    </a:stretch>
                  </pic:blipFill>
                  <pic:spPr>
                    <a:xfrm>
                      <a:off x="0" y="0"/>
                      <a:ext cx="5669280" cy="2361025"/>
                    </a:xfrm>
                    <a:prstGeom prst="rect"/>
                  </pic:spPr>
                </pic:pic>
              </a:graphicData>
            </a:graphic>
          </wp:inline>
        </w:drawing>
      </w:r>
    </w:p>
    <w:p>
      <w:pPr>
        <w:spacing w:after="120"/>
        <w:jc w:val="center"/>
      </w:pPr>
      <w:r>
        <w:rPr>
          <w:rFonts w:ascii="Arial" w:hAnsi="Arial"/>
          <w:b/>
          <w:color w:val="1A365D"/>
          <w:sz w:val="19"/>
        </w:rPr>
        <w:t>Figure 5: Payment Channel Adoption &amp; Channel Spend Distribution</w:t>
      </w:r>
    </w:p>
    <w:p>
      <w:pPr>
        <w:spacing w:after="240"/>
      </w:pPr>
      <w:r>
        <w:t>Key Empirical Insights - Payment Methods (Analysis by Indrajit Mandal):</w:t>
        <w:br/>
        <w:t>- Digital payment adoption dominates: Credit Cards account for 34.6% and E-wallets account for 34.5% (69.1% total digital share).</w:t>
        <w:br/>
        <w:t>- Cash settlements represent 30.9% of transactions.</w:t>
        <w:br/>
        <w:t>- Branch A (Yangon) leads E-wallet adoption, while Branch B and C show higher card and cash usage.</w:t>
      </w:r>
    </w:p>
    <w:p>
      <w:pPr>
        <w:spacing w:before="160"/>
      </w:pPr>
    </w:p>
    <w:p>
      <w:pPr>
        <w:jc w:val="center"/>
      </w:pPr>
    </w:p>
    <w:p>
      <w:r>
        <w:drawing>
          <wp:inline xmlns:a="http://schemas.openxmlformats.org/drawingml/2006/main" xmlns:pic="http://schemas.openxmlformats.org/drawingml/2006/picture">
            <wp:extent cx="5669280" cy="2801870"/>
            <wp:docPr id="6" name="Picture 6"/>
            <wp:cNvGraphicFramePr>
              <a:graphicFrameLocks noChangeAspect="1"/>
            </wp:cNvGraphicFramePr>
            <a:graphic>
              <a:graphicData uri="http://schemas.openxmlformats.org/drawingml/2006/picture">
                <pic:pic>
                  <pic:nvPicPr>
                    <pic:cNvPr id="0" name="plot6_customer_satisfaction_ratings.png"/>
                    <pic:cNvPicPr/>
                  </pic:nvPicPr>
                  <pic:blipFill>
                    <a:blip r:embed="rId14"/>
                    <a:stretch>
                      <a:fillRect/>
                    </a:stretch>
                  </pic:blipFill>
                  <pic:spPr>
                    <a:xfrm>
                      <a:off x="0" y="0"/>
                      <a:ext cx="5669280" cy="2801870"/>
                    </a:xfrm>
                    <a:prstGeom prst="rect"/>
                  </pic:spPr>
                </pic:pic>
              </a:graphicData>
            </a:graphic>
          </wp:inline>
        </w:drawing>
      </w:r>
    </w:p>
    <w:p>
      <w:pPr>
        <w:spacing w:after="120"/>
        <w:jc w:val="center"/>
      </w:pPr>
      <w:r>
        <w:rPr>
          <w:rFonts w:ascii="Arial" w:hAnsi="Arial"/>
          <w:b/>
          <w:color w:val="1A365D"/>
          <w:sz w:val="19"/>
        </w:rPr>
        <w:t>Figure 6: Customer Satisfaction (CSAT Rating) Distribution by Product Line</w:t>
      </w:r>
    </w:p>
    <w:p>
      <w:pPr>
        <w:spacing w:after="240"/>
      </w:pPr>
      <w:r>
        <w:t>Key Empirical Insights - Customer Satisfaction (Analysis by Indrajit Mandal):</w:t>
        <w:br/>
        <w:t>- Chain-wide mean CSAT rating is 7.00 / 10.00 with standard deviation of 1.71.</w:t>
        <w:br/>
        <w:t>- Top ratings: Fashion accessories (7.28) and Food and beverages (7.18).</w:t>
        <w:br/>
        <w:t>- Home and lifestyle (6.71) and Electronic accessories (6.77) represent improvement targets requiring clear warranty and return support.</w:t>
      </w:r>
    </w:p>
    <w:p>
      <w:pPr>
        <w:pStyle w:val="Heading1"/>
      </w:pPr>
      <w:r>
        <w:rPr>
          <w:rFonts w:ascii="Arial" w:hAnsi="Arial"/>
          <w:color w:val="1A365D"/>
        </w:rPr>
        <w:t>5. Strategic Business Recommendations</w:t>
      </w:r>
    </w:p>
    <w:p>
      <w:pPr>
        <w:pStyle w:val="ListBullet"/>
        <w:spacing w:after="120"/>
      </w:pPr>
      <w:r>
        <w:rPr>
          <w:b/>
          <w:color w:val="1A365D"/>
        </w:rPr>
        <w:t xml:space="preserve">1. Workforce &amp; Shift Scheduling: </w:t>
      </w:r>
      <w:r>
        <w:t>Implement staggered cashier shifts aligning labor capacity with the 16:00 and 19:00 footfall peaks. Transition morning staff to shelf restocking to keep afternoon aisles unobstructed.</w:t>
      </w:r>
    </w:p>
    <w:p>
      <w:pPr>
        <w:pStyle w:val="ListBullet"/>
        <w:spacing w:after="120"/>
      </w:pPr>
      <w:r>
        <w:rPr>
          <w:b/>
          <w:color w:val="1A365D"/>
        </w:rPr>
        <w:t xml:space="preserve">2. Tiered Loyalty Program Revamp: </w:t>
      </w:r>
      <w:r>
        <w:t>Overhaul the passive membership program into a 3-tier milestone structure (Silver, Gold, Platinum) with basket threshold rebates (e.g., $25 voucher on purchases over $400) to incentivize higher basket spend.</w:t>
      </w:r>
    </w:p>
    <w:p>
      <w:pPr>
        <w:pStyle w:val="ListBullet"/>
        <w:spacing w:after="120"/>
      </w:pPr>
      <w:r>
        <w:rPr>
          <w:b/>
          <w:color w:val="1A365D"/>
        </w:rPr>
        <w:t xml:space="preserve">3. Assortment &amp; Visual Merchandising: </w:t>
      </w:r>
      <w:r>
        <w:t>Allocate premium eye-level shelf space to high-grossing categories (Sports &amp; Travel and Food &amp; Beverages). Restructure Health &amp; Beauty packaging to introduce trial sizes that encourage impulse buying.</w:t>
      </w:r>
    </w:p>
    <w:p>
      <w:pPr>
        <w:pStyle w:val="ListBullet"/>
        <w:spacing w:after="120"/>
      </w:pPr>
      <w:r>
        <w:rPr>
          <w:b/>
          <w:color w:val="1A365D"/>
        </w:rPr>
        <w:t xml:space="preserve">4. Digital POS &amp; Fintech Integrations: </w:t>
      </w:r>
      <w:r>
        <w:t>Designate dedicated E-Wallet express checkout lanes to capitalize on the 69.1% digital payment adoption, and negotiate co-marketing cashback promotions with leading mobile wallet platforms.</w:t>
      </w:r>
    </w:p>
    <w:p>
      <w:pPr>
        <w:pStyle w:val="Heading1"/>
      </w:pPr>
      <w:r>
        <w:rPr>
          <w:rFonts w:ascii="Arial" w:hAnsi="Arial"/>
          <w:color w:val="1A365D"/>
        </w:rPr>
        <w:t>6. Conclusion &amp; Future Analytics Roadmap</w:t>
      </w:r>
    </w:p>
    <w:p>
      <w:pPr>
        <w:spacing w:after="200"/>
      </w:pPr>
      <w:r>
        <w:t>This project establishes a rigorous baseline of operational intelligence across supermarket branches in Yangon, Mandalay, and Naypyitaw. The empirical findings reveal high regional revenue balance but expose critical opportunities to optimize cashier labor, restructure loyalty incentives, and enhance digital checkout speed.</w:t>
        <w:br/>
        <w:br/>
        <w:t>Future analytics initiatives led by Indrajit Mandal will expand upon this foundation:</w:t>
        <w:br/>
        <w:t>- Machine Learning Demand Forecasting: Implementing gradient boosted tree models (LightGBM/XGBoost) for daily category demand forecasting.</w:t>
        <w:br/>
        <w:t>- RFM Customer Segmentation: Deploying unsupervised clustering (K-Means) to identify high-value customer personas.</w:t>
        <w:br/>
        <w:t>- Market Basket Association Rules: Utilizing the Apriori algorithm to identify product affinity and automate cross-merchandising pairings.</w:t>
      </w:r>
    </w:p>
    <w:p>
      <w:pPr>
        <w:spacing w:before="360"/>
        <w:jc w:val="right"/>
      </w:pPr>
      <w:r>
        <w:rPr>
          <w:i/>
          <w:color w:val="4A5568"/>
        </w:rPr>
        <w:t>Respectfully submitted,</w:t>
        <w:br/>
        <w:t>Indrajit Mandal</w:t>
        <w:br/>
        <w:t>Senior Data Analyst Intern</w:t>
        <w:br/>
        <w:t>IBM SkillsBuild Academic Internship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