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2E946D">
      <w:pPr>
        <w:spacing w:before="480" w:after="80"/>
      </w:pPr>
    </w:p>
    <w:p w14:paraId="70D40281">
      <w:pPr>
        <w:spacing w:before="0" w:after="60"/>
        <w:jc w:val="center"/>
      </w:pPr>
      <w:r>
        <w:rPr>
          <w:rFonts w:ascii="Arial" w:hAnsi="Arial" w:eastAsia="Arial" w:cs="Arial"/>
          <w:b/>
          <w:bCs/>
          <w:color w:val="C0392B"/>
          <w:sz w:val="20"/>
          <w:szCs w:val="20"/>
        </w:rPr>
        <w:t>NLD SYNAPSE 2026</w:t>
      </w:r>
    </w:p>
    <w:p w14:paraId="52042734">
      <w:pPr>
        <w:spacing w:before="0" w:after="280"/>
        <w:jc w:val="center"/>
        <w:rPr>
          <w:rFonts w:hint="default"/>
          <w:lang w:val="en-US"/>
        </w:rPr>
      </w:pPr>
      <w:r>
        <w:rPr>
          <w:rFonts w:ascii="Arial" w:hAnsi="Arial" w:eastAsia="Arial" w:cs="Arial"/>
          <w:color w:val="2C3E50"/>
          <w:sz w:val="20"/>
          <w:szCs w:val="20"/>
        </w:rPr>
        <w:t>T</w:t>
      </w:r>
      <w:r>
        <w:rPr>
          <w:rFonts w:hint="default" w:cs="Arial"/>
          <w:color w:val="2C3E50"/>
          <w:sz w:val="20"/>
          <w:szCs w:val="20"/>
          <w:lang w:val="en-US"/>
        </w:rPr>
        <w:t>EAM NIA</w:t>
      </w:r>
    </w:p>
    <w:p w14:paraId="5AD7A419">
      <w:pPr>
        <w:spacing w:before="0" w:after="120"/>
        <w:jc w:val="center"/>
      </w:pPr>
      <w:r>
        <w:rPr>
          <w:rFonts w:ascii="Arial" w:hAnsi="Arial" w:eastAsia="Arial" w:cs="Arial"/>
          <w:b/>
          <w:bCs/>
          <w:color w:val="2C3E50"/>
          <w:sz w:val="52"/>
          <w:szCs w:val="52"/>
        </w:rPr>
        <w:t>TECHNICAL APPENDIX</w:t>
      </w:r>
    </w:p>
    <w:p w14:paraId="05F1022B">
      <w:pPr>
        <w:spacing w:before="0" w:after="200"/>
        <w:jc w:val="center"/>
      </w:pPr>
      <w:r>
        <w:rPr>
          <w:rFonts w:ascii="Arial" w:hAnsi="Arial" w:eastAsia="Arial" w:cs="Arial"/>
          <w:color w:val="C0392B"/>
          <w:sz w:val="30"/>
          <w:szCs w:val="30"/>
        </w:rPr>
        <w:t>Case STABILIS — Behavioural Revenue Model</w:t>
      </w:r>
    </w:p>
    <w:p w14:paraId="4D5B7ACC">
      <w:pPr>
        <w:pBdr>
          <w:bottom w:val="single" w:color="C0392B" w:sz="10" w:space="1"/>
        </w:pBdr>
        <w:spacing w:before="0" w:after="80"/>
      </w:pPr>
    </w:p>
    <w:p w14:paraId="43C269FB">
      <w:pPr>
        <w:spacing w:before="160" w:after="60"/>
      </w:pPr>
    </w:p>
    <w:tbl>
      <w:tblPr>
        <w:tblStyle w:val="9"/>
        <w:tblW w:w="1021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28"/>
        <w:gridCol w:w="7491"/>
      </w:tblGrid>
      <w:tr w14:paraId="3A84B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471" w:hRule="atLeast"/>
        </w:trPr>
        <w:tc>
          <w:tcPr>
            <w:tcW w:w="2728" w:type="dxa"/>
            <w:tcBorders>
              <w:top w:val="single" w:color="BDC3C7" w:sz="4" w:space="0"/>
              <w:left w:val="single" w:color="BDC3C7" w:sz="4" w:space="0"/>
              <w:bottom w:val="single" w:color="BDC3C7" w:sz="4" w:space="0"/>
              <w:right w:val="single" w:color="BDC3C7" w:sz="4" w:space="0"/>
            </w:tcBorders>
            <w:shd w:val="clear" w:color="auto" w:fill="F4F6F7"/>
            <w:tcMar>
              <w:top w:w="80" w:type="dxa"/>
              <w:left w:w="120" w:type="dxa"/>
              <w:bottom w:w="80" w:type="dxa"/>
              <w:right w:w="120" w:type="dxa"/>
            </w:tcMar>
          </w:tcPr>
          <w:p w14:paraId="5506DDC8">
            <w:r>
              <w:rPr>
                <w:rFonts w:ascii="Arial" w:hAnsi="Arial" w:eastAsia="Arial" w:cs="Arial"/>
                <w:sz w:val="18"/>
                <w:szCs w:val="18"/>
              </w:rPr>
              <w:t>Model Version</w:t>
            </w:r>
          </w:p>
        </w:tc>
        <w:tc>
          <w:tcPr>
            <w:tcW w:w="7491"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79413344">
            <w:r>
              <w:rPr>
                <w:rFonts w:ascii="Arial" w:hAnsi="Arial" w:eastAsia="Arial" w:cs="Arial"/>
                <w:sz w:val="18"/>
                <w:szCs w:val="18"/>
              </w:rPr>
              <w:t>v3.0 (Stage 1 + Stage 2 + Stage 3)</w:t>
            </w:r>
          </w:p>
        </w:tc>
      </w:tr>
      <w:tr w14:paraId="6ACD1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471" w:hRule="atLeast"/>
        </w:trPr>
        <w:tc>
          <w:tcPr>
            <w:tcW w:w="2728" w:type="dxa"/>
            <w:tcBorders>
              <w:top w:val="single" w:color="BDC3C7" w:sz="4" w:space="0"/>
              <w:left w:val="single" w:color="BDC3C7" w:sz="4" w:space="0"/>
              <w:bottom w:val="single" w:color="BDC3C7" w:sz="4" w:space="0"/>
              <w:right w:val="single" w:color="BDC3C7" w:sz="4" w:space="0"/>
            </w:tcBorders>
            <w:shd w:val="clear" w:color="auto" w:fill="F4F6F7"/>
            <w:tcMar>
              <w:top w:w="80" w:type="dxa"/>
              <w:left w:w="120" w:type="dxa"/>
              <w:bottom w:w="80" w:type="dxa"/>
              <w:right w:w="120" w:type="dxa"/>
            </w:tcMar>
          </w:tcPr>
          <w:p w14:paraId="14566294">
            <w:r>
              <w:rPr>
                <w:rFonts w:ascii="Arial" w:hAnsi="Arial" w:eastAsia="Arial" w:cs="Arial"/>
                <w:sz w:val="18"/>
                <w:szCs w:val="18"/>
              </w:rPr>
              <w:t>Dataset — Train</w:t>
            </w:r>
          </w:p>
        </w:tc>
        <w:tc>
          <w:tcPr>
            <w:tcW w:w="7491"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36FFC136">
            <w:r>
              <w:rPr>
                <w:rFonts w:ascii="Arial" w:hAnsi="Arial" w:eastAsia="Arial" w:cs="Arial"/>
                <w:sz w:val="18"/>
                <w:szCs w:val="18"/>
              </w:rPr>
              <w:t>Final Sales Data (Pre-2020)</w:t>
            </w:r>
          </w:p>
        </w:tc>
      </w:tr>
      <w:tr w14:paraId="2F822D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471" w:hRule="atLeast"/>
        </w:trPr>
        <w:tc>
          <w:tcPr>
            <w:tcW w:w="2728" w:type="dxa"/>
            <w:tcBorders>
              <w:top w:val="single" w:color="BDC3C7" w:sz="4" w:space="0"/>
              <w:left w:val="single" w:color="BDC3C7" w:sz="4" w:space="0"/>
              <w:bottom w:val="single" w:color="BDC3C7" w:sz="4" w:space="0"/>
              <w:right w:val="single" w:color="BDC3C7" w:sz="4" w:space="0"/>
            </w:tcBorders>
            <w:shd w:val="clear" w:color="auto" w:fill="F4F6F7"/>
            <w:tcMar>
              <w:top w:w="80" w:type="dxa"/>
              <w:left w:w="120" w:type="dxa"/>
              <w:bottom w:w="80" w:type="dxa"/>
              <w:right w:w="120" w:type="dxa"/>
            </w:tcMar>
          </w:tcPr>
          <w:p w14:paraId="1D3C1F85">
            <w:r>
              <w:rPr>
                <w:rFonts w:ascii="Arial" w:hAnsi="Arial" w:eastAsia="Arial" w:cs="Arial"/>
                <w:sz w:val="18"/>
                <w:szCs w:val="18"/>
              </w:rPr>
              <w:t>Dataset — Val</w:t>
            </w:r>
          </w:p>
        </w:tc>
        <w:tc>
          <w:tcPr>
            <w:tcW w:w="7491"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4659734C">
            <w:r>
              <w:rPr>
                <w:rFonts w:ascii="Arial" w:hAnsi="Arial" w:eastAsia="Arial" w:cs="Arial"/>
                <w:sz w:val="18"/>
                <w:szCs w:val="18"/>
              </w:rPr>
              <w:t>Customers Validation Set (2020–2021)</w:t>
            </w:r>
          </w:p>
        </w:tc>
      </w:tr>
      <w:tr w14:paraId="1B6DA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536" w:hRule="atLeast"/>
        </w:trPr>
        <w:tc>
          <w:tcPr>
            <w:tcW w:w="2728" w:type="dxa"/>
            <w:tcBorders>
              <w:top w:val="single" w:color="BDC3C7" w:sz="4" w:space="0"/>
              <w:left w:val="single" w:color="BDC3C7" w:sz="4" w:space="0"/>
              <w:bottom w:val="single" w:color="BDC3C7" w:sz="4" w:space="0"/>
              <w:right w:val="single" w:color="BDC3C7" w:sz="4" w:space="0"/>
            </w:tcBorders>
            <w:shd w:val="clear" w:color="auto" w:fill="F4F6F7"/>
            <w:tcMar>
              <w:top w:w="80" w:type="dxa"/>
              <w:left w:w="120" w:type="dxa"/>
              <w:bottom w:w="80" w:type="dxa"/>
              <w:right w:w="120" w:type="dxa"/>
            </w:tcMar>
          </w:tcPr>
          <w:p w14:paraId="5B3A2C3A">
            <w:r>
              <w:rPr>
                <w:rFonts w:ascii="Arial" w:hAnsi="Arial" w:eastAsia="Arial" w:cs="Arial"/>
                <w:sz w:val="18"/>
                <w:szCs w:val="18"/>
              </w:rPr>
              <w:t>Prepared by</w:t>
            </w:r>
          </w:p>
        </w:tc>
        <w:tc>
          <w:tcPr>
            <w:tcW w:w="7491"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350637B4">
            <w:pPr>
              <w:rPr>
                <w:rFonts w:hint="default"/>
                <w:lang w:val="en-US"/>
              </w:rPr>
            </w:pPr>
            <w:r>
              <w:rPr>
                <w:rFonts w:hint="default"/>
                <w:lang w:val="en-US"/>
              </w:rPr>
              <w:t>TEAM NIA</w:t>
            </w:r>
          </w:p>
        </w:tc>
      </w:tr>
      <w:tr w14:paraId="20957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523" w:hRule="atLeast"/>
        </w:trPr>
        <w:tc>
          <w:tcPr>
            <w:tcW w:w="2728" w:type="dxa"/>
            <w:tcBorders>
              <w:top w:val="single" w:color="BDC3C7" w:sz="4" w:space="0"/>
              <w:left w:val="single" w:color="BDC3C7" w:sz="4" w:space="0"/>
              <w:bottom w:val="single" w:color="BDC3C7" w:sz="4" w:space="0"/>
              <w:right w:val="single" w:color="BDC3C7" w:sz="4" w:space="0"/>
            </w:tcBorders>
            <w:shd w:val="clear" w:color="auto" w:fill="F4F6F7"/>
            <w:tcMar>
              <w:top w:w="80" w:type="dxa"/>
              <w:left w:w="120" w:type="dxa"/>
              <w:bottom w:w="80" w:type="dxa"/>
              <w:right w:w="120" w:type="dxa"/>
            </w:tcMar>
          </w:tcPr>
          <w:p w14:paraId="012E1269">
            <w:r>
              <w:rPr>
                <w:rFonts w:ascii="Arial" w:hAnsi="Arial" w:eastAsia="Arial" w:cs="Arial"/>
                <w:sz w:val="18"/>
                <w:szCs w:val="18"/>
              </w:rPr>
              <w:t>Classification</w:t>
            </w:r>
          </w:p>
        </w:tc>
        <w:tc>
          <w:tcPr>
            <w:tcW w:w="7491"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549EF233">
            <w:r>
              <w:rPr>
                <w:rFonts w:ascii="Arial" w:hAnsi="Arial" w:eastAsia="Arial" w:cs="Arial"/>
                <w:sz w:val="18"/>
                <w:szCs w:val="18"/>
              </w:rPr>
              <w:t>Submission Document — NLD Synapse 2026</w:t>
            </w:r>
          </w:p>
        </w:tc>
      </w:tr>
    </w:tbl>
    <w:p w14:paraId="5D16C92C">
      <w:pPr>
        <w:spacing w:before="0" w:after="0"/>
      </w:pPr>
      <w:r>
        <w:br w:type="page"/>
      </w:r>
    </w:p>
    <w:p w14:paraId="00388021">
      <w:pPr>
        <w:pStyle w:val="2"/>
        <w:spacing w:before="400" w:after="160"/>
      </w:pPr>
      <w:r>
        <w:rPr>
          <w:rFonts w:ascii="Arial" w:hAnsi="Arial" w:eastAsia="Arial" w:cs="Arial"/>
          <w:b/>
          <w:bCs/>
          <w:color w:val="2C3E50"/>
          <w:sz w:val="28"/>
          <w:szCs w:val="28"/>
        </w:rPr>
        <w:t>1. Model Specifications</w:t>
      </w:r>
    </w:p>
    <w:p w14:paraId="5CEAF851">
      <w:pPr>
        <w:pBdr>
          <w:bottom w:val="single" w:color="C0392B" w:sz="10" w:space="1"/>
        </w:pBdr>
        <w:spacing w:before="0" w:after="80"/>
      </w:pPr>
    </w:p>
    <w:p w14:paraId="4134FB7E">
      <w:pPr>
        <w:spacing w:before="60" w:after="60"/>
        <w:jc w:val="both"/>
      </w:pPr>
      <w:r>
        <w:rPr>
          <w:rFonts w:ascii="Arial" w:hAnsi="Arial" w:eastAsia="Arial" w:cs="Arial"/>
          <w:sz w:val="20"/>
          <w:szCs w:val="20"/>
        </w:rPr>
        <w:t xml:space="preserve">The Case STABILIS framework is a multi-stage </w:t>
      </w:r>
      <w:r>
        <w:rPr>
          <w:rFonts w:cs="Arial"/>
          <w:sz w:val="20"/>
          <w:szCs w:val="20"/>
          <w:lang w:val="en-US"/>
        </w:rPr>
        <w:t>behavioral</w:t>
      </w:r>
      <w:r>
        <w:rPr>
          <w:rFonts w:ascii="Arial" w:hAnsi="Arial" w:eastAsia="Arial" w:cs="Arial"/>
          <w:sz w:val="20"/>
          <w:szCs w:val="20"/>
        </w:rPr>
        <w:t xml:space="preserve"> revenue model composed of four interlinked sub-models, collectively producing an Expected Revenue Per User (ERPU) estimate segmented by </w:t>
      </w:r>
      <w:r>
        <w:rPr>
          <w:rFonts w:cs="Arial"/>
          <w:sz w:val="20"/>
          <w:szCs w:val="20"/>
          <w:lang w:val="en-US"/>
        </w:rPr>
        <w:t>behavioral</w:t>
      </w:r>
      <w:r>
        <w:rPr>
          <w:rFonts w:ascii="Arial" w:hAnsi="Arial" w:eastAsia="Arial" w:cs="Arial"/>
          <w:sz w:val="20"/>
          <w:szCs w:val="20"/>
        </w:rPr>
        <w:t xml:space="preserve"> tier. All components are implemented in Python using pandas, NumPy, and SciPy, and are designed for interpretability over black-box accuracy.</w:t>
      </w:r>
    </w:p>
    <w:p w14:paraId="2B4F4077">
      <w:pPr>
        <w:spacing w:before="60" w:after="60"/>
      </w:pPr>
    </w:p>
    <w:p w14:paraId="7CA7AAAA">
      <w:pPr>
        <w:pStyle w:val="3"/>
        <w:spacing w:before="280" w:after="120"/>
      </w:pPr>
      <w:r>
        <w:rPr>
          <w:rFonts w:ascii="Arial" w:hAnsi="Arial" w:eastAsia="Arial" w:cs="Arial"/>
          <w:b/>
          <w:bCs/>
          <w:color w:val="C0392B"/>
          <w:sz w:val="24"/>
          <w:szCs w:val="24"/>
        </w:rPr>
        <w:t>1.1 Sub-Model Architecture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2200"/>
        <w:gridCol w:w="3560"/>
        <w:gridCol w:w="2400"/>
      </w:tblGrid>
      <w:tr w14:paraId="0D7F3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DC3C7" w:sz="4" w:space="0"/>
              <w:left w:val="single" w:color="BDC3C7" w:sz="4" w:space="0"/>
              <w:bottom w:val="single" w:color="BDC3C7" w:sz="4" w:space="0"/>
              <w:right w:val="single" w:color="BDC3C7" w:sz="4" w:space="0"/>
            </w:tcBorders>
            <w:shd w:val="clear" w:color="auto" w:fill="2C3E50"/>
            <w:tcMar>
              <w:top w:w="80" w:type="dxa"/>
              <w:left w:w="120" w:type="dxa"/>
              <w:bottom w:w="80" w:type="dxa"/>
              <w:right w:w="120" w:type="dxa"/>
            </w:tcMar>
          </w:tcPr>
          <w:p w14:paraId="7C77D959">
            <w:r>
              <w:rPr>
                <w:rFonts w:ascii="Arial" w:hAnsi="Arial" w:eastAsia="Arial" w:cs="Arial"/>
                <w:b/>
                <w:bCs/>
                <w:color w:val="FFFFFF"/>
                <w:sz w:val="18"/>
                <w:szCs w:val="18"/>
              </w:rPr>
              <w:t>Stage</w:t>
            </w:r>
          </w:p>
        </w:tc>
        <w:tc>
          <w:tcPr>
            <w:tcW w:w="2200" w:type="dxa"/>
            <w:tcBorders>
              <w:top w:val="single" w:color="BDC3C7" w:sz="4" w:space="0"/>
              <w:left w:val="single" w:color="BDC3C7" w:sz="4" w:space="0"/>
              <w:bottom w:val="single" w:color="BDC3C7" w:sz="4" w:space="0"/>
              <w:right w:val="single" w:color="BDC3C7" w:sz="4" w:space="0"/>
            </w:tcBorders>
            <w:shd w:val="clear" w:color="auto" w:fill="2C3E50"/>
            <w:tcMar>
              <w:top w:w="80" w:type="dxa"/>
              <w:left w:w="120" w:type="dxa"/>
              <w:bottom w:w="80" w:type="dxa"/>
              <w:right w:w="120" w:type="dxa"/>
            </w:tcMar>
          </w:tcPr>
          <w:p w14:paraId="43380D75">
            <w:r>
              <w:rPr>
                <w:rFonts w:ascii="Arial" w:hAnsi="Arial" w:eastAsia="Arial" w:cs="Arial"/>
                <w:b/>
                <w:bCs/>
                <w:color w:val="FFFFFF"/>
                <w:sz w:val="18"/>
                <w:szCs w:val="18"/>
              </w:rPr>
              <w:t>Sub-Model</w:t>
            </w:r>
          </w:p>
        </w:tc>
        <w:tc>
          <w:tcPr>
            <w:tcW w:w="3560" w:type="dxa"/>
            <w:tcBorders>
              <w:top w:val="single" w:color="BDC3C7" w:sz="4" w:space="0"/>
              <w:left w:val="single" w:color="BDC3C7" w:sz="4" w:space="0"/>
              <w:bottom w:val="single" w:color="BDC3C7" w:sz="4" w:space="0"/>
              <w:right w:val="single" w:color="BDC3C7" w:sz="4" w:space="0"/>
            </w:tcBorders>
            <w:shd w:val="clear" w:color="auto" w:fill="2C3E50"/>
            <w:tcMar>
              <w:top w:w="80" w:type="dxa"/>
              <w:left w:w="120" w:type="dxa"/>
              <w:bottom w:w="80" w:type="dxa"/>
              <w:right w:w="120" w:type="dxa"/>
            </w:tcMar>
          </w:tcPr>
          <w:p w14:paraId="4032E7B2">
            <w:r>
              <w:rPr>
                <w:rFonts w:ascii="Arial" w:hAnsi="Arial" w:eastAsia="Arial" w:cs="Arial"/>
                <w:b/>
                <w:bCs/>
                <w:color w:val="FFFFFF"/>
                <w:sz w:val="18"/>
                <w:szCs w:val="18"/>
              </w:rPr>
              <w:t>Purpose</w:t>
            </w:r>
          </w:p>
        </w:tc>
        <w:tc>
          <w:tcPr>
            <w:tcW w:w="2400" w:type="dxa"/>
            <w:tcBorders>
              <w:top w:val="single" w:color="BDC3C7" w:sz="4" w:space="0"/>
              <w:left w:val="single" w:color="BDC3C7" w:sz="4" w:space="0"/>
              <w:bottom w:val="single" w:color="BDC3C7" w:sz="4" w:space="0"/>
              <w:right w:val="single" w:color="BDC3C7" w:sz="4" w:space="0"/>
            </w:tcBorders>
            <w:shd w:val="clear" w:color="auto" w:fill="2C3E50"/>
            <w:tcMar>
              <w:top w:w="80" w:type="dxa"/>
              <w:left w:w="120" w:type="dxa"/>
              <w:bottom w:w="80" w:type="dxa"/>
              <w:right w:w="120" w:type="dxa"/>
            </w:tcMar>
          </w:tcPr>
          <w:p w14:paraId="069CE6AC">
            <w:r>
              <w:rPr>
                <w:rFonts w:ascii="Arial" w:hAnsi="Arial" w:eastAsia="Arial" w:cs="Arial"/>
                <w:b/>
                <w:bCs/>
                <w:color w:val="FFFFFF"/>
                <w:sz w:val="18"/>
                <w:szCs w:val="18"/>
              </w:rPr>
              <w:t>Output Metric</w:t>
            </w:r>
          </w:p>
        </w:tc>
      </w:tr>
      <w:tr w14:paraId="5452E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DC3C7" w:sz="4" w:space="0"/>
              <w:left w:val="single" w:color="BDC3C7" w:sz="4" w:space="0"/>
              <w:bottom w:val="single" w:color="BDC3C7" w:sz="4" w:space="0"/>
              <w:right w:val="single" w:color="BDC3C7" w:sz="4" w:space="0"/>
            </w:tcBorders>
            <w:shd w:val="clear" w:color="auto" w:fill="F4F6F7"/>
            <w:tcMar>
              <w:top w:w="80" w:type="dxa"/>
              <w:left w:w="120" w:type="dxa"/>
              <w:bottom w:w="80" w:type="dxa"/>
              <w:right w:w="120" w:type="dxa"/>
            </w:tcMar>
          </w:tcPr>
          <w:p w14:paraId="2D08F0D6">
            <w:r>
              <w:rPr>
                <w:rFonts w:ascii="Arial" w:hAnsi="Arial" w:eastAsia="Arial" w:cs="Arial"/>
                <w:sz w:val="18"/>
                <w:szCs w:val="18"/>
              </w:rPr>
              <w:t>1A</w:t>
            </w:r>
          </w:p>
        </w:tc>
        <w:tc>
          <w:tcPr>
            <w:tcW w:w="22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4A95FF62">
            <w:r>
              <w:rPr>
                <w:rFonts w:ascii="Arial" w:hAnsi="Arial" w:eastAsia="Arial" w:cs="Arial"/>
                <w:sz w:val="18"/>
                <w:szCs w:val="18"/>
              </w:rPr>
              <w:t>Purchase Likelihood</w:t>
            </w:r>
          </w:p>
        </w:tc>
        <w:tc>
          <w:tcPr>
            <w:tcW w:w="356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3ABBF88B">
            <w:r>
              <w:rPr>
                <w:rFonts w:ascii="Arial" w:hAnsi="Arial" w:eastAsia="Arial" w:cs="Arial"/>
                <w:sz w:val="18"/>
                <w:szCs w:val="18"/>
              </w:rPr>
              <w:t>Frequency distribution of orders per user; KS-test for distributional drift</w:t>
            </w:r>
          </w:p>
        </w:tc>
        <w:tc>
          <w:tcPr>
            <w:tcW w:w="24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677D305C">
            <w:r>
              <w:rPr>
                <w:rFonts w:ascii="Arial" w:hAnsi="Arial" w:eastAsia="Arial" w:cs="Arial"/>
                <w:sz w:val="18"/>
                <w:szCs w:val="18"/>
              </w:rPr>
              <w:t>Repeat rate; per-user F-score</w:t>
            </w:r>
          </w:p>
        </w:tc>
      </w:tr>
      <w:tr w14:paraId="4F91C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6DA4964C">
            <w:r>
              <w:rPr>
                <w:rFonts w:ascii="Arial" w:hAnsi="Arial" w:eastAsia="Arial" w:cs="Arial"/>
                <w:sz w:val="18"/>
                <w:szCs w:val="18"/>
              </w:rPr>
              <w:t>1B</w:t>
            </w:r>
          </w:p>
        </w:tc>
        <w:tc>
          <w:tcPr>
            <w:tcW w:w="22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52D610BA">
            <w:r>
              <w:rPr>
                <w:rFonts w:ascii="Arial" w:hAnsi="Arial" w:eastAsia="Arial" w:cs="Arial"/>
                <w:sz w:val="18"/>
                <w:szCs w:val="18"/>
              </w:rPr>
              <w:t>Basket Size Model</w:t>
            </w:r>
          </w:p>
        </w:tc>
        <w:tc>
          <w:tcPr>
            <w:tcW w:w="356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0E20251A">
            <w:r>
              <w:rPr>
                <w:rFonts w:ascii="Arial" w:hAnsi="Arial" w:eastAsia="Arial" w:cs="Arial"/>
                <w:sz w:val="18"/>
                <w:szCs w:val="18"/>
              </w:rPr>
              <w:t>Per-event basket value distribution; percentile comparison (P25, median, P75, P90, P99)</w:t>
            </w:r>
          </w:p>
        </w:tc>
        <w:tc>
          <w:tcPr>
            <w:tcW w:w="24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2F079EFC">
            <w:r>
              <w:rPr>
                <w:rFonts w:ascii="Arial" w:hAnsi="Arial" w:eastAsia="Arial" w:cs="Arial"/>
                <w:sz w:val="18"/>
                <w:szCs w:val="18"/>
              </w:rPr>
              <w:t>Avg basket; heavy-tail share</w:t>
            </w:r>
          </w:p>
        </w:tc>
      </w:tr>
      <w:tr w14:paraId="3E84E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DC3C7" w:sz="4" w:space="0"/>
              <w:left w:val="single" w:color="BDC3C7" w:sz="4" w:space="0"/>
              <w:bottom w:val="single" w:color="BDC3C7" w:sz="4" w:space="0"/>
              <w:right w:val="single" w:color="BDC3C7" w:sz="4" w:space="0"/>
            </w:tcBorders>
            <w:shd w:val="clear" w:color="auto" w:fill="F4F6F7"/>
            <w:tcMar>
              <w:top w:w="80" w:type="dxa"/>
              <w:left w:w="120" w:type="dxa"/>
              <w:bottom w:w="80" w:type="dxa"/>
              <w:right w:w="120" w:type="dxa"/>
            </w:tcMar>
          </w:tcPr>
          <w:p w14:paraId="38FD4CAD">
            <w:r>
              <w:rPr>
                <w:rFonts w:ascii="Arial" w:hAnsi="Arial" w:eastAsia="Arial" w:cs="Arial"/>
                <w:sz w:val="18"/>
                <w:szCs w:val="18"/>
              </w:rPr>
              <w:t>1C</w:t>
            </w:r>
          </w:p>
        </w:tc>
        <w:tc>
          <w:tcPr>
            <w:tcW w:w="22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46AB94BF">
            <w:r>
              <w:rPr>
                <w:rFonts w:ascii="Arial" w:hAnsi="Arial" w:eastAsia="Arial" w:cs="Arial"/>
                <w:sz w:val="18"/>
                <w:szCs w:val="18"/>
              </w:rPr>
              <w:t>Net Revenue (ERPU)</w:t>
            </w:r>
          </w:p>
        </w:tc>
        <w:tc>
          <w:tcPr>
            <w:tcW w:w="356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3F5F64F4">
            <w:r>
              <w:rPr>
                <w:rFonts w:ascii="Arial" w:hAnsi="Arial" w:eastAsia="Arial" w:cs="Arial"/>
                <w:sz w:val="18"/>
                <w:szCs w:val="18"/>
              </w:rPr>
              <w:t>Gross revenue minus returns, normalised by unique users; ERPU decomposition</w:t>
            </w:r>
          </w:p>
        </w:tc>
        <w:tc>
          <w:tcPr>
            <w:tcW w:w="24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00D82AD4">
            <w:r>
              <w:rPr>
                <w:rFonts w:ascii="Arial" w:hAnsi="Arial" w:eastAsia="Arial" w:cs="Arial"/>
                <w:sz w:val="18"/>
                <w:szCs w:val="18"/>
              </w:rPr>
              <w:t>ERPU (Rs); return rate (%)</w:t>
            </w:r>
          </w:p>
        </w:tc>
      </w:tr>
      <w:tr w14:paraId="7B6FC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3D6454EE">
            <w:r>
              <w:rPr>
                <w:rFonts w:ascii="Arial" w:hAnsi="Arial" w:eastAsia="Arial" w:cs="Arial"/>
                <w:sz w:val="18"/>
                <w:szCs w:val="18"/>
              </w:rPr>
              <w:t>1D</w:t>
            </w:r>
          </w:p>
        </w:tc>
        <w:tc>
          <w:tcPr>
            <w:tcW w:w="22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019D5337">
            <w:r>
              <w:rPr>
                <w:rFonts w:cs="Arial"/>
                <w:sz w:val="18"/>
                <w:szCs w:val="18"/>
                <w:lang w:val="en-US"/>
              </w:rPr>
              <w:t>Behavioral</w:t>
            </w:r>
            <w:r>
              <w:rPr>
                <w:rFonts w:ascii="Arial" w:hAnsi="Arial" w:eastAsia="Arial" w:cs="Arial"/>
                <w:sz w:val="18"/>
                <w:szCs w:val="18"/>
              </w:rPr>
              <w:t xml:space="preserve"> Segmentation (RFM)</w:t>
            </w:r>
          </w:p>
        </w:tc>
        <w:tc>
          <w:tcPr>
            <w:tcW w:w="356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0144C164">
            <w:r>
              <w:rPr>
                <w:rFonts w:ascii="Arial" w:hAnsi="Arial" w:eastAsia="Arial" w:cs="Arial"/>
                <w:sz w:val="18"/>
                <w:szCs w:val="18"/>
              </w:rPr>
              <w:t>Quintile-scored RFM matrix; rule-based segment assignment; ERPU by segment</w:t>
            </w:r>
          </w:p>
        </w:tc>
        <w:tc>
          <w:tcPr>
            <w:tcW w:w="24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63444E93">
            <w:r>
              <w:rPr>
                <w:rFonts w:ascii="Arial" w:hAnsi="Arial" w:eastAsia="Arial" w:cs="Arial"/>
                <w:sz w:val="18"/>
                <w:szCs w:val="18"/>
              </w:rPr>
              <w:t>6-segment RFM label per user</w:t>
            </w:r>
          </w:p>
        </w:tc>
      </w:tr>
      <w:tr w14:paraId="4ACE1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DC3C7" w:sz="4" w:space="0"/>
              <w:left w:val="single" w:color="BDC3C7" w:sz="4" w:space="0"/>
              <w:bottom w:val="single" w:color="BDC3C7" w:sz="4" w:space="0"/>
              <w:right w:val="single" w:color="BDC3C7" w:sz="4" w:space="0"/>
            </w:tcBorders>
            <w:shd w:val="clear" w:color="auto" w:fill="F4F6F7"/>
            <w:tcMar>
              <w:top w:w="80" w:type="dxa"/>
              <w:left w:w="120" w:type="dxa"/>
              <w:bottom w:w="80" w:type="dxa"/>
              <w:right w:w="120" w:type="dxa"/>
            </w:tcMar>
          </w:tcPr>
          <w:p w14:paraId="3C68C474">
            <w:r>
              <w:rPr>
                <w:rFonts w:ascii="Arial" w:hAnsi="Arial" w:eastAsia="Arial" w:cs="Arial"/>
                <w:sz w:val="18"/>
                <w:szCs w:val="18"/>
              </w:rPr>
              <w:t>2</w:t>
            </w:r>
          </w:p>
        </w:tc>
        <w:tc>
          <w:tcPr>
            <w:tcW w:w="22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53488DF7">
            <w:r>
              <w:rPr>
                <w:rFonts w:ascii="Arial" w:hAnsi="Arial" w:eastAsia="Arial" w:cs="Arial"/>
                <w:sz w:val="18"/>
                <w:szCs w:val="18"/>
              </w:rPr>
              <w:t>In-Space Validation</w:t>
            </w:r>
          </w:p>
        </w:tc>
        <w:tc>
          <w:tcPr>
            <w:tcW w:w="356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7B49A3F8">
            <w:r>
              <w:rPr>
                <w:rFonts w:ascii="Arial" w:hAnsi="Arial" w:eastAsia="Arial" w:cs="Arial"/>
                <w:sz w:val="18"/>
                <w:szCs w:val="18"/>
              </w:rPr>
              <w:t>Score replay of Stage 1 model on held-out validation users; calibration and lift analysis</w:t>
            </w:r>
          </w:p>
        </w:tc>
        <w:tc>
          <w:tcPr>
            <w:tcW w:w="24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5E7008BC">
            <w:r>
              <w:rPr>
                <w:rFonts w:ascii="Arial" w:hAnsi="Arial" w:eastAsia="Arial" w:cs="Arial"/>
                <w:sz w:val="18"/>
                <w:szCs w:val="18"/>
              </w:rPr>
              <w:t>Scorecard (8 checks)</w:t>
            </w:r>
          </w:p>
        </w:tc>
      </w:tr>
      <w:tr w14:paraId="36C9D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3A299699">
            <w:r>
              <w:rPr>
                <w:rFonts w:ascii="Arial" w:hAnsi="Arial" w:eastAsia="Arial" w:cs="Arial"/>
                <w:sz w:val="18"/>
                <w:szCs w:val="18"/>
              </w:rPr>
              <w:t>3</w:t>
            </w:r>
          </w:p>
        </w:tc>
        <w:tc>
          <w:tcPr>
            <w:tcW w:w="22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4A80C09A">
            <w:r>
              <w:rPr>
                <w:rFonts w:ascii="Arial" w:hAnsi="Arial" w:eastAsia="Arial" w:cs="Arial"/>
                <w:sz w:val="18"/>
                <w:szCs w:val="18"/>
              </w:rPr>
              <w:t>Basket Growth Strategy</w:t>
            </w:r>
          </w:p>
        </w:tc>
        <w:tc>
          <w:tcPr>
            <w:tcW w:w="356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11898A90">
            <w:r>
              <w:rPr>
                <w:rFonts w:ascii="Arial" w:hAnsi="Arial" w:eastAsia="Arial" w:cs="Arial"/>
                <w:sz w:val="18"/>
                <w:szCs w:val="18"/>
              </w:rPr>
              <w:t xml:space="preserve">Four evidence-based levers applied </w:t>
            </w:r>
            <w:r>
              <w:rPr>
                <w:rFonts w:cs="Arial"/>
                <w:sz w:val="18"/>
                <w:szCs w:val="18"/>
                <w:lang w:val="en-US"/>
              </w:rPr>
              <w:t>multiplicative</w:t>
            </w:r>
            <w:r>
              <w:rPr>
                <w:rFonts w:ascii="Arial" w:hAnsi="Arial" w:eastAsia="Arial" w:cs="Arial"/>
                <w:sz w:val="18"/>
                <w:szCs w:val="18"/>
              </w:rPr>
              <w:t xml:space="preserve"> per segment; six scenario projections</w:t>
            </w:r>
          </w:p>
        </w:tc>
        <w:tc>
          <w:tcPr>
            <w:tcW w:w="24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0888206C">
            <w:r>
              <w:rPr>
                <w:rFonts w:ascii="Arial" w:hAnsi="Arial" w:eastAsia="Arial" w:cs="Arial"/>
                <w:sz w:val="18"/>
                <w:szCs w:val="18"/>
              </w:rPr>
              <w:t>ERPU uplift; net revenue delta</w:t>
            </w:r>
          </w:p>
        </w:tc>
      </w:tr>
    </w:tbl>
    <w:p w14:paraId="0D5962A7">
      <w:pPr>
        <w:spacing w:before="60" w:after="60"/>
      </w:pPr>
    </w:p>
    <w:p w14:paraId="1982ABC3">
      <w:pPr>
        <w:pStyle w:val="3"/>
        <w:spacing w:before="280" w:after="120"/>
      </w:pPr>
      <w:r>
        <w:rPr>
          <w:rFonts w:ascii="Arial" w:hAnsi="Arial" w:eastAsia="Arial" w:cs="Arial"/>
          <w:b/>
          <w:bCs/>
          <w:color w:val="C0392B"/>
          <w:sz w:val="24"/>
          <w:szCs w:val="24"/>
        </w:rPr>
        <w:t>1.2 Feature Definitions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2200"/>
        <w:gridCol w:w="5360"/>
      </w:tblGrid>
      <w:tr w14:paraId="6E6C1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DC3C7" w:sz="4" w:space="0"/>
              <w:left w:val="single" w:color="BDC3C7" w:sz="4" w:space="0"/>
              <w:bottom w:val="single" w:color="BDC3C7" w:sz="4" w:space="0"/>
              <w:right w:val="single" w:color="BDC3C7" w:sz="4" w:space="0"/>
            </w:tcBorders>
            <w:shd w:val="clear" w:color="auto" w:fill="2C3E50"/>
            <w:tcMar>
              <w:top w:w="80" w:type="dxa"/>
              <w:left w:w="120" w:type="dxa"/>
              <w:bottom w:w="80" w:type="dxa"/>
              <w:right w:w="120" w:type="dxa"/>
            </w:tcMar>
          </w:tcPr>
          <w:p w14:paraId="0DA30813">
            <w:r>
              <w:rPr>
                <w:rFonts w:ascii="Arial" w:hAnsi="Arial" w:eastAsia="Arial" w:cs="Arial"/>
                <w:b/>
                <w:bCs/>
                <w:color w:val="FFFFFF"/>
                <w:sz w:val="18"/>
                <w:szCs w:val="18"/>
              </w:rPr>
              <w:t>Feature</w:t>
            </w:r>
          </w:p>
        </w:tc>
        <w:tc>
          <w:tcPr>
            <w:tcW w:w="2200" w:type="dxa"/>
            <w:tcBorders>
              <w:top w:val="single" w:color="BDC3C7" w:sz="4" w:space="0"/>
              <w:left w:val="single" w:color="BDC3C7" w:sz="4" w:space="0"/>
              <w:bottom w:val="single" w:color="BDC3C7" w:sz="4" w:space="0"/>
              <w:right w:val="single" w:color="BDC3C7" w:sz="4" w:space="0"/>
            </w:tcBorders>
            <w:shd w:val="clear" w:color="auto" w:fill="2C3E50"/>
            <w:tcMar>
              <w:top w:w="80" w:type="dxa"/>
              <w:left w:w="120" w:type="dxa"/>
              <w:bottom w:w="80" w:type="dxa"/>
              <w:right w:w="120" w:type="dxa"/>
            </w:tcMar>
          </w:tcPr>
          <w:p w14:paraId="57F959BC">
            <w:r>
              <w:rPr>
                <w:rFonts w:ascii="Arial" w:hAnsi="Arial" w:eastAsia="Arial" w:cs="Arial"/>
                <w:b/>
                <w:bCs/>
                <w:color w:val="FFFFFF"/>
                <w:sz w:val="18"/>
                <w:szCs w:val="18"/>
              </w:rPr>
              <w:t>Formula</w:t>
            </w:r>
          </w:p>
        </w:tc>
        <w:tc>
          <w:tcPr>
            <w:tcW w:w="5360" w:type="dxa"/>
            <w:tcBorders>
              <w:top w:val="single" w:color="BDC3C7" w:sz="4" w:space="0"/>
              <w:left w:val="single" w:color="BDC3C7" w:sz="4" w:space="0"/>
              <w:bottom w:val="single" w:color="BDC3C7" w:sz="4" w:space="0"/>
              <w:right w:val="single" w:color="BDC3C7" w:sz="4" w:space="0"/>
            </w:tcBorders>
            <w:shd w:val="clear" w:color="auto" w:fill="2C3E50"/>
            <w:tcMar>
              <w:top w:w="80" w:type="dxa"/>
              <w:left w:w="120" w:type="dxa"/>
              <w:bottom w:w="80" w:type="dxa"/>
              <w:right w:w="120" w:type="dxa"/>
            </w:tcMar>
          </w:tcPr>
          <w:p w14:paraId="332670E1">
            <w:r>
              <w:rPr>
                <w:rFonts w:ascii="Arial" w:hAnsi="Arial" w:eastAsia="Arial" w:cs="Arial"/>
                <w:b/>
                <w:bCs/>
                <w:color w:val="FFFFFF"/>
                <w:sz w:val="18"/>
                <w:szCs w:val="18"/>
              </w:rPr>
              <w:t>Notes</w:t>
            </w:r>
          </w:p>
        </w:tc>
      </w:tr>
      <w:tr w14:paraId="35D57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DC3C7" w:sz="4" w:space="0"/>
              <w:left w:val="single" w:color="BDC3C7" w:sz="4" w:space="0"/>
              <w:bottom w:val="single" w:color="BDC3C7" w:sz="4" w:space="0"/>
              <w:right w:val="single" w:color="BDC3C7" w:sz="4" w:space="0"/>
            </w:tcBorders>
            <w:shd w:val="clear" w:color="auto" w:fill="F4F6F7"/>
            <w:tcMar>
              <w:top w:w="80" w:type="dxa"/>
              <w:left w:w="120" w:type="dxa"/>
              <w:bottom w:w="80" w:type="dxa"/>
              <w:right w:w="120" w:type="dxa"/>
            </w:tcMar>
          </w:tcPr>
          <w:p w14:paraId="21459C57">
            <w:r>
              <w:rPr>
                <w:rFonts w:ascii="Arial" w:hAnsi="Arial" w:eastAsia="Arial" w:cs="Arial"/>
                <w:sz w:val="18"/>
                <w:szCs w:val="18"/>
              </w:rPr>
              <w:t>LineValue</w:t>
            </w:r>
          </w:p>
        </w:tc>
        <w:tc>
          <w:tcPr>
            <w:tcW w:w="2200" w:type="dxa"/>
            <w:tcBorders>
              <w:top w:val="single" w:color="BDC3C7" w:sz="4" w:space="0"/>
              <w:left w:val="single" w:color="BDC3C7" w:sz="4" w:space="0"/>
              <w:bottom w:val="single" w:color="BDC3C7" w:sz="4" w:space="0"/>
              <w:right w:val="single" w:color="BDC3C7" w:sz="4" w:space="0"/>
            </w:tcBorders>
            <w:shd w:val="clear" w:color="auto" w:fill="F4F6F7"/>
            <w:tcMar>
              <w:top w:w="80" w:type="dxa"/>
              <w:left w:w="120" w:type="dxa"/>
              <w:bottom w:w="80" w:type="dxa"/>
              <w:right w:w="120" w:type="dxa"/>
            </w:tcMar>
          </w:tcPr>
          <w:p w14:paraId="51D2AB06">
            <w:r>
              <w:rPr>
                <w:rFonts w:ascii="Arial" w:hAnsi="Arial" w:eastAsia="Arial" w:cs="Arial"/>
                <w:sz w:val="18"/>
                <w:szCs w:val="18"/>
              </w:rPr>
              <w:t xml:space="preserve">Quantity × </w:t>
            </w:r>
            <w:r>
              <w:rPr>
                <w:rFonts w:cs="Arial"/>
                <w:sz w:val="18"/>
                <w:szCs w:val="18"/>
                <w:lang w:val="en-US"/>
              </w:rPr>
              <w:t>Unit Price</w:t>
            </w:r>
            <w:r>
              <w:rPr>
                <w:rFonts w:ascii="Arial" w:hAnsi="Arial" w:eastAsia="Arial" w:cs="Arial"/>
                <w:sz w:val="18"/>
                <w:szCs w:val="18"/>
              </w:rPr>
              <w:t xml:space="preserve"> × sign(</w:t>
            </w:r>
            <w:r>
              <w:rPr>
                <w:rFonts w:cs="Arial"/>
                <w:sz w:val="18"/>
                <w:szCs w:val="18"/>
                <w:lang w:val="en-US"/>
              </w:rPr>
              <w:t>Event Type</w:t>
            </w:r>
            <w:r>
              <w:rPr>
                <w:rFonts w:ascii="Arial" w:hAnsi="Arial" w:eastAsia="Arial" w:cs="Arial"/>
                <w:sz w:val="18"/>
                <w:szCs w:val="18"/>
              </w:rPr>
              <w:t>)</w:t>
            </w:r>
          </w:p>
        </w:tc>
        <w:tc>
          <w:tcPr>
            <w:tcW w:w="5360" w:type="dxa"/>
            <w:tcBorders>
              <w:top w:val="single" w:color="BDC3C7" w:sz="4" w:space="0"/>
              <w:left w:val="single" w:color="BDC3C7" w:sz="4" w:space="0"/>
              <w:bottom w:val="single" w:color="BDC3C7" w:sz="4" w:space="0"/>
              <w:right w:val="single" w:color="BDC3C7" w:sz="4" w:space="0"/>
            </w:tcBorders>
            <w:shd w:val="clear" w:color="auto" w:fill="F4F6F7"/>
            <w:tcMar>
              <w:top w:w="80" w:type="dxa"/>
              <w:left w:w="120" w:type="dxa"/>
              <w:bottom w:w="80" w:type="dxa"/>
              <w:right w:w="120" w:type="dxa"/>
            </w:tcMar>
          </w:tcPr>
          <w:p w14:paraId="169422D2">
            <w:r>
              <w:rPr>
                <w:rFonts w:ascii="Arial" w:hAnsi="Arial" w:eastAsia="Arial" w:cs="Arial"/>
                <w:sz w:val="18"/>
                <w:szCs w:val="18"/>
              </w:rPr>
              <w:t>Purchases positive; Returns negated. Used as revenue signal throughout.</w:t>
            </w:r>
          </w:p>
        </w:tc>
      </w:tr>
      <w:tr w14:paraId="543F9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71B7B919">
            <w:r>
              <w:rPr>
                <w:rFonts w:ascii="Arial" w:hAnsi="Arial" w:eastAsia="Arial" w:cs="Arial"/>
                <w:sz w:val="18"/>
                <w:szCs w:val="18"/>
              </w:rPr>
              <w:t>Recency (R)</w:t>
            </w:r>
          </w:p>
        </w:tc>
        <w:tc>
          <w:tcPr>
            <w:tcW w:w="22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53DC5ED8">
            <w:r>
              <w:rPr>
                <w:rFonts w:ascii="Arial" w:hAnsi="Arial" w:eastAsia="Arial" w:cs="Arial"/>
                <w:sz w:val="18"/>
                <w:szCs w:val="18"/>
              </w:rPr>
              <w:t>snapshot_date − max(Event</w:t>
            </w:r>
            <w:r>
              <w:rPr>
                <w:rFonts w:hint="default" w:cs="Arial"/>
                <w:sz w:val="18"/>
                <w:szCs w:val="18"/>
                <w:lang w:val="en-US"/>
              </w:rPr>
              <w:t xml:space="preserve"> </w:t>
            </w:r>
            <w:r>
              <w:rPr>
                <w:rFonts w:ascii="Arial" w:hAnsi="Arial" w:eastAsia="Arial" w:cs="Arial"/>
                <w:sz w:val="18"/>
                <w:szCs w:val="18"/>
              </w:rPr>
              <w:t>DateTime) in days</w:t>
            </w:r>
          </w:p>
        </w:tc>
        <w:tc>
          <w:tcPr>
            <w:tcW w:w="536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01C7185A">
            <w:r>
              <w:rPr>
                <w:rFonts w:ascii="Arial" w:hAnsi="Arial" w:eastAsia="Arial" w:cs="Arial"/>
                <w:sz w:val="18"/>
                <w:szCs w:val="18"/>
              </w:rPr>
              <w:t>Snapshot = last date in each dataset. Lower recency = more recent.</w:t>
            </w:r>
          </w:p>
        </w:tc>
      </w:tr>
      <w:tr w14:paraId="17B3D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DC3C7" w:sz="4" w:space="0"/>
              <w:left w:val="single" w:color="BDC3C7" w:sz="4" w:space="0"/>
              <w:bottom w:val="single" w:color="BDC3C7" w:sz="4" w:space="0"/>
              <w:right w:val="single" w:color="BDC3C7" w:sz="4" w:space="0"/>
            </w:tcBorders>
            <w:shd w:val="clear" w:color="auto" w:fill="F4F6F7"/>
            <w:tcMar>
              <w:top w:w="80" w:type="dxa"/>
              <w:left w:w="120" w:type="dxa"/>
              <w:bottom w:w="80" w:type="dxa"/>
              <w:right w:w="120" w:type="dxa"/>
            </w:tcMar>
          </w:tcPr>
          <w:p w14:paraId="7F8B94E3">
            <w:r>
              <w:rPr>
                <w:rFonts w:ascii="Arial" w:hAnsi="Arial" w:eastAsia="Arial" w:cs="Arial"/>
                <w:sz w:val="18"/>
                <w:szCs w:val="18"/>
              </w:rPr>
              <w:t>Frequency (F)</w:t>
            </w:r>
          </w:p>
        </w:tc>
        <w:tc>
          <w:tcPr>
            <w:tcW w:w="2200" w:type="dxa"/>
            <w:tcBorders>
              <w:top w:val="single" w:color="BDC3C7" w:sz="4" w:space="0"/>
              <w:left w:val="single" w:color="BDC3C7" w:sz="4" w:space="0"/>
              <w:bottom w:val="single" w:color="BDC3C7" w:sz="4" w:space="0"/>
              <w:right w:val="single" w:color="BDC3C7" w:sz="4" w:space="0"/>
            </w:tcBorders>
            <w:shd w:val="clear" w:color="auto" w:fill="F4F6F7"/>
            <w:tcMar>
              <w:top w:w="80" w:type="dxa"/>
              <w:left w:w="120" w:type="dxa"/>
              <w:bottom w:w="80" w:type="dxa"/>
              <w:right w:w="120" w:type="dxa"/>
            </w:tcMar>
          </w:tcPr>
          <w:p w14:paraId="08345E15">
            <w:r>
              <w:rPr>
                <w:rFonts w:ascii="Arial" w:hAnsi="Arial" w:eastAsia="Arial" w:cs="Arial"/>
                <w:sz w:val="18"/>
                <w:szCs w:val="18"/>
              </w:rPr>
              <w:t>COUNT DISTINCT(Event</w:t>
            </w:r>
            <w:r>
              <w:rPr>
                <w:rFonts w:hint="default" w:cs="Arial"/>
                <w:sz w:val="18"/>
                <w:szCs w:val="18"/>
                <w:lang w:val="en-US"/>
              </w:rPr>
              <w:t xml:space="preserve"> </w:t>
            </w:r>
            <w:r>
              <w:rPr>
                <w:rFonts w:ascii="Arial" w:hAnsi="Arial" w:eastAsia="Arial" w:cs="Arial"/>
                <w:sz w:val="18"/>
                <w:szCs w:val="18"/>
              </w:rPr>
              <w:t>ID) per User</w:t>
            </w:r>
            <w:r>
              <w:rPr>
                <w:rFonts w:hint="default" w:cs="Arial"/>
                <w:sz w:val="18"/>
                <w:szCs w:val="18"/>
                <w:lang w:val="en-US"/>
              </w:rPr>
              <w:t xml:space="preserve"> </w:t>
            </w:r>
            <w:r>
              <w:rPr>
                <w:rFonts w:ascii="Arial" w:hAnsi="Arial" w:eastAsia="Arial" w:cs="Arial"/>
                <w:sz w:val="18"/>
                <w:szCs w:val="18"/>
              </w:rPr>
              <w:t>ID</w:t>
            </w:r>
          </w:p>
        </w:tc>
        <w:tc>
          <w:tcPr>
            <w:tcW w:w="5360" w:type="dxa"/>
            <w:tcBorders>
              <w:top w:val="single" w:color="BDC3C7" w:sz="4" w:space="0"/>
              <w:left w:val="single" w:color="BDC3C7" w:sz="4" w:space="0"/>
              <w:bottom w:val="single" w:color="BDC3C7" w:sz="4" w:space="0"/>
              <w:right w:val="single" w:color="BDC3C7" w:sz="4" w:space="0"/>
            </w:tcBorders>
            <w:shd w:val="clear" w:color="auto" w:fill="F4F6F7"/>
            <w:tcMar>
              <w:top w:w="80" w:type="dxa"/>
              <w:left w:w="120" w:type="dxa"/>
              <w:bottom w:w="80" w:type="dxa"/>
              <w:right w:w="120" w:type="dxa"/>
            </w:tcMar>
          </w:tcPr>
          <w:p w14:paraId="3B6DEFC7">
            <w:r>
              <w:rPr>
                <w:rFonts w:ascii="Arial" w:hAnsi="Arial" w:eastAsia="Arial" w:cs="Arial"/>
                <w:sz w:val="18"/>
                <w:szCs w:val="18"/>
              </w:rPr>
              <w:t>Counts distinct purchase events, not line items.</w:t>
            </w:r>
          </w:p>
        </w:tc>
      </w:tr>
      <w:tr w14:paraId="591F8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0CC943C7">
            <w:r>
              <w:rPr>
                <w:rFonts w:ascii="Arial" w:hAnsi="Arial" w:eastAsia="Arial" w:cs="Arial"/>
                <w:sz w:val="18"/>
                <w:szCs w:val="18"/>
              </w:rPr>
              <w:t>Monetary (M)</w:t>
            </w:r>
          </w:p>
        </w:tc>
        <w:tc>
          <w:tcPr>
            <w:tcW w:w="22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1FFEF943">
            <w:r>
              <w:rPr>
                <w:rFonts w:ascii="Arial" w:hAnsi="Arial" w:eastAsia="Arial" w:cs="Arial"/>
                <w:sz w:val="18"/>
                <w:szCs w:val="18"/>
              </w:rPr>
              <w:t>sum(Purchase LineValue) − |sum(Return LineValue)| per user</w:t>
            </w:r>
          </w:p>
        </w:tc>
        <w:tc>
          <w:tcPr>
            <w:tcW w:w="536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496E559C">
            <w:r>
              <w:rPr>
                <w:rFonts w:ascii="Arial" w:hAnsi="Arial" w:eastAsia="Arial" w:cs="Arial"/>
                <w:sz w:val="18"/>
                <w:szCs w:val="18"/>
              </w:rPr>
              <w:t>Net revenue, not gross. Drives ERPU.</w:t>
            </w:r>
          </w:p>
        </w:tc>
      </w:tr>
      <w:tr w14:paraId="61135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DC3C7" w:sz="4" w:space="0"/>
              <w:left w:val="single" w:color="BDC3C7" w:sz="4" w:space="0"/>
              <w:bottom w:val="single" w:color="BDC3C7" w:sz="4" w:space="0"/>
              <w:right w:val="single" w:color="BDC3C7" w:sz="4" w:space="0"/>
            </w:tcBorders>
            <w:shd w:val="clear" w:color="auto" w:fill="F4F6F7"/>
            <w:tcMar>
              <w:top w:w="80" w:type="dxa"/>
              <w:left w:w="120" w:type="dxa"/>
              <w:bottom w:w="80" w:type="dxa"/>
              <w:right w:w="120" w:type="dxa"/>
            </w:tcMar>
          </w:tcPr>
          <w:p w14:paraId="705A3DFC">
            <w:r>
              <w:rPr>
                <w:rFonts w:ascii="Arial" w:hAnsi="Arial" w:eastAsia="Arial" w:cs="Arial"/>
                <w:sz w:val="18"/>
                <w:szCs w:val="18"/>
              </w:rPr>
              <w:t>RFM Score</w:t>
            </w:r>
          </w:p>
        </w:tc>
        <w:tc>
          <w:tcPr>
            <w:tcW w:w="2200" w:type="dxa"/>
            <w:tcBorders>
              <w:top w:val="single" w:color="BDC3C7" w:sz="4" w:space="0"/>
              <w:left w:val="single" w:color="BDC3C7" w:sz="4" w:space="0"/>
              <w:bottom w:val="single" w:color="BDC3C7" w:sz="4" w:space="0"/>
              <w:right w:val="single" w:color="BDC3C7" w:sz="4" w:space="0"/>
            </w:tcBorders>
            <w:shd w:val="clear" w:color="auto" w:fill="F4F6F7"/>
            <w:tcMar>
              <w:top w:w="80" w:type="dxa"/>
              <w:left w:w="120" w:type="dxa"/>
              <w:bottom w:w="80" w:type="dxa"/>
              <w:right w:w="120" w:type="dxa"/>
            </w:tcMar>
          </w:tcPr>
          <w:p w14:paraId="0C8B0E11">
            <w:r>
              <w:rPr>
                <w:rFonts w:ascii="Arial" w:hAnsi="Arial" w:eastAsia="Arial" w:cs="Arial"/>
                <w:sz w:val="18"/>
                <w:szCs w:val="18"/>
              </w:rPr>
              <w:t>R_quintile + F_quintile + M_quintile (range 3–15)</w:t>
            </w:r>
          </w:p>
        </w:tc>
        <w:tc>
          <w:tcPr>
            <w:tcW w:w="5360" w:type="dxa"/>
            <w:tcBorders>
              <w:top w:val="single" w:color="BDC3C7" w:sz="4" w:space="0"/>
              <w:left w:val="single" w:color="BDC3C7" w:sz="4" w:space="0"/>
              <w:bottom w:val="single" w:color="BDC3C7" w:sz="4" w:space="0"/>
              <w:right w:val="single" w:color="BDC3C7" w:sz="4" w:space="0"/>
            </w:tcBorders>
            <w:shd w:val="clear" w:color="auto" w:fill="F4F6F7"/>
            <w:tcMar>
              <w:top w:w="80" w:type="dxa"/>
              <w:left w:w="120" w:type="dxa"/>
              <w:bottom w:w="80" w:type="dxa"/>
              <w:right w:w="120" w:type="dxa"/>
            </w:tcMar>
          </w:tcPr>
          <w:p w14:paraId="33376AFD">
            <w:r>
              <w:rPr>
                <w:rFonts w:ascii="Arial" w:hAnsi="Arial" w:eastAsia="Arial" w:cs="Arial"/>
                <w:sz w:val="18"/>
                <w:szCs w:val="18"/>
              </w:rPr>
              <w:t>Each dimension scored 1–5 using quintile ranking with first-rank tie-breaking.</w:t>
            </w:r>
          </w:p>
        </w:tc>
      </w:tr>
      <w:tr w14:paraId="118AE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6DA023EA">
            <w:r>
              <w:rPr>
                <w:rFonts w:ascii="Arial" w:hAnsi="Arial" w:eastAsia="Arial" w:cs="Arial"/>
                <w:sz w:val="18"/>
                <w:szCs w:val="18"/>
              </w:rPr>
              <w:t>ERPU</w:t>
            </w:r>
          </w:p>
        </w:tc>
        <w:tc>
          <w:tcPr>
            <w:tcW w:w="22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7F9B4A64">
            <w:r>
              <w:rPr>
                <w:rFonts w:ascii="Arial" w:hAnsi="Arial" w:eastAsia="Arial" w:cs="Arial"/>
                <w:sz w:val="18"/>
                <w:szCs w:val="18"/>
              </w:rPr>
              <w:t>Total Net Revenue / Count of Unique Users</w:t>
            </w:r>
          </w:p>
        </w:tc>
        <w:tc>
          <w:tcPr>
            <w:tcW w:w="536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7AD59498">
            <w:r>
              <w:rPr>
                <w:rFonts w:ascii="Arial" w:hAnsi="Arial" w:eastAsia="Arial" w:cs="Arial"/>
                <w:sz w:val="18"/>
                <w:szCs w:val="18"/>
              </w:rPr>
              <w:t>Primary KPI. Computed at aggregate and segment level.</w:t>
            </w:r>
          </w:p>
        </w:tc>
      </w:tr>
      <w:tr w14:paraId="5302F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DC3C7" w:sz="4" w:space="0"/>
              <w:left w:val="single" w:color="BDC3C7" w:sz="4" w:space="0"/>
              <w:bottom w:val="single" w:color="BDC3C7" w:sz="4" w:space="0"/>
              <w:right w:val="single" w:color="BDC3C7" w:sz="4" w:space="0"/>
            </w:tcBorders>
            <w:shd w:val="clear" w:color="auto" w:fill="F4F6F7"/>
            <w:tcMar>
              <w:top w:w="80" w:type="dxa"/>
              <w:left w:w="120" w:type="dxa"/>
              <w:bottom w:w="80" w:type="dxa"/>
              <w:right w:w="120" w:type="dxa"/>
            </w:tcMar>
          </w:tcPr>
          <w:p w14:paraId="055A3A4F">
            <w:r>
              <w:rPr>
                <w:rFonts w:ascii="Arial" w:hAnsi="Arial" w:eastAsia="Arial" w:cs="Arial"/>
                <w:sz w:val="18"/>
                <w:szCs w:val="18"/>
              </w:rPr>
              <w:t>Return Rate</w:t>
            </w:r>
          </w:p>
        </w:tc>
        <w:tc>
          <w:tcPr>
            <w:tcW w:w="2200" w:type="dxa"/>
            <w:tcBorders>
              <w:top w:val="single" w:color="BDC3C7" w:sz="4" w:space="0"/>
              <w:left w:val="single" w:color="BDC3C7" w:sz="4" w:space="0"/>
              <w:bottom w:val="single" w:color="BDC3C7" w:sz="4" w:space="0"/>
              <w:right w:val="single" w:color="BDC3C7" w:sz="4" w:space="0"/>
            </w:tcBorders>
            <w:shd w:val="clear" w:color="auto" w:fill="F4F6F7"/>
            <w:tcMar>
              <w:top w:w="80" w:type="dxa"/>
              <w:left w:w="120" w:type="dxa"/>
              <w:bottom w:w="80" w:type="dxa"/>
              <w:right w:w="120" w:type="dxa"/>
            </w:tcMar>
          </w:tcPr>
          <w:p w14:paraId="5496C1D4">
            <w:r>
              <w:rPr>
                <w:rFonts w:ascii="Arial" w:hAnsi="Arial" w:eastAsia="Arial" w:cs="Arial"/>
                <w:sz w:val="18"/>
                <w:szCs w:val="18"/>
              </w:rPr>
              <w:t>|Return Revenue| / Gross Revenue</w:t>
            </w:r>
          </w:p>
        </w:tc>
        <w:tc>
          <w:tcPr>
            <w:tcW w:w="5360" w:type="dxa"/>
            <w:tcBorders>
              <w:top w:val="single" w:color="BDC3C7" w:sz="4" w:space="0"/>
              <w:left w:val="single" w:color="BDC3C7" w:sz="4" w:space="0"/>
              <w:bottom w:val="single" w:color="BDC3C7" w:sz="4" w:space="0"/>
              <w:right w:val="single" w:color="BDC3C7" w:sz="4" w:space="0"/>
            </w:tcBorders>
            <w:shd w:val="clear" w:color="auto" w:fill="F4F6F7"/>
            <w:tcMar>
              <w:top w:w="80" w:type="dxa"/>
              <w:left w:w="120" w:type="dxa"/>
              <w:bottom w:w="80" w:type="dxa"/>
              <w:right w:w="120" w:type="dxa"/>
            </w:tcMar>
          </w:tcPr>
          <w:p w14:paraId="062961E2">
            <w:r>
              <w:rPr>
                <w:rFonts w:ascii="Arial" w:hAnsi="Arial" w:eastAsia="Arial" w:cs="Arial"/>
                <w:sz w:val="18"/>
                <w:szCs w:val="18"/>
              </w:rPr>
              <w:t>Capped at 1.0 for users with data anomalies (returns &gt; gross).</w:t>
            </w:r>
          </w:p>
        </w:tc>
      </w:tr>
    </w:tbl>
    <w:p w14:paraId="656E864B">
      <w:pPr>
        <w:spacing w:before="60" w:after="60"/>
      </w:pPr>
    </w:p>
    <w:p w14:paraId="103530B0">
      <w:pPr>
        <w:pStyle w:val="3"/>
        <w:spacing w:before="280" w:after="120"/>
      </w:pPr>
      <w:r>
        <w:rPr>
          <w:rFonts w:ascii="Arial" w:hAnsi="Arial" w:eastAsia="Arial" w:cs="Arial"/>
          <w:b/>
          <w:bCs/>
          <w:color w:val="C0392B"/>
          <w:sz w:val="24"/>
          <w:szCs w:val="24"/>
        </w:rPr>
        <w:t>1.3 Scoring Pipeline (Stage 2)</w:t>
      </w:r>
    </w:p>
    <w:p w14:paraId="3C4656CA">
      <w:pPr>
        <w:spacing w:before="60" w:after="60"/>
        <w:jc w:val="both"/>
      </w:pPr>
      <w:r>
        <w:rPr>
          <w:rFonts w:ascii="Arial" w:hAnsi="Arial" w:eastAsia="Arial" w:cs="Arial"/>
          <w:sz w:val="20"/>
          <w:szCs w:val="20"/>
        </w:rPr>
        <w:t>Validation users are scored by replaying Stage 1 logic on the held-out set. Each user receives: (a) a Purchase Likelihood Score = F-quintile / 5; (b) an Expected Basket Value = validation mean basket × user order count; (c) a Return Risk Score = user-level return rate; and (d) an Expected ERPU = observed net revenue per user. Calibrated likelihood scores are produced via Platt-style scaling using the ratio of validation to training repeat rates.</w:t>
      </w:r>
    </w:p>
    <w:p w14:paraId="2913BFFF">
      <w:pPr>
        <w:pStyle w:val="3"/>
        <w:spacing w:before="280" w:after="120"/>
      </w:pPr>
      <w:r>
        <w:rPr>
          <w:rFonts w:ascii="Arial" w:hAnsi="Arial" w:eastAsia="Arial" w:cs="Arial"/>
          <w:b/>
          <w:bCs/>
          <w:color w:val="C0392B"/>
          <w:sz w:val="24"/>
          <w:szCs w:val="24"/>
        </w:rPr>
        <w:t>1.4 Basket Growth Model (Stage 3)</w:t>
      </w:r>
    </w:p>
    <w:p w14:paraId="36533A9E">
      <w:pPr>
        <w:spacing w:before="60" w:after="60"/>
        <w:jc w:val="both"/>
      </w:pPr>
      <w:r>
        <w:rPr>
          <w:rFonts w:ascii="Arial" w:hAnsi="Arial" w:eastAsia="Arial" w:cs="Arial"/>
          <w:sz w:val="20"/>
          <w:szCs w:val="20"/>
        </w:rPr>
        <w:t xml:space="preserve">Four levers (Cross-Sell, </w:t>
      </w:r>
      <w:r>
        <w:rPr>
          <w:rFonts w:cs="Arial"/>
          <w:sz w:val="20"/>
          <w:szCs w:val="20"/>
          <w:lang w:val="en-US"/>
        </w:rPr>
        <w:t>Up-sell</w:t>
      </w:r>
      <w:r>
        <w:rPr>
          <w:rFonts w:ascii="Arial" w:hAnsi="Arial" w:eastAsia="Arial" w:cs="Arial"/>
          <w:sz w:val="20"/>
          <w:szCs w:val="20"/>
        </w:rPr>
        <w:t xml:space="preserve">, Bundle Offer, Frequency Nudge) are applied </w:t>
      </w:r>
      <w:r>
        <w:rPr>
          <w:rFonts w:cs="Arial"/>
          <w:sz w:val="20"/>
          <w:szCs w:val="20"/>
          <w:lang w:val="en-US"/>
        </w:rPr>
        <w:t>multiplicative</w:t>
      </w:r>
      <w:r>
        <w:rPr>
          <w:rFonts w:ascii="Arial" w:hAnsi="Arial" w:eastAsia="Arial" w:cs="Arial"/>
          <w:sz w:val="20"/>
          <w:szCs w:val="20"/>
        </w:rPr>
        <w:t xml:space="preserve"> to each user's average basket. Each lever specifies segment-specific uplift rates grounded in observed </w:t>
      </w:r>
      <w:r>
        <w:rPr>
          <w:rFonts w:cs="Arial"/>
          <w:sz w:val="20"/>
          <w:szCs w:val="20"/>
          <w:lang w:val="en-US"/>
        </w:rPr>
        <w:t>behavioral</w:t>
      </w:r>
      <w:r>
        <w:rPr>
          <w:rFonts w:ascii="Arial" w:hAnsi="Arial" w:eastAsia="Arial" w:cs="Arial"/>
          <w:sz w:val="20"/>
          <w:szCs w:val="20"/>
        </w:rPr>
        <w:t xml:space="preserve"> patterns. Six scenarios are evaluated: Baseline, each lever in isolation, and All Levers combined. Revenue projections use compounded multipliers, and net revenue retains the user's observed return rate.</w:t>
      </w:r>
    </w:p>
    <w:p w14:paraId="7D412230">
      <w:pPr>
        <w:spacing w:before="0" w:after="0"/>
      </w:pPr>
      <w:r>
        <w:br w:type="page"/>
      </w:r>
    </w:p>
    <w:p w14:paraId="03431BB3">
      <w:pPr>
        <w:pStyle w:val="2"/>
        <w:spacing w:before="400" w:after="160"/>
      </w:pPr>
      <w:r>
        <w:rPr>
          <w:rFonts w:ascii="Arial" w:hAnsi="Arial" w:eastAsia="Arial" w:cs="Arial"/>
          <w:b/>
          <w:bCs/>
          <w:color w:val="2C3E50"/>
          <w:sz w:val="28"/>
          <w:szCs w:val="28"/>
        </w:rPr>
        <w:t>2. Assumptions</w:t>
      </w:r>
    </w:p>
    <w:p w14:paraId="357EF6B1">
      <w:pPr>
        <w:pBdr>
          <w:bottom w:val="single" w:color="C0392B" w:sz="10" w:space="1"/>
        </w:pBdr>
        <w:spacing w:before="0" w:after="80"/>
      </w:pPr>
    </w:p>
    <w:p w14:paraId="0375E599">
      <w:pPr>
        <w:pStyle w:val="3"/>
        <w:spacing w:before="280" w:after="120"/>
      </w:pPr>
      <w:r>
        <w:rPr>
          <w:rFonts w:ascii="Arial" w:hAnsi="Arial" w:eastAsia="Arial" w:cs="Arial"/>
          <w:b/>
          <w:bCs/>
          <w:color w:val="C0392B"/>
          <w:sz w:val="24"/>
          <w:szCs w:val="24"/>
        </w:rPr>
        <w:t>2.1 Data Assumptions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400"/>
        <w:gridCol w:w="5960"/>
      </w:tblGrid>
      <w:tr w14:paraId="4D33E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BDC3C7" w:sz="4" w:space="0"/>
              <w:left w:val="single" w:color="BDC3C7" w:sz="4" w:space="0"/>
              <w:bottom w:val="single" w:color="BDC3C7" w:sz="4" w:space="0"/>
              <w:right w:val="single" w:color="BDC3C7" w:sz="4" w:space="0"/>
            </w:tcBorders>
            <w:shd w:val="clear" w:color="auto" w:fill="2C3E50"/>
            <w:tcMar>
              <w:top w:w="80" w:type="dxa"/>
              <w:left w:w="120" w:type="dxa"/>
              <w:bottom w:w="80" w:type="dxa"/>
              <w:right w:w="120" w:type="dxa"/>
            </w:tcMar>
          </w:tcPr>
          <w:p w14:paraId="6CA6A8D6">
            <w:r>
              <w:rPr>
                <w:rFonts w:ascii="Arial" w:hAnsi="Arial" w:eastAsia="Arial" w:cs="Arial"/>
                <w:b/>
                <w:bCs/>
                <w:color w:val="FFFFFF"/>
                <w:sz w:val="18"/>
                <w:szCs w:val="18"/>
              </w:rPr>
              <w:t>Assumption</w:t>
            </w:r>
          </w:p>
        </w:tc>
        <w:tc>
          <w:tcPr>
            <w:tcW w:w="5960" w:type="dxa"/>
            <w:tcBorders>
              <w:top w:val="single" w:color="BDC3C7" w:sz="4" w:space="0"/>
              <w:left w:val="single" w:color="BDC3C7" w:sz="4" w:space="0"/>
              <w:bottom w:val="single" w:color="BDC3C7" w:sz="4" w:space="0"/>
              <w:right w:val="single" w:color="BDC3C7" w:sz="4" w:space="0"/>
            </w:tcBorders>
            <w:shd w:val="clear" w:color="auto" w:fill="2C3E50"/>
            <w:tcMar>
              <w:top w:w="80" w:type="dxa"/>
              <w:left w:w="120" w:type="dxa"/>
              <w:bottom w:w="80" w:type="dxa"/>
              <w:right w:w="120" w:type="dxa"/>
            </w:tcMar>
          </w:tcPr>
          <w:p w14:paraId="2BE4B2BB">
            <w:r>
              <w:rPr>
                <w:rFonts w:ascii="Arial" w:hAnsi="Arial" w:eastAsia="Arial" w:cs="Arial"/>
                <w:b/>
                <w:bCs/>
                <w:color w:val="FFFFFF"/>
                <w:sz w:val="18"/>
                <w:szCs w:val="18"/>
              </w:rPr>
              <w:t>Justification / Basis</w:t>
            </w:r>
          </w:p>
        </w:tc>
      </w:tr>
      <w:tr w14:paraId="303E0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BDC3C7" w:sz="4" w:space="0"/>
              <w:left w:val="single" w:color="BDC3C7" w:sz="4" w:space="0"/>
              <w:bottom w:val="single" w:color="BDC3C7" w:sz="4" w:space="0"/>
              <w:right w:val="single" w:color="BDC3C7" w:sz="4" w:space="0"/>
            </w:tcBorders>
            <w:shd w:val="clear" w:color="auto" w:fill="F4F6F7"/>
            <w:tcMar>
              <w:top w:w="80" w:type="dxa"/>
              <w:left w:w="120" w:type="dxa"/>
              <w:bottom w:w="80" w:type="dxa"/>
              <w:right w:w="120" w:type="dxa"/>
            </w:tcMar>
          </w:tcPr>
          <w:p w14:paraId="3926E735">
            <w:r>
              <w:rPr>
                <w:rFonts w:ascii="Arial" w:hAnsi="Arial" w:eastAsia="Arial" w:cs="Arial"/>
                <w:sz w:val="18"/>
                <w:szCs w:val="18"/>
              </w:rPr>
              <w:t>Negative or zero Quantity/</w:t>
            </w:r>
            <w:r>
              <w:rPr>
                <w:rFonts w:cs="Arial"/>
                <w:sz w:val="18"/>
                <w:szCs w:val="18"/>
                <w:lang w:val="en-US"/>
              </w:rPr>
              <w:t>Unit Price</w:t>
            </w:r>
            <w:r>
              <w:rPr>
                <w:rFonts w:ascii="Arial" w:hAnsi="Arial" w:eastAsia="Arial" w:cs="Arial"/>
                <w:sz w:val="18"/>
                <w:szCs w:val="18"/>
              </w:rPr>
              <w:t xml:space="preserve"> rows are data errors</w:t>
            </w:r>
          </w:p>
        </w:tc>
        <w:tc>
          <w:tcPr>
            <w:tcW w:w="5960" w:type="dxa"/>
            <w:tcBorders>
              <w:top w:val="single" w:color="BDC3C7" w:sz="4" w:space="0"/>
              <w:left w:val="single" w:color="BDC3C7" w:sz="4" w:space="0"/>
              <w:bottom w:val="single" w:color="BDC3C7" w:sz="4" w:space="0"/>
              <w:right w:val="single" w:color="BDC3C7" w:sz="4" w:space="0"/>
            </w:tcBorders>
            <w:shd w:val="clear" w:color="auto" w:fill="F4F6F7"/>
            <w:tcMar>
              <w:top w:w="80" w:type="dxa"/>
              <w:left w:w="120" w:type="dxa"/>
              <w:bottom w:w="80" w:type="dxa"/>
              <w:right w:w="120" w:type="dxa"/>
            </w:tcMar>
          </w:tcPr>
          <w:p w14:paraId="199B7C40">
            <w:r>
              <w:rPr>
                <w:rFonts w:ascii="Arial" w:hAnsi="Arial" w:eastAsia="Arial" w:cs="Arial"/>
                <w:sz w:val="18"/>
                <w:szCs w:val="18"/>
              </w:rPr>
              <w:t>These represent cancellation records or system nulls. Removed pre-processing to avoid negative revenue distortion.</w:t>
            </w:r>
          </w:p>
        </w:tc>
      </w:tr>
      <w:tr w14:paraId="1F42E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170EE73D">
            <w:r>
              <w:rPr>
                <w:rFonts w:ascii="Arial" w:hAnsi="Arial" w:eastAsia="Arial" w:cs="Arial"/>
                <w:sz w:val="18"/>
                <w:szCs w:val="18"/>
              </w:rPr>
              <w:t xml:space="preserve">Returns carry the same </w:t>
            </w:r>
            <w:r>
              <w:rPr>
                <w:rFonts w:cs="Arial"/>
                <w:sz w:val="18"/>
                <w:szCs w:val="18"/>
                <w:lang w:val="en-US"/>
              </w:rPr>
              <w:t>Unit Price</w:t>
            </w:r>
            <w:r>
              <w:rPr>
                <w:rFonts w:ascii="Arial" w:hAnsi="Arial" w:eastAsia="Arial" w:cs="Arial"/>
                <w:sz w:val="18"/>
                <w:szCs w:val="18"/>
              </w:rPr>
              <w:t xml:space="preserve"> as the original purchase</w:t>
            </w:r>
          </w:p>
        </w:tc>
        <w:tc>
          <w:tcPr>
            <w:tcW w:w="596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5EDCD500">
            <w:r>
              <w:rPr>
                <w:rFonts w:ascii="Arial" w:hAnsi="Arial" w:eastAsia="Arial" w:cs="Arial"/>
                <w:sz w:val="18"/>
                <w:szCs w:val="18"/>
              </w:rPr>
              <w:t xml:space="preserve">No price-adjusted return records exist in the </w:t>
            </w:r>
            <w:r>
              <w:rPr>
                <w:rFonts w:cs="Arial"/>
                <w:sz w:val="18"/>
                <w:szCs w:val="18"/>
                <w:lang w:val="en-US"/>
              </w:rPr>
              <w:t>data-set</w:t>
            </w:r>
            <w:r>
              <w:rPr>
                <w:rFonts w:ascii="Arial" w:hAnsi="Arial" w:eastAsia="Arial" w:cs="Arial"/>
                <w:sz w:val="18"/>
                <w:szCs w:val="18"/>
              </w:rPr>
              <w:t xml:space="preserve">. Return </w:t>
            </w:r>
            <w:r>
              <w:rPr>
                <w:rFonts w:cs="Arial"/>
                <w:sz w:val="18"/>
                <w:szCs w:val="18"/>
                <w:lang w:val="en-US"/>
              </w:rPr>
              <w:t>Line Value</w:t>
            </w:r>
            <w:r>
              <w:rPr>
                <w:rFonts w:ascii="Arial" w:hAnsi="Arial" w:eastAsia="Arial" w:cs="Arial"/>
                <w:sz w:val="18"/>
                <w:szCs w:val="18"/>
              </w:rPr>
              <w:t xml:space="preserve"> set to negative of original.</w:t>
            </w:r>
          </w:p>
        </w:tc>
      </w:tr>
      <w:tr w14:paraId="79742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BDC3C7" w:sz="4" w:space="0"/>
              <w:left w:val="single" w:color="BDC3C7" w:sz="4" w:space="0"/>
              <w:bottom w:val="single" w:color="BDC3C7" w:sz="4" w:space="0"/>
              <w:right w:val="single" w:color="BDC3C7" w:sz="4" w:space="0"/>
            </w:tcBorders>
            <w:shd w:val="clear" w:color="auto" w:fill="F4F6F7"/>
            <w:tcMar>
              <w:top w:w="80" w:type="dxa"/>
              <w:left w:w="120" w:type="dxa"/>
              <w:bottom w:w="80" w:type="dxa"/>
              <w:right w:w="120" w:type="dxa"/>
            </w:tcMar>
          </w:tcPr>
          <w:p w14:paraId="69DD98F2">
            <w:r>
              <w:rPr>
                <w:rFonts w:ascii="Arial" w:hAnsi="Arial" w:eastAsia="Arial" w:cs="Arial"/>
                <w:sz w:val="18"/>
                <w:szCs w:val="18"/>
              </w:rPr>
              <w:t xml:space="preserve">Each </w:t>
            </w:r>
            <w:r>
              <w:rPr>
                <w:rFonts w:cs="Arial"/>
                <w:sz w:val="18"/>
                <w:szCs w:val="18"/>
                <w:lang w:val="en-US"/>
              </w:rPr>
              <w:t>Event-ID</w:t>
            </w:r>
            <w:r>
              <w:rPr>
                <w:rFonts w:ascii="Arial" w:hAnsi="Arial" w:eastAsia="Arial" w:cs="Arial"/>
                <w:sz w:val="18"/>
                <w:szCs w:val="18"/>
              </w:rPr>
              <w:t xml:space="preserve"> represents a single distinct basket</w:t>
            </w:r>
          </w:p>
        </w:tc>
        <w:tc>
          <w:tcPr>
            <w:tcW w:w="5960" w:type="dxa"/>
            <w:tcBorders>
              <w:top w:val="single" w:color="BDC3C7" w:sz="4" w:space="0"/>
              <w:left w:val="single" w:color="BDC3C7" w:sz="4" w:space="0"/>
              <w:bottom w:val="single" w:color="BDC3C7" w:sz="4" w:space="0"/>
              <w:right w:val="single" w:color="BDC3C7" w:sz="4" w:space="0"/>
            </w:tcBorders>
            <w:shd w:val="clear" w:color="auto" w:fill="F4F6F7"/>
            <w:tcMar>
              <w:top w:w="80" w:type="dxa"/>
              <w:left w:w="120" w:type="dxa"/>
              <w:bottom w:w="80" w:type="dxa"/>
              <w:right w:w="120" w:type="dxa"/>
            </w:tcMar>
          </w:tcPr>
          <w:p w14:paraId="240BDCF2">
            <w:r>
              <w:rPr>
                <w:rFonts w:cs="Arial"/>
                <w:sz w:val="18"/>
                <w:szCs w:val="18"/>
                <w:lang w:val="en-US"/>
              </w:rPr>
              <w:t>Event-ID</w:t>
            </w:r>
            <w:r>
              <w:rPr>
                <w:rFonts w:ascii="Arial" w:hAnsi="Arial" w:eastAsia="Arial" w:cs="Arial"/>
                <w:sz w:val="18"/>
                <w:szCs w:val="18"/>
              </w:rPr>
              <w:t xml:space="preserve"> is treated as a unique transaction identifier. Multiple line items per </w:t>
            </w:r>
            <w:r>
              <w:rPr>
                <w:rFonts w:cs="Arial"/>
                <w:sz w:val="18"/>
                <w:szCs w:val="18"/>
                <w:lang w:val="en-US"/>
              </w:rPr>
              <w:t>Event-ID</w:t>
            </w:r>
            <w:r>
              <w:rPr>
                <w:rFonts w:ascii="Arial" w:hAnsi="Arial" w:eastAsia="Arial" w:cs="Arial"/>
                <w:sz w:val="18"/>
                <w:szCs w:val="18"/>
              </w:rPr>
              <w:t xml:space="preserve"> are aggregated.</w:t>
            </w:r>
          </w:p>
        </w:tc>
      </w:tr>
      <w:tr w14:paraId="09313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6169A3BC">
            <w:r>
              <w:rPr>
                <w:rFonts w:ascii="Arial" w:hAnsi="Arial" w:eastAsia="Arial" w:cs="Arial"/>
                <w:sz w:val="18"/>
                <w:szCs w:val="18"/>
              </w:rPr>
              <w:t>Snapshot date = max(EventDateTime) in each dataset</w:t>
            </w:r>
          </w:p>
        </w:tc>
        <w:tc>
          <w:tcPr>
            <w:tcW w:w="596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7694CF4D">
            <w:r>
              <w:rPr>
                <w:rFonts w:ascii="Arial" w:hAnsi="Arial" w:eastAsia="Arial" w:cs="Arial"/>
                <w:sz w:val="18"/>
                <w:szCs w:val="18"/>
              </w:rPr>
              <w:t xml:space="preserve">No external reference date provided. Using </w:t>
            </w:r>
            <w:r>
              <w:rPr>
                <w:rFonts w:cs="Arial"/>
                <w:sz w:val="18"/>
                <w:szCs w:val="18"/>
                <w:lang w:val="en-US"/>
              </w:rPr>
              <w:t>data-set</w:t>
            </w:r>
            <w:r>
              <w:rPr>
                <w:rFonts w:ascii="Arial" w:hAnsi="Arial" w:eastAsia="Arial" w:cs="Arial"/>
                <w:sz w:val="18"/>
                <w:szCs w:val="18"/>
              </w:rPr>
              <w:t xml:space="preserve"> maximum ensures recency is internally consistent.</w:t>
            </w:r>
          </w:p>
        </w:tc>
      </w:tr>
      <w:tr w14:paraId="5FE42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BDC3C7" w:sz="4" w:space="0"/>
              <w:left w:val="single" w:color="BDC3C7" w:sz="4" w:space="0"/>
              <w:bottom w:val="single" w:color="BDC3C7" w:sz="4" w:space="0"/>
              <w:right w:val="single" w:color="BDC3C7" w:sz="4" w:space="0"/>
            </w:tcBorders>
            <w:shd w:val="clear" w:color="auto" w:fill="F4F6F7"/>
            <w:tcMar>
              <w:top w:w="80" w:type="dxa"/>
              <w:left w:w="120" w:type="dxa"/>
              <w:bottom w:w="80" w:type="dxa"/>
              <w:right w:w="120" w:type="dxa"/>
            </w:tcMar>
          </w:tcPr>
          <w:p w14:paraId="1CF7F2E6">
            <w:r>
              <w:rPr>
                <w:rFonts w:ascii="Arial" w:hAnsi="Arial" w:eastAsia="Arial" w:cs="Arial"/>
                <w:sz w:val="18"/>
                <w:szCs w:val="18"/>
              </w:rPr>
              <w:t>Quintile ties broken by first-rank method</w:t>
            </w:r>
          </w:p>
        </w:tc>
        <w:tc>
          <w:tcPr>
            <w:tcW w:w="5960" w:type="dxa"/>
            <w:tcBorders>
              <w:top w:val="single" w:color="BDC3C7" w:sz="4" w:space="0"/>
              <w:left w:val="single" w:color="BDC3C7" w:sz="4" w:space="0"/>
              <w:bottom w:val="single" w:color="BDC3C7" w:sz="4" w:space="0"/>
              <w:right w:val="single" w:color="BDC3C7" w:sz="4" w:space="0"/>
            </w:tcBorders>
            <w:shd w:val="clear" w:color="auto" w:fill="F4F6F7"/>
            <w:tcMar>
              <w:top w:w="80" w:type="dxa"/>
              <w:left w:w="120" w:type="dxa"/>
              <w:bottom w:w="80" w:type="dxa"/>
              <w:right w:w="120" w:type="dxa"/>
            </w:tcMar>
          </w:tcPr>
          <w:p w14:paraId="4A2B4541">
            <w:r>
              <w:rPr>
                <w:rFonts w:ascii="Arial" w:hAnsi="Arial" w:eastAsia="Arial" w:cs="Arial"/>
                <w:sz w:val="18"/>
                <w:szCs w:val="18"/>
              </w:rPr>
              <w:t>Prevents score inflation for users with identical values. Standard practice for ordinal scoring.</w:t>
            </w:r>
          </w:p>
        </w:tc>
      </w:tr>
      <w:tr w14:paraId="36F53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6B0B23FA">
            <w:r>
              <w:rPr>
                <w:rFonts w:ascii="Arial" w:hAnsi="Arial" w:eastAsia="Arial" w:cs="Arial"/>
                <w:sz w:val="18"/>
                <w:szCs w:val="18"/>
              </w:rPr>
              <w:t>Return rates capped at 1.0 (100%)</w:t>
            </w:r>
          </w:p>
        </w:tc>
        <w:tc>
          <w:tcPr>
            <w:tcW w:w="596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29589D64">
            <w:r>
              <w:rPr>
                <w:rFonts w:ascii="Arial" w:hAnsi="Arial" w:eastAsia="Arial" w:cs="Arial"/>
                <w:sz w:val="18"/>
                <w:szCs w:val="18"/>
              </w:rPr>
              <w:t>Values &gt; 1.0 indicate refund/adjustment records exceeding original purchase value — treated as data anomalies.</w:t>
            </w:r>
          </w:p>
        </w:tc>
      </w:tr>
      <w:tr w14:paraId="0E74A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BDC3C7" w:sz="4" w:space="0"/>
              <w:left w:val="single" w:color="BDC3C7" w:sz="4" w:space="0"/>
              <w:bottom w:val="single" w:color="BDC3C7" w:sz="4" w:space="0"/>
              <w:right w:val="single" w:color="BDC3C7" w:sz="4" w:space="0"/>
            </w:tcBorders>
            <w:shd w:val="clear" w:color="auto" w:fill="F4F6F7"/>
            <w:tcMar>
              <w:top w:w="80" w:type="dxa"/>
              <w:left w:w="120" w:type="dxa"/>
              <w:bottom w:w="80" w:type="dxa"/>
              <w:right w:w="120" w:type="dxa"/>
            </w:tcMar>
          </w:tcPr>
          <w:p w14:paraId="785D4559">
            <w:r>
              <w:rPr>
                <w:rFonts w:ascii="Arial" w:hAnsi="Arial" w:eastAsia="Arial" w:cs="Arial"/>
                <w:sz w:val="18"/>
                <w:szCs w:val="18"/>
              </w:rPr>
              <w:t>Training and validation datasets are temporally non-overlapping</w:t>
            </w:r>
          </w:p>
        </w:tc>
        <w:tc>
          <w:tcPr>
            <w:tcW w:w="5960" w:type="dxa"/>
            <w:tcBorders>
              <w:top w:val="single" w:color="BDC3C7" w:sz="4" w:space="0"/>
              <w:left w:val="single" w:color="BDC3C7" w:sz="4" w:space="0"/>
              <w:bottom w:val="single" w:color="BDC3C7" w:sz="4" w:space="0"/>
              <w:right w:val="single" w:color="BDC3C7" w:sz="4" w:space="0"/>
            </w:tcBorders>
            <w:shd w:val="clear" w:color="auto" w:fill="F4F6F7"/>
            <w:tcMar>
              <w:top w:w="80" w:type="dxa"/>
              <w:left w:w="120" w:type="dxa"/>
              <w:bottom w:w="80" w:type="dxa"/>
              <w:right w:w="120" w:type="dxa"/>
            </w:tcMar>
          </w:tcPr>
          <w:p w14:paraId="6468A9F5">
            <w:r>
              <w:rPr>
                <w:rFonts w:ascii="Arial" w:hAnsi="Arial" w:eastAsia="Arial" w:cs="Arial"/>
                <w:sz w:val="18"/>
                <w:szCs w:val="18"/>
              </w:rPr>
              <w:t>Training = pre-2020; Validation = 2020–2021. No temporal leakage in scoring pipeline.</w:t>
            </w:r>
          </w:p>
        </w:tc>
      </w:tr>
      <w:tr w14:paraId="1123D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7529DDF5">
            <w:r>
              <w:rPr>
                <w:rFonts w:ascii="Arial" w:hAnsi="Arial" w:eastAsia="Arial" w:cs="Arial"/>
                <w:sz w:val="18"/>
                <w:szCs w:val="18"/>
              </w:rPr>
              <w:t>Currency is Indian Rupee (Rs) throughout</w:t>
            </w:r>
          </w:p>
        </w:tc>
        <w:tc>
          <w:tcPr>
            <w:tcW w:w="596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1E71B189">
            <w:r>
              <w:rPr>
                <w:rFonts w:cs="Arial"/>
                <w:sz w:val="18"/>
                <w:szCs w:val="18"/>
                <w:lang w:val="en-US"/>
              </w:rPr>
              <w:t>Unit-Price</w:t>
            </w:r>
            <w:r>
              <w:rPr>
                <w:rFonts w:ascii="Arial" w:hAnsi="Arial" w:eastAsia="Arial" w:cs="Arial"/>
                <w:sz w:val="18"/>
                <w:szCs w:val="18"/>
              </w:rPr>
              <w:t xml:space="preserve"> scale and product descriptions consistent with INR-den</w:t>
            </w:r>
            <w:bookmarkStart w:id="0" w:name="_GoBack"/>
            <w:bookmarkEnd w:id="0"/>
            <w:r>
              <w:rPr>
                <w:rFonts w:ascii="Arial" w:hAnsi="Arial" w:eastAsia="Arial" w:cs="Arial"/>
                <w:sz w:val="18"/>
                <w:szCs w:val="18"/>
              </w:rPr>
              <w:t>ominated retail.</w:t>
            </w:r>
          </w:p>
        </w:tc>
      </w:tr>
    </w:tbl>
    <w:p w14:paraId="7C0AD3D8">
      <w:pPr>
        <w:spacing w:before="60" w:after="60"/>
      </w:pPr>
    </w:p>
    <w:p w14:paraId="05C0F610">
      <w:pPr>
        <w:pStyle w:val="3"/>
        <w:spacing w:before="280" w:after="120"/>
      </w:pPr>
      <w:r>
        <w:rPr>
          <w:rFonts w:ascii="Arial" w:hAnsi="Arial" w:eastAsia="Arial" w:cs="Arial"/>
          <w:b/>
          <w:bCs/>
          <w:color w:val="C0392B"/>
          <w:sz w:val="24"/>
          <w:szCs w:val="24"/>
        </w:rPr>
        <w:t>2.2 Modelling Assumptions</w:t>
      </w:r>
    </w:p>
    <w:p w14:paraId="6A6871AC">
      <w:pPr>
        <w:pStyle w:val="14"/>
        <w:numPr>
          <w:ilvl w:val="0"/>
          <w:numId w:val="1"/>
        </w:numPr>
        <w:spacing w:before="40" w:after="40"/>
      </w:pPr>
      <w:r>
        <w:rPr>
          <w:rFonts w:cs="Arial"/>
          <w:sz w:val="20"/>
          <w:szCs w:val="20"/>
          <w:lang w:val="en-US"/>
        </w:rPr>
        <w:t>Stationary</w:t>
      </w:r>
      <w:r>
        <w:rPr>
          <w:rFonts w:ascii="Arial" w:hAnsi="Arial" w:eastAsia="Arial" w:cs="Arial"/>
          <w:sz w:val="20"/>
          <w:szCs w:val="20"/>
        </w:rPr>
        <w:t xml:space="preserve"> within validation period: The model assumes that user purchase behaviour within the 2020–2021 window is internally consistent, i.e., no mid-period structural breaks are modelled.</w:t>
      </w:r>
    </w:p>
    <w:p w14:paraId="38B991C0">
      <w:pPr>
        <w:pStyle w:val="14"/>
        <w:numPr>
          <w:ilvl w:val="0"/>
          <w:numId w:val="1"/>
        </w:numPr>
        <w:spacing w:before="40" w:after="40"/>
      </w:pPr>
      <w:r>
        <w:rPr>
          <w:rFonts w:ascii="Arial" w:hAnsi="Arial" w:eastAsia="Arial" w:cs="Arial"/>
          <w:sz w:val="20"/>
          <w:szCs w:val="20"/>
        </w:rPr>
        <w:t xml:space="preserve">Multiplicative lever compounding: Stage 3 uplift levers are applied </w:t>
      </w:r>
      <w:r>
        <w:rPr>
          <w:rFonts w:cs="Arial"/>
          <w:sz w:val="20"/>
          <w:szCs w:val="20"/>
          <w:lang w:val="en-US"/>
        </w:rPr>
        <w:t>manipulatively</w:t>
      </w:r>
      <w:r>
        <w:rPr>
          <w:rFonts w:ascii="Arial" w:hAnsi="Arial" w:eastAsia="Arial" w:cs="Arial"/>
          <w:sz w:val="20"/>
          <w:szCs w:val="20"/>
        </w:rPr>
        <w:t>. This is a conservative assumption (multiplicative compounding grows more slowly than additive at high uplift values).</w:t>
      </w:r>
    </w:p>
    <w:p w14:paraId="05CA0D09">
      <w:pPr>
        <w:pStyle w:val="14"/>
        <w:numPr>
          <w:ilvl w:val="0"/>
          <w:numId w:val="1"/>
        </w:numPr>
        <w:spacing w:before="40" w:after="40"/>
      </w:pPr>
      <w:r>
        <w:rPr>
          <w:rFonts w:ascii="Arial" w:hAnsi="Arial" w:eastAsia="Arial" w:cs="Arial"/>
          <w:sz w:val="20"/>
          <w:szCs w:val="20"/>
        </w:rPr>
        <w:t>Proportional return scaling: When a basket grows under a scenario lever, return revenue scales proportionally. This assumes no improvement in return rates from basket expansion.</w:t>
      </w:r>
    </w:p>
    <w:p w14:paraId="759893CC">
      <w:pPr>
        <w:pStyle w:val="14"/>
        <w:numPr>
          <w:ilvl w:val="0"/>
          <w:numId w:val="1"/>
        </w:numPr>
        <w:spacing w:before="40" w:after="40"/>
      </w:pPr>
      <w:r>
        <w:rPr>
          <w:rFonts w:ascii="Arial" w:hAnsi="Arial" w:eastAsia="Arial" w:cs="Arial"/>
          <w:sz w:val="20"/>
          <w:szCs w:val="20"/>
        </w:rPr>
        <w:t xml:space="preserve">No customer acquisition cost </w:t>
      </w:r>
      <w:r>
        <w:rPr>
          <w:rFonts w:cs="Arial"/>
          <w:sz w:val="20"/>
          <w:szCs w:val="20"/>
          <w:lang w:val="en-US"/>
        </w:rPr>
        <w:t>modeled</w:t>
      </w:r>
      <w:r>
        <w:rPr>
          <w:rFonts w:ascii="Arial" w:hAnsi="Arial" w:eastAsia="Arial" w:cs="Arial"/>
          <w:sz w:val="20"/>
          <w:szCs w:val="20"/>
        </w:rPr>
        <w:t xml:space="preserve">: ERPU and revenue projections are gross of marketing and </w:t>
      </w:r>
      <w:r>
        <w:rPr>
          <w:rFonts w:cs="Arial"/>
          <w:sz w:val="20"/>
          <w:szCs w:val="20"/>
          <w:lang w:val="en-US"/>
        </w:rPr>
        <w:t>fulfillment</w:t>
      </w:r>
      <w:r>
        <w:rPr>
          <w:rFonts w:ascii="Arial" w:hAnsi="Arial" w:eastAsia="Arial" w:cs="Arial"/>
          <w:sz w:val="20"/>
          <w:szCs w:val="20"/>
        </w:rPr>
        <w:t xml:space="preserve"> costs. Margin analysis requires overlay of cost data not included in this submission.</w:t>
      </w:r>
    </w:p>
    <w:p w14:paraId="0ED0053A">
      <w:pPr>
        <w:pStyle w:val="14"/>
        <w:numPr>
          <w:ilvl w:val="0"/>
          <w:numId w:val="1"/>
        </w:numPr>
        <w:spacing w:before="40" w:after="40"/>
      </w:pPr>
      <w:r>
        <w:rPr>
          <w:rFonts w:ascii="Arial" w:hAnsi="Arial" w:eastAsia="Arial" w:cs="Arial"/>
          <w:sz w:val="20"/>
          <w:szCs w:val="20"/>
        </w:rPr>
        <w:t xml:space="preserve">Segment stability: RFM segments derived from training data are assumed to reflect durable </w:t>
      </w:r>
      <w:r>
        <w:rPr>
          <w:rFonts w:cs="Arial"/>
          <w:sz w:val="20"/>
          <w:szCs w:val="20"/>
          <w:lang w:val="en-US"/>
        </w:rPr>
        <w:t>behavioral</w:t>
      </w:r>
      <w:r>
        <w:rPr>
          <w:rFonts w:ascii="Arial" w:hAnsi="Arial" w:eastAsia="Arial" w:cs="Arial"/>
          <w:sz w:val="20"/>
          <w:szCs w:val="20"/>
        </w:rPr>
        <w:t xml:space="preserve"> archetypes, not period-specific </w:t>
      </w:r>
      <w:r>
        <w:rPr>
          <w:rFonts w:cs="Arial"/>
          <w:sz w:val="20"/>
          <w:szCs w:val="20"/>
          <w:lang w:val="en-US"/>
        </w:rPr>
        <w:t>artifacts</w:t>
      </w:r>
      <w:r>
        <w:rPr>
          <w:rFonts w:ascii="Arial" w:hAnsi="Arial" w:eastAsia="Arial" w:cs="Arial"/>
          <w:sz w:val="20"/>
          <w:szCs w:val="20"/>
        </w:rPr>
        <w:t>.</w:t>
      </w:r>
    </w:p>
    <w:p w14:paraId="15AEE96A">
      <w:pPr>
        <w:pStyle w:val="14"/>
        <w:numPr>
          <w:ilvl w:val="0"/>
          <w:numId w:val="1"/>
        </w:numPr>
        <w:spacing w:before="40" w:after="40"/>
      </w:pPr>
      <w:r>
        <w:rPr>
          <w:rFonts w:ascii="Arial" w:hAnsi="Arial" w:eastAsia="Arial" w:cs="Arial"/>
          <w:sz w:val="20"/>
          <w:szCs w:val="20"/>
        </w:rPr>
        <w:t>New users (unseen in training): Scored using validation-set behaviour only, since no training history is available. This may underestimate their long-term ERPU.</w:t>
      </w:r>
    </w:p>
    <w:p w14:paraId="2E7590BB">
      <w:pPr>
        <w:spacing w:before="60" w:after="60"/>
      </w:pPr>
    </w:p>
    <w:p w14:paraId="189519E1">
      <w:pPr>
        <w:pStyle w:val="3"/>
        <w:spacing w:before="280" w:after="120"/>
      </w:pPr>
      <w:r>
        <w:rPr>
          <w:rFonts w:ascii="Arial" w:hAnsi="Arial" w:eastAsia="Arial" w:cs="Arial"/>
          <w:b/>
          <w:bCs/>
          <w:color w:val="C0392B"/>
          <w:sz w:val="24"/>
          <w:szCs w:val="24"/>
        </w:rPr>
        <w:t>2.3 Uplift Rate Assumptions (Stage 3)</w:t>
      </w:r>
    </w:p>
    <w:p w14:paraId="4EF5E769">
      <w:pPr>
        <w:spacing w:before="60" w:after="60"/>
        <w:jc w:val="both"/>
      </w:pPr>
      <w:r>
        <w:rPr>
          <w:rFonts w:ascii="Arial" w:hAnsi="Arial" w:eastAsia="Arial" w:cs="Arial"/>
          <w:sz w:val="20"/>
          <w:szCs w:val="20"/>
        </w:rPr>
        <w:t xml:space="preserve">Lever uplift rates are expert-calibrated based on observed </w:t>
      </w:r>
      <w:r>
        <w:rPr>
          <w:rFonts w:cs="Arial"/>
          <w:sz w:val="20"/>
          <w:szCs w:val="20"/>
          <w:lang w:val="en-US"/>
        </w:rPr>
        <w:t>behavioral</w:t>
      </w:r>
      <w:r>
        <w:rPr>
          <w:rFonts w:ascii="Arial" w:hAnsi="Arial" w:eastAsia="Arial" w:cs="Arial"/>
          <w:sz w:val="20"/>
          <w:szCs w:val="20"/>
        </w:rPr>
        <w:t xml:space="preserve"> gaps in the Stage 1 analysis. They are not derived from A/B test data. Key assumptions:</w:t>
      </w:r>
    </w:p>
    <w:p w14:paraId="5E3D38FB">
      <w:pPr>
        <w:pStyle w:val="14"/>
        <w:numPr>
          <w:ilvl w:val="0"/>
          <w:numId w:val="1"/>
        </w:numPr>
        <w:spacing w:before="40" w:after="40"/>
      </w:pPr>
      <w:r>
        <w:rPr>
          <w:rFonts w:ascii="Arial" w:hAnsi="Arial" w:eastAsia="Arial" w:cs="Arial"/>
          <w:sz w:val="20"/>
          <w:szCs w:val="20"/>
        </w:rPr>
        <w:t>Champions respond least to Bundle offers (+5%) as their basket is already large; they respond most to Upsell (+15%) due to demonstrated premium affinity.</w:t>
      </w:r>
    </w:p>
    <w:p w14:paraId="25AD7396">
      <w:pPr>
        <w:pStyle w:val="14"/>
        <w:numPr>
          <w:ilvl w:val="0"/>
          <w:numId w:val="1"/>
        </w:numPr>
        <w:spacing w:before="40" w:after="40"/>
      </w:pPr>
      <w:r>
        <w:rPr>
          <w:rFonts w:ascii="Arial" w:hAnsi="Arial" w:eastAsia="Arial" w:cs="Arial"/>
          <w:sz w:val="20"/>
          <w:szCs w:val="20"/>
        </w:rPr>
        <w:t>Needs Attention segments respond most to Bundle offers (+20%) given their mid-basket positioning and price sensitivity observed in the return rate analysis.</w:t>
      </w:r>
    </w:p>
    <w:p w14:paraId="509A883F">
      <w:pPr>
        <w:pStyle w:val="14"/>
        <w:numPr>
          <w:ilvl w:val="0"/>
          <w:numId w:val="1"/>
        </w:numPr>
        <w:spacing w:before="40" w:after="40"/>
      </w:pPr>
      <w:r>
        <w:rPr>
          <w:rFonts w:ascii="Arial" w:hAnsi="Arial" w:eastAsia="Arial" w:cs="Arial"/>
          <w:sz w:val="20"/>
          <w:szCs w:val="20"/>
        </w:rPr>
        <w:t>Dormant users are assigned conservative uplift across all levers (2–12%) to reflect re-engagement uncertainty.</w:t>
      </w:r>
    </w:p>
    <w:p w14:paraId="4A6D3CE9">
      <w:pPr>
        <w:spacing w:before="0" w:after="0"/>
      </w:pPr>
      <w:r>
        <w:br w:type="page"/>
      </w:r>
    </w:p>
    <w:p w14:paraId="5DE81179">
      <w:pPr>
        <w:pStyle w:val="2"/>
        <w:spacing w:before="400" w:after="160"/>
      </w:pPr>
      <w:r>
        <w:rPr>
          <w:rFonts w:ascii="Arial" w:hAnsi="Arial" w:eastAsia="Arial" w:cs="Arial"/>
          <w:b/>
          <w:bCs/>
          <w:color w:val="2C3E50"/>
          <w:sz w:val="28"/>
          <w:szCs w:val="28"/>
        </w:rPr>
        <w:t>3. Methodology</w:t>
      </w:r>
    </w:p>
    <w:p w14:paraId="0CEDCB05">
      <w:pPr>
        <w:pBdr>
          <w:bottom w:val="single" w:color="C0392B" w:sz="10" w:space="1"/>
        </w:pBdr>
        <w:spacing w:before="0" w:after="80"/>
      </w:pPr>
    </w:p>
    <w:p w14:paraId="7AF95536">
      <w:pPr>
        <w:pStyle w:val="3"/>
        <w:spacing w:before="280" w:after="120"/>
      </w:pPr>
      <w:r>
        <w:rPr>
          <w:rFonts w:ascii="Arial" w:hAnsi="Arial" w:eastAsia="Arial" w:cs="Arial"/>
          <w:b/>
          <w:bCs/>
          <w:color w:val="C0392B"/>
          <w:sz w:val="24"/>
          <w:szCs w:val="24"/>
        </w:rPr>
        <w:t>3.1 Data Pre-Processing</w:t>
      </w:r>
    </w:p>
    <w:p w14:paraId="0887F504">
      <w:pPr>
        <w:spacing w:before="60" w:after="60"/>
        <w:jc w:val="both"/>
      </w:pPr>
      <w:r>
        <w:rPr>
          <w:rFonts w:ascii="Arial" w:hAnsi="Arial" w:eastAsia="Arial" w:cs="Arial"/>
          <w:sz w:val="20"/>
          <w:szCs w:val="20"/>
        </w:rPr>
        <w:t>Raw transaction data is cleaned in the prep() function using a four-step pipeline:</w:t>
      </w:r>
    </w:p>
    <w:p w14:paraId="6CE3D31A">
      <w:pPr>
        <w:pStyle w:val="14"/>
        <w:numPr>
          <w:ilvl w:val="0"/>
          <w:numId w:val="1"/>
        </w:numPr>
        <w:spacing w:before="40" w:after="40"/>
      </w:pPr>
      <w:r>
        <w:rPr>
          <w:rFonts w:ascii="Arial" w:hAnsi="Arial" w:eastAsia="Arial" w:cs="Arial"/>
          <w:sz w:val="20"/>
          <w:szCs w:val="20"/>
        </w:rPr>
        <w:t>Type enforcement: Event</w:t>
      </w:r>
      <w:r>
        <w:rPr>
          <w:rFonts w:hint="default" w:cs="Arial"/>
          <w:sz w:val="20"/>
          <w:szCs w:val="20"/>
          <w:lang w:val="en-US"/>
        </w:rPr>
        <w:t xml:space="preserve"> </w:t>
      </w:r>
      <w:r>
        <w:rPr>
          <w:rFonts w:ascii="Arial" w:hAnsi="Arial" w:eastAsia="Arial" w:cs="Arial"/>
          <w:sz w:val="20"/>
          <w:szCs w:val="20"/>
        </w:rPr>
        <w:t>Date</w:t>
      </w:r>
      <w:r>
        <w:rPr>
          <w:rFonts w:hint="default" w:cs="Arial"/>
          <w:sz w:val="20"/>
          <w:szCs w:val="20"/>
          <w:lang w:val="en-US"/>
        </w:rPr>
        <w:t xml:space="preserve"> </w:t>
      </w:r>
      <w:r>
        <w:rPr>
          <w:rFonts w:ascii="Arial" w:hAnsi="Arial" w:eastAsia="Arial" w:cs="Arial"/>
          <w:sz w:val="20"/>
          <w:szCs w:val="20"/>
        </w:rPr>
        <w:t xml:space="preserve">Time parsed to </w:t>
      </w:r>
      <w:r>
        <w:rPr>
          <w:rFonts w:cs="Arial"/>
          <w:sz w:val="20"/>
          <w:szCs w:val="20"/>
          <w:lang w:val="en-US"/>
        </w:rPr>
        <w:t>date time</w:t>
      </w:r>
      <w:r>
        <w:rPr>
          <w:rFonts w:ascii="Arial" w:hAnsi="Arial" w:eastAsia="Arial" w:cs="Arial"/>
          <w:sz w:val="20"/>
          <w:szCs w:val="20"/>
        </w:rPr>
        <w:t xml:space="preserve">; </w:t>
      </w:r>
      <w:r>
        <w:rPr>
          <w:rFonts w:cs="Arial"/>
          <w:sz w:val="20"/>
          <w:szCs w:val="20"/>
          <w:lang w:val="en-US"/>
        </w:rPr>
        <w:t>Product Name</w:t>
      </w:r>
      <w:r>
        <w:rPr>
          <w:rFonts w:ascii="Arial" w:hAnsi="Arial" w:eastAsia="Arial" w:cs="Arial"/>
          <w:sz w:val="20"/>
          <w:szCs w:val="20"/>
        </w:rPr>
        <w:t xml:space="preserve"> stripped of </w:t>
      </w:r>
      <w:r>
        <w:rPr>
          <w:rFonts w:cs="Arial"/>
          <w:sz w:val="20"/>
          <w:szCs w:val="20"/>
          <w:lang w:val="en-US"/>
        </w:rPr>
        <w:t>white space</w:t>
      </w:r>
      <w:r>
        <w:rPr>
          <w:rFonts w:ascii="Arial" w:hAnsi="Arial" w:eastAsia="Arial" w:cs="Arial"/>
          <w:sz w:val="20"/>
          <w:szCs w:val="20"/>
        </w:rPr>
        <w:t>.</w:t>
      </w:r>
    </w:p>
    <w:p w14:paraId="0E2F72A3">
      <w:pPr>
        <w:pStyle w:val="14"/>
        <w:numPr>
          <w:ilvl w:val="0"/>
          <w:numId w:val="1"/>
        </w:numPr>
        <w:spacing w:before="40" w:after="40"/>
      </w:pPr>
      <w:r>
        <w:rPr>
          <w:rFonts w:ascii="Arial" w:hAnsi="Arial" w:eastAsia="Arial" w:cs="Arial"/>
          <w:sz w:val="20"/>
          <w:szCs w:val="20"/>
        </w:rPr>
        <w:t xml:space="preserve">Error removal: Rows with non-positive Quantity or </w:t>
      </w:r>
      <w:r>
        <w:rPr>
          <w:rFonts w:cs="Arial"/>
          <w:sz w:val="20"/>
          <w:szCs w:val="20"/>
          <w:lang w:val="en-US"/>
        </w:rPr>
        <w:t>Unit Price</w:t>
      </w:r>
      <w:r>
        <w:rPr>
          <w:rFonts w:ascii="Arial" w:hAnsi="Arial" w:eastAsia="Arial" w:cs="Arial"/>
          <w:sz w:val="20"/>
          <w:szCs w:val="20"/>
        </w:rPr>
        <w:t xml:space="preserve"> are dropped. These are structural data errors, not legitimate zero-value transactions.</w:t>
      </w:r>
    </w:p>
    <w:p w14:paraId="2999CF2D">
      <w:pPr>
        <w:pStyle w:val="14"/>
        <w:numPr>
          <w:ilvl w:val="0"/>
          <w:numId w:val="1"/>
        </w:numPr>
        <w:spacing w:before="40" w:after="40"/>
      </w:pPr>
      <w:r>
        <w:rPr>
          <w:rFonts w:hint="default" w:ascii="Arial" w:hAnsi="Arial" w:eastAsia="SimSun" w:cs="Arial"/>
          <w:sz w:val="20"/>
          <w:szCs w:val="20"/>
        </w:rPr>
        <w:t>Winsorization</w:t>
      </w:r>
      <w:r>
        <w:rPr>
          <w:rFonts w:ascii="Arial" w:hAnsi="Arial" w:eastAsia="Arial" w:cs="Arial"/>
          <w:sz w:val="20"/>
          <w:szCs w:val="20"/>
        </w:rPr>
        <w:t xml:space="preserve"> (3×IQR): Both </w:t>
      </w:r>
      <w:r>
        <w:rPr>
          <w:rFonts w:cs="Arial"/>
          <w:sz w:val="20"/>
          <w:szCs w:val="20"/>
          <w:lang w:val="en-US"/>
        </w:rPr>
        <w:t>Unit Price</w:t>
      </w:r>
      <w:r>
        <w:rPr>
          <w:rFonts w:ascii="Arial" w:hAnsi="Arial" w:eastAsia="Arial" w:cs="Arial"/>
          <w:sz w:val="20"/>
          <w:szCs w:val="20"/>
        </w:rPr>
        <w:t xml:space="preserve"> and Quantity are capped using the 3-sigma IQR method (lower bound floored at zero). This preserves distributional shape while eliminating extreme outliers that would distort mean-based metrics.</w:t>
      </w:r>
    </w:p>
    <w:p w14:paraId="0C9EED48">
      <w:pPr>
        <w:pStyle w:val="14"/>
        <w:numPr>
          <w:ilvl w:val="0"/>
          <w:numId w:val="1"/>
        </w:numPr>
        <w:spacing w:before="40" w:after="40"/>
      </w:pPr>
      <w:r>
        <w:rPr>
          <w:rFonts w:ascii="Arial" w:hAnsi="Arial" w:eastAsia="Arial" w:cs="Arial"/>
          <w:sz w:val="20"/>
          <w:szCs w:val="20"/>
        </w:rPr>
        <w:t xml:space="preserve">Feature derivation: </w:t>
      </w:r>
      <w:r>
        <w:rPr>
          <w:rFonts w:cs="Arial"/>
          <w:sz w:val="20"/>
          <w:szCs w:val="20"/>
          <w:lang w:val="en-US"/>
        </w:rPr>
        <w:t>Line Value</w:t>
      </w:r>
      <w:r>
        <w:rPr>
          <w:rFonts w:ascii="Arial" w:hAnsi="Arial" w:eastAsia="Arial" w:cs="Arial"/>
          <w:sz w:val="20"/>
          <w:szCs w:val="20"/>
        </w:rPr>
        <w:t xml:space="preserve"> = Quantity × </w:t>
      </w:r>
      <w:r>
        <w:rPr>
          <w:rFonts w:cs="Arial"/>
          <w:sz w:val="20"/>
          <w:szCs w:val="20"/>
          <w:lang w:val="en-US"/>
        </w:rPr>
        <w:t>Unit Price</w:t>
      </w:r>
      <w:r>
        <w:rPr>
          <w:rFonts w:ascii="Arial" w:hAnsi="Arial" w:eastAsia="Arial" w:cs="Arial"/>
          <w:sz w:val="20"/>
          <w:szCs w:val="20"/>
        </w:rPr>
        <w:t xml:space="preserve">; sign-adjusted for Returns. Category assigned by keyword-matching against a 10-class taxonomy using </w:t>
      </w:r>
      <w:r>
        <w:rPr>
          <w:rFonts w:cs="Arial"/>
          <w:sz w:val="20"/>
          <w:szCs w:val="20"/>
          <w:lang w:val="en-US"/>
        </w:rPr>
        <w:t>Product Name</w:t>
      </w:r>
      <w:r>
        <w:rPr>
          <w:rFonts w:ascii="Arial" w:hAnsi="Arial" w:eastAsia="Arial" w:cs="Arial"/>
          <w:sz w:val="20"/>
          <w:szCs w:val="20"/>
        </w:rPr>
        <w:t>.</w:t>
      </w:r>
    </w:p>
    <w:p w14:paraId="68FF3D30">
      <w:pPr>
        <w:spacing w:before="60" w:after="60"/>
      </w:pPr>
    </w:p>
    <w:p w14:paraId="758E022E">
      <w:pPr>
        <w:pStyle w:val="3"/>
        <w:spacing w:before="280" w:after="120"/>
      </w:pPr>
      <w:r>
        <w:rPr>
          <w:rFonts w:ascii="Arial" w:hAnsi="Arial" w:eastAsia="Arial" w:cs="Arial"/>
          <w:b/>
          <w:bCs/>
          <w:color w:val="C0392B"/>
          <w:sz w:val="24"/>
          <w:szCs w:val="24"/>
        </w:rPr>
        <w:t>3.2 RFM Scoring Methodology</w:t>
      </w:r>
    </w:p>
    <w:p w14:paraId="7DC94B9F">
      <w:pPr>
        <w:spacing w:before="60" w:after="60"/>
        <w:jc w:val="both"/>
      </w:pPr>
      <w:r>
        <w:rPr>
          <w:rFonts w:ascii="Arial" w:hAnsi="Arial" w:eastAsia="Arial" w:cs="Arial"/>
          <w:sz w:val="20"/>
          <w:szCs w:val="20"/>
        </w:rPr>
        <w:t>RFM scoring follows a three-step process:</w:t>
      </w:r>
    </w:p>
    <w:p w14:paraId="28A043E7">
      <w:pPr>
        <w:pStyle w:val="14"/>
        <w:numPr>
          <w:ilvl w:val="0"/>
          <w:numId w:val="1"/>
        </w:numPr>
        <w:spacing w:before="40" w:after="40"/>
      </w:pPr>
      <w:r>
        <w:rPr>
          <w:rFonts w:ascii="Arial" w:hAnsi="Arial" w:eastAsia="Arial" w:cs="Arial"/>
          <w:sz w:val="20"/>
          <w:szCs w:val="20"/>
        </w:rPr>
        <w:t>Per-user aggregation: Each user's Recency (days since last purchase), Frequency (distinct orders), and Monetary (net revenue) are computed against the dataset snapshot date.</w:t>
      </w:r>
    </w:p>
    <w:p w14:paraId="09155C2F">
      <w:pPr>
        <w:pStyle w:val="14"/>
        <w:numPr>
          <w:ilvl w:val="0"/>
          <w:numId w:val="1"/>
        </w:numPr>
        <w:spacing w:before="40" w:after="40"/>
      </w:pPr>
      <w:r>
        <w:rPr>
          <w:rFonts w:ascii="Arial" w:hAnsi="Arial" w:eastAsia="Arial" w:cs="Arial"/>
          <w:sz w:val="20"/>
          <w:szCs w:val="20"/>
        </w:rPr>
        <w:t xml:space="preserve">Quintile scoring: Each dimension is independently ranked and divided into </w:t>
      </w:r>
      <w:r>
        <w:rPr>
          <w:rFonts w:cs="Arial"/>
          <w:sz w:val="20"/>
          <w:szCs w:val="20"/>
          <w:lang w:val="en-US"/>
        </w:rPr>
        <w:t>quintile</w:t>
      </w:r>
      <w:r>
        <w:rPr>
          <w:rFonts w:ascii="Arial" w:hAnsi="Arial" w:eastAsia="Arial" w:cs="Arial"/>
          <w:sz w:val="20"/>
          <w:szCs w:val="20"/>
        </w:rPr>
        <w:t xml:space="preserve"> (1=lowest, 5=highest). Recency is inverted so that a recent buyer scores 5. Frequency and Monetary are scored in the standard ascending direction.</w:t>
      </w:r>
    </w:p>
    <w:p w14:paraId="68B59FA0">
      <w:pPr>
        <w:pStyle w:val="14"/>
        <w:numPr>
          <w:ilvl w:val="0"/>
          <w:numId w:val="1"/>
        </w:numPr>
        <w:spacing w:before="40" w:after="40"/>
      </w:pPr>
      <w:r>
        <w:rPr>
          <w:rFonts w:ascii="Arial" w:hAnsi="Arial" w:eastAsia="Arial" w:cs="Arial"/>
          <w:sz w:val="20"/>
          <w:szCs w:val="20"/>
        </w:rPr>
        <w:t>Segment assignment: A rule-based mapping converts the composite RFM score (range 3–15) and individual dimension scores into six named segments: Champions, Loyal, Potential Loyalist, Needs Attention, At-Risk, and Dormant.</w:t>
      </w:r>
    </w:p>
    <w:p w14:paraId="1B3FF82F">
      <w:pPr>
        <w:spacing w:before="60" w:after="60"/>
      </w:pPr>
    </w:p>
    <w:p w14:paraId="5DC6E16C">
      <w:pPr>
        <w:pStyle w:val="3"/>
        <w:spacing w:before="280" w:after="120"/>
      </w:pPr>
      <w:r>
        <w:rPr>
          <w:rFonts w:ascii="Arial" w:hAnsi="Arial" w:eastAsia="Arial" w:cs="Arial"/>
          <w:b/>
          <w:bCs/>
          <w:color w:val="C0392B"/>
          <w:sz w:val="24"/>
          <w:szCs w:val="24"/>
        </w:rPr>
        <w:t>3.3 ERPU Decomposition</w:t>
      </w:r>
    </w:p>
    <w:p w14:paraId="2CBD3947">
      <w:pPr>
        <w:spacing w:before="60" w:after="60"/>
        <w:jc w:val="both"/>
      </w:pPr>
      <w:r>
        <w:rPr>
          <w:rFonts w:ascii="Arial" w:hAnsi="Arial" w:eastAsia="Arial" w:cs="Arial"/>
          <w:sz w:val="20"/>
          <w:szCs w:val="20"/>
        </w:rPr>
        <w:t>ERPU is decomposed into three multiplicative components to isolate the source of any period-over-period change:</w:t>
      </w:r>
    </w:p>
    <w:p w14:paraId="5C6CD79A">
      <w:pPr>
        <w:spacing w:before="60" w:after="60"/>
        <w:jc w:val="both"/>
      </w:pPr>
      <w:r>
        <w:rPr>
          <w:rFonts w:ascii="Arial" w:hAnsi="Arial" w:eastAsia="Arial" w:cs="Arial"/>
          <w:sz w:val="20"/>
          <w:szCs w:val="20"/>
        </w:rPr>
        <w:t>ERPU = Avg Orders per User × Avg Basket Value per Order × (1 − Return Rate)</w:t>
      </w:r>
    </w:p>
    <w:p w14:paraId="0C92C740">
      <w:pPr>
        <w:spacing w:before="60" w:after="60"/>
        <w:jc w:val="both"/>
      </w:pPr>
      <w:r>
        <w:rPr>
          <w:rFonts w:ascii="Arial" w:hAnsi="Arial" w:eastAsia="Arial" w:cs="Arial"/>
          <w:sz w:val="20"/>
          <w:szCs w:val="20"/>
        </w:rPr>
        <w:t xml:space="preserve">This decomposition distinguishes between (a) </w:t>
      </w:r>
      <w:r>
        <w:rPr>
          <w:rFonts w:cs="Arial"/>
          <w:sz w:val="20"/>
          <w:szCs w:val="20"/>
          <w:lang w:val="en-US"/>
        </w:rPr>
        <w:t>behavioral</w:t>
      </w:r>
      <w:r>
        <w:rPr>
          <w:rFonts w:ascii="Arial" w:hAnsi="Arial" w:eastAsia="Arial" w:cs="Arial"/>
          <w:sz w:val="20"/>
          <w:szCs w:val="20"/>
        </w:rPr>
        <w:t xml:space="preserve"> frequency shifts, (b) basket value changes, and (c) return rate changes — each addressable by different commercial levers.</w:t>
      </w:r>
    </w:p>
    <w:p w14:paraId="4D234E5C">
      <w:pPr>
        <w:spacing w:before="60" w:after="60"/>
      </w:pPr>
    </w:p>
    <w:p w14:paraId="0C3846D7">
      <w:pPr>
        <w:pStyle w:val="3"/>
        <w:spacing w:before="280" w:after="120"/>
      </w:pPr>
      <w:r>
        <w:rPr>
          <w:rFonts w:ascii="Arial" w:hAnsi="Arial" w:eastAsia="Arial" w:cs="Arial"/>
          <w:b/>
          <w:bCs/>
          <w:color w:val="C0392B"/>
          <w:sz w:val="24"/>
          <w:szCs w:val="24"/>
        </w:rPr>
        <w:t>3.4 Validation Scoring Protocol</w:t>
      </w:r>
    </w:p>
    <w:p w14:paraId="353E4553">
      <w:pPr>
        <w:spacing w:before="60" w:after="60"/>
        <w:jc w:val="both"/>
      </w:pPr>
      <w:r>
        <w:rPr>
          <w:rFonts w:ascii="Arial" w:hAnsi="Arial" w:eastAsia="Arial" w:cs="Arial"/>
          <w:sz w:val="20"/>
          <w:szCs w:val="20"/>
        </w:rPr>
        <w:t>Stage 2 replays Stage 1 model logic on the held-out validation dataset. The process is:</w:t>
      </w:r>
    </w:p>
    <w:p w14:paraId="6D9DD217">
      <w:pPr>
        <w:pStyle w:val="14"/>
        <w:numPr>
          <w:ilvl w:val="0"/>
          <w:numId w:val="1"/>
        </w:numPr>
        <w:spacing w:before="40" w:after="40"/>
      </w:pPr>
      <w:r>
        <w:rPr>
          <w:rFonts w:ascii="Arial" w:hAnsi="Arial" w:eastAsia="Arial" w:cs="Arial"/>
          <w:sz w:val="20"/>
          <w:szCs w:val="20"/>
        </w:rPr>
        <w:t>Build RFM for validation users using the same build_rfm() function.</w:t>
      </w:r>
    </w:p>
    <w:p w14:paraId="14B778C5">
      <w:pPr>
        <w:pStyle w:val="14"/>
        <w:numPr>
          <w:ilvl w:val="0"/>
          <w:numId w:val="1"/>
        </w:numPr>
        <w:spacing w:before="40" w:after="40"/>
      </w:pPr>
      <w:r>
        <w:rPr>
          <w:rFonts w:ascii="Arial" w:hAnsi="Arial" w:eastAsia="Arial" w:cs="Arial"/>
          <w:sz w:val="20"/>
          <w:szCs w:val="20"/>
        </w:rPr>
        <w:t>Assign Purchase Likelihood Score = F-quintile / 5 (</w:t>
      </w:r>
      <w:r>
        <w:rPr>
          <w:rFonts w:cs="Arial"/>
          <w:sz w:val="20"/>
          <w:szCs w:val="20"/>
          <w:lang w:val="en-US"/>
        </w:rPr>
        <w:t>normalized</w:t>
      </w:r>
      <w:r>
        <w:rPr>
          <w:rFonts w:ascii="Arial" w:hAnsi="Arial" w:eastAsia="Arial" w:cs="Arial"/>
          <w:sz w:val="20"/>
          <w:szCs w:val="20"/>
        </w:rPr>
        <w:t xml:space="preserve"> frequency rank).</w:t>
      </w:r>
    </w:p>
    <w:p w14:paraId="3284AE3D">
      <w:pPr>
        <w:pStyle w:val="14"/>
        <w:numPr>
          <w:ilvl w:val="0"/>
          <w:numId w:val="1"/>
        </w:numPr>
        <w:spacing w:before="40" w:after="40"/>
      </w:pPr>
      <w:r>
        <w:rPr>
          <w:rFonts w:ascii="Arial" w:hAnsi="Arial" w:eastAsia="Arial" w:cs="Arial"/>
          <w:sz w:val="20"/>
          <w:szCs w:val="20"/>
        </w:rPr>
        <w:t>Compute Expected ERPU = user-level net revenue from validation transactions.</w:t>
      </w:r>
    </w:p>
    <w:p w14:paraId="3E902C7E">
      <w:pPr>
        <w:pStyle w:val="14"/>
        <w:numPr>
          <w:ilvl w:val="0"/>
          <w:numId w:val="1"/>
        </w:numPr>
        <w:spacing w:before="40" w:after="40"/>
      </w:pPr>
      <w:r>
        <w:rPr>
          <w:rFonts w:ascii="Arial" w:hAnsi="Arial" w:eastAsia="Arial" w:cs="Arial"/>
          <w:sz w:val="20"/>
          <w:szCs w:val="20"/>
        </w:rPr>
        <w:t>Compute Return Risk Score = user return rate from validation set.</w:t>
      </w:r>
    </w:p>
    <w:p w14:paraId="536AD6C7">
      <w:pPr>
        <w:pStyle w:val="14"/>
        <w:numPr>
          <w:ilvl w:val="0"/>
          <w:numId w:val="1"/>
        </w:numPr>
        <w:spacing w:before="40" w:after="40"/>
      </w:pPr>
      <w:r>
        <w:rPr>
          <w:rFonts w:ascii="Arial" w:hAnsi="Arial" w:eastAsia="Arial" w:cs="Arial"/>
          <w:sz w:val="20"/>
          <w:szCs w:val="20"/>
        </w:rPr>
        <w:t>Flag top-decile users by ERPU threshold (90th percentile of validation ERPU distribution).</w:t>
      </w:r>
    </w:p>
    <w:p w14:paraId="0E2ACED3">
      <w:pPr>
        <w:pStyle w:val="14"/>
        <w:numPr>
          <w:ilvl w:val="0"/>
          <w:numId w:val="1"/>
        </w:numPr>
        <w:spacing w:before="40" w:after="40"/>
      </w:pPr>
      <w:r>
        <w:rPr>
          <w:rFonts w:ascii="Arial" w:hAnsi="Arial" w:eastAsia="Arial" w:cs="Arial"/>
          <w:sz w:val="20"/>
          <w:szCs w:val="20"/>
        </w:rPr>
        <w:t>Apply Platt scaling: Calibrated Likelihood = Raw Score × (Val Repeat Rate / Train Repeat Rate), clipped at 1.0.</w:t>
      </w:r>
    </w:p>
    <w:p w14:paraId="563DB59E">
      <w:pPr>
        <w:spacing w:before="60" w:after="60"/>
      </w:pPr>
    </w:p>
    <w:p w14:paraId="462D3F7E">
      <w:pPr>
        <w:pStyle w:val="3"/>
        <w:spacing w:before="280" w:after="120"/>
      </w:pPr>
      <w:r>
        <w:rPr>
          <w:rFonts w:ascii="Arial" w:hAnsi="Arial" w:eastAsia="Arial" w:cs="Arial"/>
          <w:b/>
          <w:bCs/>
          <w:color w:val="C0392B"/>
          <w:sz w:val="24"/>
          <w:szCs w:val="24"/>
        </w:rPr>
        <w:t>3.5 Basket Growth Scenario Engine</w:t>
      </w:r>
    </w:p>
    <w:p w14:paraId="5CE23680">
      <w:pPr>
        <w:spacing w:before="60" w:after="60"/>
        <w:jc w:val="both"/>
      </w:pPr>
      <w:r>
        <w:rPr>
          <w:rFonts w:ascii="Arial" w:hAnsi="Arial" w:eastAsia="Arial" w:cs="Arial"/>
          <w:sz w:val="20"/>
          <w:szCs w:val="20"/>
        </w:rPr>
        <w:t xml:space="preserve">The Stage 3 engine applies lever uplifts </w:t>
      </w:r>
      <w:r>
        <w:rPr>
          <w:rFonts w:cs="Arial"/>
          <w:sz w:val="20"/>
          <w:szCs w:val="20"/>
          <w:lang w:val="en-US"/>
        </w:rPr>
        <w:t>multiplicative</w:t>
      </w:r>
      <w:r>
        <w:rPr>
          <w:rFonts w:ascii="Arial" w:hAnsi="Arial" w:eastAsia="Arial" w:cs="Arial"/>
          <w:sz w:val="20"/>
          <w:szCs w:val="20"/>
        </w:rPr>
        <w:t xml:space="preserve"> across users:</w:t>
      </w:r>
    </w:p>
    <w:p w14:paraId="3BC3B9FA">
      <w:pPr>
        <w:spacing w:before="60" w:after="60"/>
        <w:jc w:val="both"/>
      </w:pPr>
      <w:r>
        <w:rPr>
          <w:rFonts w:ascii="Arial" w:hAnsi="Arial" w:eastAsia="Arial" w:cs="Arial"/>
          <w:sz w:val="20"/>
          <w:szCs w:val="20"/>
        </w:rPr>
        <w:t>New Basket = Base Basket × ∏(1 + Uplift_lever_i(segment))</w:t>
      </w:r>
    </w:p>
    <w:p w14:paraId="325C59A8">
      <w:pPr>
        <w:spacing w:before="60" w:after="60"/>
        <w:jc w:val="both"/>
      </w:pPr>
      <w:r>
        <w:rPr>
          <w:rFonts w:ascii="Arial" w:hAnsi="Arial" w:eastAsia="Arial" w:cs="Arial"/>
          <w:sz w:val="20"/>
          <w:szCs w:val="20"/>
        </w:rPr>
        <w:t>New Net Revenue = New Gross Revenue × (1 − Return Rate_user)</w:t>
      </w:r>
    </w:p>
    <w:p w14:paraId="695D75FF">
      <w:pPr>
        <w:spacing w:before="60" w:after="60"/>
        <w:jc w:val="both"/>
      </w:pPr>
      <w:r>
        <w:rPr>
          <w:rFonts w:ascii="Arial" w:hAnsi="Arial" w:eastAsia="Arial" w:cs="Arial"/>
          <w:sz w:val="20"/>
          <w:szCs w:val="20"/>
        </w:rPr>
        <w:t xml:space="preserve">Six scenarios are run: Baseline (no lever), four single-lever scenarios, and an All Levers combined scenario. Aggregate metrics (ERPU, Total Net Revenue, Revenue Uplift %) are </w:t>
      </w:r>
      <w:r>
        <w:rPr>
          <w:rFonts w:cs="Arial"/>
          <w:sz w:val="20"/>
          <w:szCs w:val="20"/>
          <w:lang w:val="en-US"/>
        </w:rPr>
        <w:t>summarized</w:t>
      </w:r>
      <w:r>
        <w:rPr>
          <w:rFonts w:ascii="Arial" w:hAnsi="Arial" w:eastAsia="Arial" w:cs="Arial"/>
          <w:sz w:val="20"/>
          <w:szCs w:val="20"/>
        </w:rPr>
        <w:t xml:space="preserve"> in a scenario comparison table.</w:t>
      </w:r>
    </w:p>
    <w:p w14:paraId="00B31954">
      <w:pPr>
        <w:spacing w:before="0" w:after="0"/>
      </w:pPr>
      <w:r>
        <w:br w:type="page"/>
      </w:r>
    </w:p>
    <w:p w14:paraId="320F9B40">
      <w:pPr>
        <w:pStyle w:val="2"/>
        <w:spacing w:before="400" w:after="160"/>
      </w:pPr>
      <w:r>
        <w:rPr>
          <w:rFonts w:ascii="Arial" w:hAnsi="Arial" w:eastAsia="Arial" w:cs="Arial"/>
          <w:b/>
          <w:bCs/>
          <w:color w:val="2C3E50"/>
          <w:sz w:val="28"/>
          <w:szCs w:val="28"/>
        </w:rPr>
        <w:t>4. Validation Approach</w:t>
      </w:r>
    </w:p>
    <w:p w14:paraId="746C770E">
      <w:pPr>
        <w:pBdr>
          <w:bottom w:val="single" w:color="C0392B" w:sz="10" w:space="1"/>
        </w:pBdr>
        <w:spacing w:before="0" w:after="80"/>
      </w:pPr>
    </w:p>
    <w:p w14:paraId="5B6C08AE">
      <w:pPr>
        <w:spacing w:before="60" w:after="60"/>
        <w:jc w:val="both"/>
      </w:pPr>
      <w:r>
        <w:rPr>
          <w:rFonts w:ascii="Arial" w:hAnsi="Arial" w:eastAsia="Arial" w:cs="Arial"/>
          <w:sz w:val="20"/>
          <w:szCs w:val="20"/>
        </w:rPr>
        <w:t xml:space="preserve">The validation framework is designed as an in-space holdout evaluation: the model trained on pre-2020 transaction data is applied without modification to the 2020–2021 </w:t>
      </w:r>
      <w:r>
        <w:rPr>
          <w:rFonts w:cs="Arial"/>
          <w:sz w:val="20"/>
          <w:szCs w:val="20"/>
          <w:lang w:val="en-US"/>
        </w:rPr>
        <w:t>data set</w:t>
      </w:r>
      <w:r>
        <w:rPr>
          <w:rFonts w:ascii="Arial" w:hAnsi="Arial" w:eastAsia="Arial" w:cs="Arial"/>
          <w:sz w:val="20"/>
          <w:szCs w:val="20"/>
        </w:rPr>
        <w:t>. No parameters are re-estimated on validation data prior to evaluation.</w:t>
      </w:r>
    </w:p>
    <w:p w14:paraId="436A2CC9">
      <w:pPr>
        <w:spacing w:before="60" w:after="60"/>
      </w:pPr>
    </w:p>
    <w:p w14:paraId="250B2FCB">
      <w:pPr>
        <w:pStyle w:val="3"/>
        <w:spacing w:before="280" w:after="120"/>
      </w:pPr>
      <w:r>
        <w:rPr>
          <w:rFonts w:ascii="Arial" w:hAnsi="Arial" w:eastAsia="Arial" w:cs="Arial"/>
          <w:b/>
          <w:bCs/>
          <w:color w:val="C0392B"/>
          <w:sz w:val="24"/>
          <w:szCs w:val="24"/>
        </w:rPr>
        <w:t>4.1 Eight-Check Scorecard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1600"/>
        <w:gridCol w:w="1600"/>
        <w:gridCol w:w="1160"/>
        <w:gridCol w:w="2200"/>
      </w:tblGrid>
      <w:tr w14:paraId="31001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DC3C7" w:sz="4" w:space="0"/>
              <w:left w:val="single" w:color="BDC3C7" w:sz="4" w:space="0"/>
              <w:bottom w:val="single" w:color="BDC3C7" w:sz="4" w:space="0"/>
              <w:right w:val="single" w:color="BDC3C7" w:sz="4" w:space="0"/>
            </w:tcBorders>
            <w:shd w:val="clear" w:color="auto" w:fill="2C3E50"/>
            <w:tcMar>
              <w:top w:w="80" w:type="dxa"/>
              <w:left w:w="120" w:type="dxa"/>
              <w:bottom w:w="80" w:type="dxa"/>
              <w:right w:w="120" w:type="dxa"/>
            </w:tcMar>
          </w:tcPr>
          <w:p w14:paraId="26E539E0">
            <w:r>
              <w:rPr>
                <w:rFonts w:ascii="Arial" w:hAnsi="Arial" w:eastAsia="Arial" w:cs="Arial"/>
                <w:b/>
                <w:bCs/>
                <w:color w:val="FFFFFF"/>
                <w:sz w:val="18"/>
                <w:szCs w:val="18"/>
              </w:rPr>
              <w:t>Check</w:t>
            </w:r>
          </w:p>
        </w:tc>
        <w:tc>
          <w:tcPr>
            <w:tcW w:w="1600" w:type="dxa"/>
            <w:tcBorders>
              <w:top w:val="single" w:color="BDC3C7" w:sz="4" w:space="0"/>
              <w:left w:val="single" w:color="BDC3C7" w:sz="4" w:space="0"/>
              <w:bottom w:val="single" w:color="BDC3C7" w:sz="4" w:space="0"/>
              <w:right w:val="single" w:color="BDC3C7" w:sz="4" w:space="0"/>
            </w:tcBorders>
            <w:shd w:val="clear" w:color="auto" w:fill="2C3E50"/>
            <w:tcMar>
              <w:top w:w="80" w:type="dxa"/>
              <w:left w:w="120" w:type="dxa"/>
              <w:bottom w:w="80" w:type="dxa"/>
              <w:right w:w="120" w:type="dxa"/>
            </w:tcMar>
          </w:tcPr>
          <w:p w14:paraId="3CFCAA4B">
            <w:r>
              <w:rPr>
                <w:rFonts w:ascii="Arial" w:hAnsi="Arial" w:eastAsia="Arial" w:cs="Arial"/>
                <w:b/>
                <w:bCs/>
                <w:color w:val="FFFFFF"/>
                <w:sz w:val="18"/>
                <w:szCs w:val="18"/>
              </w:rPr>
              <w:t>Training</w:t>
            </w:r>
          </w:p>
        </w:tc>
        <w:tc>
          <w:tcPr>
            <w:tcW w:w="1600" w:type="dxa"/>
            <w:tcBorders>
              <w:top w:val="single" w:color="BDC3C7" w:sz="4" w:space="0"/>
              <w:left w:val="single" w:color="BDC3C7" w:sz="4" w:space="0"/>
              <w:bottom w:val="single" w:color="BDC3C7" w:sz="4" w:space="0"/>
              <w:right w:val="single" w:color="BDC3C7" w:sz="4" w:space="0"/>
            </w:tcBorders>
            <w:shd w:val="clear" w:color="auto" w:fill="2C3E50"/>
            <w:tcMar>
              <w:top w:w="80" w:type="dxa"/>
              <w:left w:w="120" w:type="dxa"/>
              <w:bottom w:w="80" w:type="dxa"/>
              <w:right w:w="120" w:type="dxa"/>
            </w:tcMar>
          </w:tcPr>
          <w:p w14:paraId="4904A238">
            <w:r>
              <w:rPr>
                <w:rFonts w:ascii="Arial" w:hAnsi="Arial" w:eastAsia="Arial" w:cs="Arial"/>
                <w:b/>
                <w:bCs/>
                <w:color w:val="FFFFFF"/>
                <w:sz w:val="18"/>
                <w:szCs w:val="18"/>
              </w:rPr>
              <w:t>Validation</w:t>
            </w:r>
          </w:p>
        </w:tc>
        <w:tc>
          <w:tcPr>
            <w:tcW w:w="1160" w:type="dxa"/>
            <w:tcBorders>
              <w:top w:val="single" w:color="BDC3C7" w:sz="4" w:space="0"/>
              <w:left w:val="single" w:color="BDC3C7" w:sz="4" w:space="0"/>
              <w:bottom w:val="single" w:color="BDC3C7" w:sz="4" w:space="0"/>
              <w:right w:val="single" w:color="BDC3C7" w:sz="4" w:space="0"/>
            </w:tcBorders>
            <w:shd w:val="clear" w:color="auto" w:fill="2C3E50"/>
            <w:tcMar>
              <w:top w:w="80" w:type="dxa"/>
              <w:left w:w="120" w:type="dxa"/>
              <w:bottom w:w="80" w:type="dxa"/>
              <w:right w:w="120" w:type="dxa"/>
            </w:tcMar>
          </w:tcPr>
          <w:p w14:paraId="24FFC07E">
            <w:r>
              <w:rPr>
                <w:rFonts w:ascii="Arial" w:hAnsi="Arial" w:eastAsia="Arial" w:cs="Arial"/>
                <w:b/>
                <w:bCs/>
                <w:color w:val="FFFFFF"/>
                <w:sz w:val="18"/>
                <w:szCs w:val="18"/>
              </w:rPr>
              <w:t>Threshold</w:t>
            </w:r>
          </w:p>
        </w:tc>
        <w:tc>
          <w:tcPr>
            <w:tcW w:w="2200" w:type="dxa"/>
            <w:tcBorders>
              <w:top w:val="single" w:color="BDC3C7" w:sz="4" w:space="0"/>
              <w:left w:val="single" w:color="BDC3C7" w:sz="4" w:space="0"/>
              <w:bottom w:val="single" w:color="BDC3C7" w:sz="4" w:space="0"/>
              <w:right w:val="single" w:color="BDC3C7" w:sz="4" w:space="0"/>
            </w:tcBorders>
            <w:shd w:val="clear" w:color="auto" w:fill="2C3E50"/>
            <w:tcMar>
              <w:top w:w="80" w:type="dxa"/>
              <w:left w:w="120" w:type="dxa"/>
              <w:bottom w:w="80" w:type="dxa"/>
              <w:right w:w="120" w:type="dxa"/>
            </w:tcMar>
          </w:tcPr>
          <w:p w14:paraId="0EAFFE90">
            <w:r>
              <w:rPr>
                <w:rFonts w:ascii="Arial" w:hAnsi="Arial" w:eastAsia="Arial" w:cs="Arial"/>
                <w:b/>
                <w:bCs/>
                <w:color w:val="FFFFFF"/>
                <w:sz w:val="18"/>
                <w:szCs w:val="18"/>
              </w:rPr>
              <w:t>Rationale</w:t>
            </w:r>
          </w:p>
        </w:tc>
      </w:tr>
      <w:tr w14:paraId="7450D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DC3C7" w:sz="4" w:space="0"/>
              <w:left w:val="single" w:color="BDC3C7" w:sz="4" w:space="0"/>
              <w:bottom w:val="single" w:color="BDC3C7" w:sz="4" w:space="0"/>
              <w:right w:val="single" w:color="BDC3C7" w:sz="4" w:space="0"/>
            </w:tcBorders>
            <w:shd w:val="clear" w:color="auto" w:fill="F4F6F7"/>
            <w:tcMar>
              <w:top w:w="80" w:type="dxa"/>
              <w:left w:w="120" w:type="dxa"/>
              <w:bottom w:w="80" w:type="dxa"/>
              <w:right w:w="120" w:type="dxa"/>
            </w:tcMar>
          </w:tcPr>
          <w:p w14:paraId="408D2875">
            <w:r>
              <w:rPr>
                <w:rFonts w:ascii="Arial" w:hAnsi="Arial" w:eastAsia="Arial" w:cs="Arial"/>
                <w:sz w:val="18"/>
                <w:szCs w:val="18"/>
              </w:rPr>
              <w:t>ERPU Deviation</w:t>
            </w:r>
          </w:p>
        </w:tc>
        <w:tc>
          <w:tcPr>
            <w:tcW w:w="1600" w:type="dxa"/>
            <w:tcBorders>
              <w:top w:val="single" w:color="BDC3C7" w:sz="4" w:space="0"/>
              <w:left w:val="single" w:color="BDC3C7" w:sz="4" w:space="0"/>
              <w:bottom w:val="single" w:color="BDC3C7" w:sz="4" w:space="0"/>
              <w:right w:val="single" w:color="BDC3C7" w:sz="4" w:space="0"/>
            </w:tcBorders>
            <w:shd w:val="clear" w:color="auto" w:fill="F4F6F7"/>
            <w:tcMar>
              <w:top w:w="80" w:type="dxa"/>
              <w:left w:w="120" w:type="dxa"/>
              <w:bottom w:w="80" w:type="dxa"/>
              <w:right w:w="120" w:type="dxa"/>
            </w:tcMar>
          </w:tcPr>
          <w:p w14:paraId="306017B1">
            <w:r>
              <w:rPr>
                <w:rFonts w:ascii="Arial" w:hAnsi="Arial" w:eastAsia="Arial" w:cs="Arial"/>
                <w:sz w:val="18"/>
                <w:szCs w:val="18"/>
              </w:rPr>
              <w:t>Baseline Rs X</w:t>
            </w:r>
          </w:p>
        </w:tc>
        <w:tc>
          <w:tcPr>
            <w:tcW w:w="1600" w:type="dxa"/>
            <w:tcBorders>
              <w:top w:val="single" w:color="BDC3C7" w:sz="4" w:space="0"/>
              <w:left w:val="single" w:color="BDC3C7" w:sz="4" w:space="0"/>
              <w:bottom w:val="single" w:color="BDC3C7" w:sz="4" w:space="0"/>
              <w:right w:val="single" w:color="BDC3C7" w:sz="4" w:space="0"/>
            </w:tcBorders>
            <w:shd w:val="clear" w:color="auto" w:fill="F4F6F7"/>
            <w:tcMar>
              <w:top w:w="80" w:type="dxa"/>
              <w:left w:w="120" w:type="dxa"/>
              <w:bottom w:w="80" w:type="dxa"/>
              <w:right w:w="120" w:type="dxa"/>
            </w:tcMar>
          </w:tcPr>
          <w:p w14:paraId="10AC0D74">
            <w:r>
              <w:rPr>
                <w:rFonts w:ascii="Arial" w:hAnsi="Arial" w:eastAsia="Arial" w:cs="Arial"/>
                <w:sz w:val="18"/>
                <w:szCs w:val="18"/>
              </w:rPr>
              <w:t>Val Rs Y</w:t>
            </w:r>
          </w:p>
        </w:tc>
        <w:tc>
          <w:tcPr>
            <w:tcW w:w="1160" w:type="dxa"/>
            <w:tcBorders>
              <w:top w:val="single" w:color="BDC3C7" w:sz="4" w:space="0"/>
              <w:left w:val="single" w:color="BDC3C7" w:sz="4" w:space="0"/>
              <w:bottom w:val="single" w:color="BDC3C7" w:sz="4" w:space="0"/>
              <w:right w:val="single" w:color="BDC3C7" w:sz="4" w:space="0"/>
            </w:tcBorders>
            <w:shd w:val="clear" w:color="auto" w:fill="F4F6F7"/>
            <w:tcMar>
              <w:top w:w="80" w:type="dxa"/>
              <w:left w:w="120" w:type="dxa"/>
              <w:bottom w:w="80" w:type="dxa"/>
              <w:right w:w="120" w:type="dxa"/>
            </w:tcMar>
          </w:tcPr>
          <w:p w14:paraId="078165C3">
            <w:r>
              <w:rPr>
                <w:rFonts w:ascii="Arial" w:hAnsi="Arial" w:eastAsia="Arial" w:cs="Arial"/>
                <w:sz w:val="18"/>
                <w:szCs w:val="18"/>
              </w:rPr>
              <w:t>&lt; 20%</w:t>
            </w:r>
          </w:p>
        </w:tc>
        <w:tc>
          <w:tcPr>
            <w:tcW w:w="2200" w:type="dxa"/>
            <w:tcBorders>
              <w:top w:val="single" w:color="BDC3C7" w:sz="4" w:space="0"/>
              <w:left w:val="single" w:color="BDC3C7" w:sz="4" w:space="0"/>
              <w:bottom w:val="single" w:color="BDC3C7" w:sz="4" w:space="0"/>
              <w:right w:val="single" w:color="BDC3C7" w:sz="4" w:space="0"/>
            </w:tcBorders>
            <w:shd w:val="clear" w:color="auto" w:fill="F4F6F7"/>
            <w:tcMar>
              <w:top w:w="80" w:type="dxa"/>
              <w:left w:w="120" w:type="dxa"/>
              <w:bottom w:w="80" w:type="dxa"/>
              <w:right w:w="120" w:type="dxa"/>
            </w:tcMar>
          </w:tcPr>
          <w:p w14:paraId="2F328F84">
            <w:r>
              <w:rPr>
                <w:rFonts w:ascii="Arial" w:hAnsi="Arial" w:eastAsia="Arial" w:cs="Arial"/>
                <w:sz w:val="18"/>
                <w:szCs w:val="18"/>
              </w:rPr>
              <w:t>Primary KPI. Deviations &gt;20% indicate structural user mix shift or model failure.</w:t>
            </w:r>
          </w:p>
        </w:tc>
      </w:tr>
      <w:tr w14:paraId="0BC1F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607D9C80">
            <w:r>
              <w:rPr>
                <w:rFonts w:ascii="Arial" w:hAnsi="Arial" w:eastAsia="Arial" w:cs="Arial"/>
                <w:sz w:val="18"/>
                <w:szCs w:val="18"/>
              </w:rPr>
              <w:t>Basket Value Deviation</w:t>
            </w:r>
          </w:p>
        </w:tc>
        <w:tc>
          <w:tcPr>
            <w:tcW w:w="16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4AD29B1A">
            <w:r>
              <w:rPr>
                <w:rFonts w:ascii="Arial" w:hAnsi="Arial" w:eastAsia="Arial" w:cs="Arial"/>
                <w:sz w:val="18"/>
                <w:szCs w:val="18"/>
              </w:rPr>
              <w:t>Train Mean</w:t>
            </w:r>
          </w:p>
        </w:tc>
        <w:tc>
          <w:tcPr>
            <w:tcW w:w="16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77FD5CC9">
            <w:r>
              <w:rPr>
                <w:rFonts w:ascii="Arial" w:hAnsi="Arial" w:eastAsia="Arial" w:cs="Arial"/>
                <w:sz w:val="18"/>
                <w:szCs w:val="18"/>
              </w:rPr>
              <w:t>Val Mean</w:t>
            </w:r>
          </w:p>
        </w:tc>
        <w:tc>
          <w:tcPr>
            <w:tcW w:w="116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32EC6166">
            <w:r>
              <w:rPr>
                <w:rFonts w:ascii="Arial" w:hAnsi="Arial" w:eastAsia="Arial" w:cs="Arial"/>
                <w:sz w:val="18"/>
                <w:szCs w:val="18"/>
              </w:rPr>
              <w:t>&lt; 10%</w:t>
            </w:r>
          </w:p>
        </w:tc>
        <w:tc>
          <w:tcPr>
            <w:tcW w:w="22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61199EAC">
            <w:r>
              <w:rPr>
                <w:rFonts w:ascii="Arial" w:hAnsi="Arial" w:eastAsia="Arial" w:cs="Arial"/>
                <w:sz w:val="18"/>
                <w:szCs w:val="18"/>
              </w:rPr>
              <w:t>Basket is the most stable metric; high drift signals category mix change.</w:t>
            </w:r>
          </w:p>
        </w:tc>
      </w:tr>
      <w:tr w14:paraId="4A9B5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DC3C7" w:sz="4" w:space="0"/>
              <w:left w:val="single" w:color="BDC3C7" w:sz="4" w:space="0"/>
              <w:bottom w:val="single" w:color="BDC3C7" w:sz="4" w:space="0"/>
              <w:right w:val="single" w:color="BDC3C7" w:sz="4" w:space="0"/>
            </w:tcBorders>
            <w:shd w:val="clear" w:color="auto" w:fill="F4F6F7"/>
            <w:tcMar>
              <w:top w:w="80" w:type="dxa"/>
              <w:left w:w="120" w:type="dxa"/>
              <w:bottom w:w="80" w:type="dxa"/>
              <w:right w:w="120" w:type="dxa"/>
            </w:tcMar>
          </w:tcPr>
          <w:p w14:paraId="009CDD71">
            <w:r>
              <w:rPr>
                <w:rFonts w:ascii="Arial" w:hAnsi="Arial" w:eastAsia="Arial" w:cs="Arial"/>
                <w:sz w:val="18"/>
                <w:szCs w:val="18"/>
              </w:rPr>
              <w:t>Repeat Purchase Rate Deviation</w:t>
            </w:r>
          </w:p>
        </w:tc>
        <w:tc>
          <w:tcPr>
            <w:tcW w:w="1600" w:type="dxa"/>
            <w:tcBorders>
              <w:top w:val="single" w:color="BDC3C7" w:sz="4" w:space="0"/>
              <w:left w:val="single" w:color="BDC3C7" w:sz="4" w:space="0"/>
              <w:bottom w:val="single" w:color="BDC3C7" w:sz="4" w:space="0"/>
              <w:right w:val="single" w:color="BDC3C7" w:sz="4" w:space="0"/>
            </w:tcBorders>
            <w:shd w:val="clear" w:color="auto" w:fill="F4F6F7"/>
            <w:tcMar>
              <w:top w:w="80" w:type="dxa"/>
              <w:left w:w="120" w:type="dxa"/>
              <w:bottom w:w="80" w:type="dxa"/>
              <w:right w:w="120" w:type="dxa"/>
            </w:tcMar>
          </w:tcPr>
          <w:p w14:paraId="5CD06AF0">
            <w:r>
              <w:rPr>
                <w:rFonts w:ascii="Arial" w:hAnsi="Arial" w:eastAsia="Arial" w:cs="Arial"/>
                <w:sz w:val="18"/>
                <w:szCs w:val="18"/>
              </w:rPr>
              <w:t>Train Rate</w:t>
            </w:r>
          </w:p>
        </w:tc>
        <w:tc>
          <w:tcPr>
            <w:tcW w:w="1600" w:type="dxa"/>
            <w:tcBorders>
              <w:top w:val="single" w:color="BDC3C7" w:sz="4" w:space="0"/>
              <w:left w:val="single" w:color="BDC3C7" w:sz="4" w:space="0"/>
              <w:bottom w:val="single" w:color="BDC3C7" w:sz="4" w:space="0"/>
              <w:right w:val="single" w:color="BDC3C7" w:sz="4" w:space="0"/>
            </w:tcBorders>
            <w:shd w:val="clear" w:color="auto" w:fill="F4F6F7"/>
            <w:tcMar>
              <w:top w:w="80" w:type="dxa"/>
              <w:left w:w="120" w:type="dxa"/>
              <w:bottom w:w="80" w:type="dxa"/>
              <w:right w:w="120" w:type="dxa"/>
            </w:tcMar>
          </w:tcPr>
          <w:p w14:paraId="607B3EAA">
            <w:r>
              <w:rPr>
                <w:rFonts w:ascii="Arial" w:hAnsi="Arial" w:eastAsia="Arial" w:cs="Arial"/>
                <w:sz w:val="18"/>
                <w:szCs w:val="18"/>
              </w:rPr>
              <w:t>Val Rate</w:t>
            </w:r>
          </w:p>
        </w:tc>
        <w:tc>
          <w:tcPr>
            <w:tcW w:w="1160" w:type="dxa"/>
            <w:tcBorders>
              <w:top w:val="single" w:color="BDC3C7" w:sz="4" w:space="0"/>
              <w:left w:val="single" w:color="BDC3C7" w:sz="4" w:space="0"/>
              <w:bottom w:val="single" w:color="BDC3C7" w:sz="4" w:space="0"/>
              <w:right w:val="single" w:color="BDC3C7" w:sz="4" w:space="0"/>
            </w:tcBorders>
            <w:shd w:val="clear" w:color="auto" w:fill="F4F6F7"/>
            <w:tcMar>
              <w:top w:w="80" w:type="dxa"/>
              <w:left w:w="120" w:type="dxa"/>
              <w:bottom w:w="80" w:type="dxa"/>
              <w:right w:w="120" w:type="dxa"/>
            </w:tcMar>
          </w:tcPr>
          <w:p w14:paraId="32670C5E">
            <w:r>
              <w:rPr>
                <w:rFonts w:ascii="Arial" w:hAnsi="Arial" w:eastAsia="Arial" w:cs="Arial"/>
                <w:sz w:val="18"/>
                <w:szCs w:val="18"/>
              </w:rPr>
              <w:t>&lt; 15pp</w:t>
            </w:r>
          </w:p>
        </w:tc>
        <w:tc>
          <w:tcPr>
            <w:tcW w:w="2200" w:type="dxa"/>
            <w:tcBorders>
              <w:top w:val="single" w:color="BDC3C7" w:sz="4" w:space="0"/>
              <w:left w:val="single" w:color="BDC3C7" w:sz="4" w:space="0"/>
              <w:bottom w:val="single" w:color="BDC3C7" w:sz="4" w:space="0"/>
              <w:right w:val="single" w:color="BDC3C7" w:sz="4" w:space="0"/>
            </w:tcBorders>
            <w:shd w:val="clear" w:color="auto" w:fill="F4F6F7"/>
            <w:tcMar>
              <w:top w:w="80" w:type="dxa"/>
              <w:left w:w="120" w:type="dxa"/>
              <w:bottom w:w="80" w:type="dxa"/>
              <w:right w:w="120" w:type="dxa"/>
            </w:tcMar>
          </w:tcPr>
          <w:p w14:paraId="030701D3">
            <w:r>
              <w:rPr>
                <w:rFonts w:ascii="Arial" w:hAnsi="Arial" w:eastAsia="Arial" w:cs="Arial"/>
                <w:sz w:val="18"/>
                <w:szCs w:val="18"/>
              </w:rPr>
              <w:t>Frequency is structurally lower in shorter time windows — bounded tolerance applied.</w:t>
            </w:r>
          </w:p>
        </w:tc>
      </w:tr>
      <w:tr w14:paraId="3594E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29F34C10">
            <w:r>
              <w:rPr>
                <w:rFonts w:ascii="Arial" w:hAnsi="Arial" w:eastAsia="Arial" w:cs="Arial"/>
                <w:sz w:val="18"/>
                <w:szCs w:val="18"/>
              </w:rPr>
              <w:t>Return Rate Deviation</w:t>
            </w:r>
          </w:p>
        </w:tc>
        <w:tc>
          <w:tcPr>
            <w:tcW w:w="16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7D01F4D9">
            <w:r>
              <w:rPr>
                <w:rFonts w:ascii="Arial" w:hAnsi="Arial" w:eastAsia="Arial" w:cs="Arial"/>
                <w:sz w:val="18"/>
                <w:szCs w:val="18"/>
              </w:rPr>
              <w:t>Train Rate</w:t>
            </w:r>
          </w:p>
        </w:tc>
        <w:tc>
          <w:tcPr>
            <w:tcW w:w="16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48FE0C4C">
            <w:r>
              <w:rPr>
                <w:rFonts w:ascii="Arial" w:hAnsi="Arial" w:eastAsia="Arial" w:cs="Arial"/>
                <w:sz w:val="18"/>
                <w:szCs w:val="18"/>
              </w:rPr>
              <w:t>Val Rate</w:t>
            </w:r>
          </w:p>
        </w:tc>
        <w:tc>
          <w:tcPr>
            <w:tcW w:w="116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63DD826A">
            <w:r>
              <w:rPr>
                <w:rFonts w:ascii="Arial" w:hAnsi="Arial" w:eastAsia="Arial" w:cs="Arial"/>
                <w:sz w:val="18"/>
                <w:szCs w:val="18"/>
              </w:rPr>
              <w:t>&lt; 2pp</w:t>
            </w:r>
          </w:p>
        </w:tc>
        <w:tc>
          <w:tcPr>
            <w:tcW w:w="22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7AA68E1E">
            <w:r>
              <w:rPr>
                <w:rFonts w:ascii="Arial" w:hAnsi="Arial" w:eastAsia="Arial" w:cs="Arial"/>
                <w:sz w:val="18"/>
                <w:szCs w:val="18"/>
              </w:rPr>
              <w:t xml:space="preserve">Return rate is operationally controlled; large shifts may signal </w:t>
            </w:r>
            <w:r>
              <w:rPr>
                <w:rFonts w:cs="Arial"/>
                <w:sz w:val="18"/>
                <w:szCs w:val="18"/>
                <w:lang w:val="en-US"/>
              </w:rPr>
              <w:t>fulfillment</w:t>
            </w:r>
            <w:r>
              <w:rPr>
                <w:rFonts w:ascii="Arial" w:hAnsi="Arial" w:eastAsia="Arial" w:cs="Arial"/>
                <w:sz w:val="18"/>
                <w:szCs w:val="18"/>
              </w:rPr>
              <w:t xml:space="preserve"> issues.</w:t>
            </w:r>
          </w:p>
        </w:tc>
      </w:tr>
      <w:tr w14:paraId="25FC0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DC3C7" w:sz="4" w:space="0"/>
              <w:left w:val="single" w:color="BDC3C7" w:sz="4" w:space="0"/>
              <w:bottom w:val="single" w:color="BDC3C7" w:sz="4" w:space="0"/>
              <w:right w:val="single" w:color="BDC3C7" w:sz="4" w:space="0"/>
            </w:tcBorders>
            <w:shd w:val="clear" w:color="auto" w:fill="F4F6F7"/>
            <w:tcMar>
              <w:top w:w="80" w:type="dxa"/>
              <w:left w:w="120" w:type="dxa"/>
              <w:bottom w:w="80" w:type="dxa"/>
              <w:right w:w="120" w:type="dxa"/>
            </w:tcMar>
          </w:tcPr>
          <w:p w14:paraId="2629D985">
            <w:r>
              <w:rPr>
                <w:rFonts w:ascii="Arial" w:hAnsi="Arial" w:eastAsia="Arial" w:cs="Arial"/>
                <w:sz w:val="18"/>
                <w:szCs w:val="18"/>
              </w:rPr>
              <w:t>Top-20 SKU Overlap</w:t>
            </w:r>
          </w:p>
        </w:tc>
        <w:tc>
          <w:tcPr>
            <w:tcW w:w="1600" w:type="dxa"/>
            <w:tcBorders>
              <w:top w:val="single" w:color="BDC3C7" w:sz="4" w:space="0"/>
              <w:left w:val="single" w:color="BDC3C7" w:sz="4" w:space="0"/>
              <w:bottom w:val="single" w:color="BDC3C7" w:sz="4" w:space="0"/>
              <w:right w:val="single" w:color="BDC3C7" w:sz="4" w:space="0"/>
            </w:tcBorders>
            <w:shd w:val="clear" w:color="auto" w:fill="F4F6F7"/>
            <w:tcMar>
              <w:top w:w="80" w:type="dxa"/>
              <w:left w:w="120" w:type="dxa"/>
              <w:bottom w:w="80" w:type="dxa"/>
              <w:right w:w="120" w:type="dxa"/>
            </w:tcMar>
          </w:tcPr>
          <w:p w14:paraId="18086653">
            <w:r>
              <w:rPr>
                <w:rFonts w:ascii="Arial" w:hAnsi="Arial" w:eastAsia="Arial" w:cs="Arial"/>
                <w:sz w:val="18"/>
                <w:szCs w:val="18"/>
              </w:rPr>
              <w:t>N/A</w:t>
            </w:r>
          </w:p>
        </w:tc>
        <w:tc>
          <w:tcPr>
            <w:tcW w:w="1600" w:type="dxa"/>
            <w:tcBorders>
              <w:top w:val="single" w:color="BDC3C7" w:sz="4" w:space="0"/>
              <w:left w:val="single" w:color="BDC3C7" w:sz="4" w:space="0"/>
              <w:bottom w:val="single" w:color="BDC3C7" w:sz="4" w:space="0"/>
              <w:right w:val="single" w:color="BDC3C7" w:sz="4" w:space="0"/>
            </w:tcBorders>
            <w:shd w:val="clear" w:color="auto" w:fill="F4F6F7"/>
            <w:tcMar>
              <w:top w:w="80" w:type="dxa"/>
              <w:left w:w="120" w:type="dxa"/>
              <w:bottom w:w="80" w:type="dxa"/>
              <w:right w:w="120" w:type="dxa"/>
            </w:tcMar>
          </w:tcPr>
          <w:p w14:paraId="0D55E35F">
            <w:r>
              <w:rPr>
                <w:rFonts w:ascii="Arial" w:hAnsi="Arial" w:eastAsia="Arial" w:cs="Arial"/>
                <w:sz w:val="18"/>
                <w:szCs w:val="18"/>
              </w:rPr>
              <w:t>Val Overlap</w:t>
            </w:r>
          </w:p>
        </w:tc>
        <w:tc>
          <w:tcPr>
            <w:tcW w:w="1160" w:type="dxa"/>
            <w:tcBorders>
              <w:top w:val="single" w:color="BDC3C7" w:sz="4" w:space="0"/>
              <w:left w:val="single" w:color="BDC3C7" w:sz="4" w:space="0"/>
              <w:bottom w:val="single" w:color="BDC3C7" w:sz="4" w:space="0"/>
              <w:right w:val="single" w:color="BDC3C7" w:sz="4" w:space="0"/>
            </w:tcBorders>
            <w:shd w:val="clear" w:color="auto" w:fill="F4F6F7"/>
            <w:tcMar>
              <w:top w:w="80" w:type="dxa"/>
              <w:left w:w="120" w:type="dxa"/>
              <w:bottom w:w="80" w:type="dxa"/>
              <w:right w:w="120" w:type="dxa"/>
            </w:tcMar>
          </w:tcPr>
          <w:p w14:paraId="54D0ED40">
            <w:r>
              <w:rPr>
                <w:rFonts w:ascii="Arial" w:hAnsi="Arial" w:eastAsia="Arial" w:cs="Arial"/>
                <w:sz w:val="18"/>
                <w:szCs w:val="18"/>
              </w:rPr>
              <w:t>&gt; 60%</w:t>
            </w:r>
          </w:p>
        </w:tc>
        <w:tc>
          <w:tcPr>
            <w:tcW w:w="2200" w:type="dxa"/>
            <w:tcBorders>
              <w:top w:val="single" w:color="BDC3C7" w:sz="4" w:space="0"/>
              <w:left w:val="single" w:color="BDC3C7" w:sz="4" w:space="0"/>
              <w:bottom w:val="single" w:color="BDC3C7" w:sz="4" w:space="0"/>
              <w:right w:val="single" w:color="BDC3C7" w:sz="4" w:space="0"/>
            </w:tcBorders>
            <w:shd w:val="clear" w:color="auto" w:fill="F4F6F7"/>
            <w:tcMar>
              <w:top w:w="80" w:type="dxa"/>
              <w:left w:w="120" w:type="dxa"/>
              <w:bottom w:w="80" w:type="dxa"/>
              <w:right w:w="120" w:type="dxa"/>
            </w:tcMar>
          </w:tcPr>
          <w:p w14:paraId="11058A8F">
            <w:r>
              <w:rPr>
                <w:rFonts w:ascii="Arial" w:hAnsi="Arial" w:eastAsia="Arial" w:cs="Arial"/>
                <w:sz w:val="18"/>
                <w:szCs w:val="18"/>
              </w:rPr>
              <w:t>Tests feature-level continuity. Low overlap implies the model's implicit SKU assumptions break down.</w:t>
            </w:r>
          </w:p>
        </w:tc>
      </w:tr>
      <w:tr w14:paraId="6CD0B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54E5B4A6">
            <w:r>
              <w:rPr>
                <w:rFonts w:ascii="Arial" w:hAnsi="Arial" w:eastAsia="Arial" w:cs="Arial"/>
                <w:sz w:val="18"/>
                <w:szCs w:val="18"/>
              </w:rPr>
              <w:t>Max Category Revenue Drift</w:t>
            </w:r>
          </w:p>
        </w:tc>
        <w:tc>
          <w:tcPr>
            <w:tcW w:w="16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5083024B">
            <w:r>
              <w:rPr>
                <w:rFonts w:ascii="Arial" w:hAnsi="Arial" w:eastAsia="Arial" w:cs="Arial"/>
                <w:sz w:val="18"/>
                <w:szCs w:val="18"/>
              </w:rPr>
              <w:t>N/A</w:t>
            </w:r>
          </w:p>
        </w:tc>
        <w:tc>
          <w:tcPr>
            <w:tcW w:w="16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5C4AEC22">
            <w:r>
              <w:rPr>
                <w:rFonts w:ascii="Arial" w:hAnsi="Arial" w:eastAsia="Arial" w:cs="Arial"/>
                <w:sz w:val="18"/>
                <w:szCs w:val="18"/>
              </w:rPr>
              <w:t>Val Drift</w:t>
            </w:r>
          </w:p>
        </w:tc>
        <w:tc>
          <w:tcPr>
            <w:tcW w:w="116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2C02CBEC">
            <w:r>
              <w:rPr>
                <w:rFonts w:ascii="Arial" w:hAnsi="Arial" w:eastAsia="Arial" w:cs="Arial"/>
                <w:sz w:val="18"/>
                <w:szCs w:val="18"/>
              </w:rPr>
              <w:t>&lt; 3pp</w:t>
            </w:r>
          </w:p>
        </w:tc>
        <w:tc>
          <w:tcPr>
            <w:tcW w:w="22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5CE45BBA">
            <w:r>
              <w:rPr>
                <w:rFonts w:ascii="Arial" w:hAnsi="Arial" w:eastAsia="Arial" w:cs="Arial"/>
                <w:sz w:val="18"/>
                <w:szCs w:val="18"/>
              </w:rPr>
              <w:t>Flags structural category mix shifts that would invalidate category-level ERPU norms.</w:t>
            </w:r>
          </w:p>
        </w:tc>
      </w:tr>
      <w:tr w14:paraId="70EDC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DC3C7" w:sz="4" w:space="0"/>
              <w:left w:val="single" w:color="BDC3C7" w:sz="4" w:space="0"/>
              <w:bottom w:val="single" w:color="BDC3C7" w:sz="4" w:space="0"/>
              <w:right w:val="single" w:color="BDC3C7" w:sz="4" w:space="0"/>
            </w:tcBorders>
            <w:shd w:val="clear" w:color="auto" w:fill="F4F6F7"/>
            <w:tcMar>
              <w:top w:w="80" w:type="dxa"/>
              <w:left w:w="120" w:type="dxa"/>
              <w:bottom w:w="80" w:type="dxa"/>
              <w:right w:w="120" w:type="dxa"/>
            </w:tcMar>
          </w:tcPr>
          <w:p w14:paraId="42ECD6CE">
            <w:r>
              <w:rPr>
                <w:rFonts w:ascii="Arial" w:hAnsi="Arial" w:eastAsia="Arial" w:cs="Arial"/>
                <w:sz w:val="18"/>
                <w:szCs w:val="18"/>
              </w:rPr>
              <w:t>Top-Decile Lift</w:t>
            </w:r>
          </w:p>
        </w:tc>
        <w:tc>
          <w:tcPr>
            <w:tcW w:w="1600" w:type="dxa"/>
            <w:tcBorders>
              <w:top w:val="single" w:color="BDC3C7" w:sz="4" w:space="0"/>
              <w:left w:val="single" w:color="BDC3C7" w:sz="4" w:space="0"/>
              <w:bottom w:val="single" w:color="BDC3C7" w:sz="4" w:space="0"/>
              <w:right w:val="single" w:color="BDC3C7" w:sz="4" w:space="0"/>
            </w:tcBorders>
            <w:shd w:val="clear" w:color="auto" w:fill="F4F6F7"/>
            <w:tcMar>
              <w:top w:w="80" w:type="dxa"/>
              <w:left w:w="120" w:type="dxa"/>
              <w:bottom w:w="80" w:type="dxa"/>
              <w:right w:w="120" w:type="dxa"/>
            </w:tcMar>
          </w:tcPr>
          <w:p w14:paraId="02CFD8F1">
            <w:r>
              <w:rPr>
                <w:rFonts w:ascii="Arial" w:hAnsi="Arial" w:eastAsia="Arial" w:cs="Arial"/>
                <w:sz w:val="18"/>
                <w:szCs w:val="18"/>
              </w:rPr>
              <w:t>N/A</w:t>
            </w:r>
          </w:p>
        </w:tc>
        <w:tc>
          <w:tcPr>
            <w:tcW w:w="1600" w:type="dxa"/>
            <w:tcBorders>
              <w:top w:val="single" w:color="BDC3C7" w:sz="4" w:space="0"/>
              <w:left w:val="single" w:color="BDC3C7" w:sz="4" w:space="0"/>
              <w:bottom w:val="single" w:color="BDC3C7" w:sz="4" w:space="0"/>
              <w:right w:val="single" w:color="BDC3C7" w:sz="4" w:space="0"/>
            </w:tcBorders>
            <w:shd w:val="clear" w:color="auto" w:fill="F4F6F7"/>
            <w:tcMar>
              <w:top w:w="80" w:type="dxa"/>
              <w:left w:w="120" w:type="dxa"/>
              <w:bottom w:w="80" w:type="dxa"/>
              <w:right w:w="120" w:type="dxa"/>
            </w:tcMar>
          </w:tcPr>
          <w:p w14:paraId="15C301A4">
            <w:r>
              <w:rPr>
                <w:rFonts w:ascii="Arial" w:hAnsi="Arial" w:eastAsia="Arial" w:cs="Arial"/>
                <w:sz w:val="18"/>
                <w:szCs w:val="18"/>
              </w:rPr>
              <w:t>Lift X×</w:t>
            </w:r>
          </w:p>
        </w:tc>
        <w:tc>
          <w:tcPr>
            <w:tcW w:w="1160" w:type="dxa"/>
            <w:tcBorders>
              <w:top w:val="single" w:color="BDC3C7" w:sz="4" w:space="0"/>
              <w:left w:val="single" w:color="BDC3C7" w:sz="4" w:space="0"/>
              <w:bottom w:val="single" w:color="BDC3C7" w:sz="4" w:space="0"/>
              <w:right w:val="single" w:color="BDC3C7" w:sz="4" w:space="0"/>
            </w:tcBorders>
            <w:shd w:val="clear" w:color="auto" w:fill="F4F6F7"/>
            <w:tcMar>
              <w:top w:w="80" w:type="dxa"/>
              <w:left w:w="120" w:type="dxa"/>
              <w:bottom w:w="80" w:type="dxa"/>
              <w:right w:w="120" w:type="dxa"/>
            </w:tcMar>
          </w:tcPr>
          <w:p w14:paraId="3D25D531">
            <w:r>
              <w:rPr>
                <w:rFonts w:ascii="Arial" w:hAnsi="Arial" w:eastAsia="Arial" w:cs="Arial"/>
                <w:sz w:val="18"/>
                <w:szCs w:val="18"/>
              </w:rPr>
              <w:t>&gt; 1.5×</w:t>
            </w:r>
          </w:p>
        </w:tc>
        <w:tc>
          <w:tcPr>
            <w:tcW w:w="2200" w:type="dxa"/>
            <w:tcBorders>
              <w:top w:val="single" w:color="BDC3C7" w:sz="4" w:space="0"/>
              <w:left w:val="single" w:color="BDC3C7" w:sz="4" w:space="0"/>
              <w:bottom w:val="single" w:color="BDC3C7" w:sz="4" w:space="0"/>
              <w:right w:val="single" w:color="BDC3C7" w:sz="4" w:space="0"/>
            </w:tcBorders>
            <w:shd w:val="clear" w:color="auto" w:fill="F4F6F7"/>
            <w:tcMar>
              <w:top w:w="80" w:type="dxa"/>
              <w:left w:w="120" w:type="dxa"/>
              <w:bottom w:w="80" w:type="dxa"/>
              <w:right w:w="120" w:type="dxa"/>
            </w:tcMar>
          </w:tcPr>
          <w:p w14:paraId="577C695E">
            <w:r>
              <w:rPr>
                <w:rFonts w:ascii="Arial" w:hAnsi="Arial" w:eastAsia="Arial" w:cs="Arial"/>
                <w:sz w:val="18"/>
                <w:szCs w:val="18"/>
              </w:rPr>
              <w:t>Measures targeting value. Random allocation = 1.0×; model must materially exceed this.</w:t>
            </w:r>
          </w:p>
        </w:tc>
      </w:tr>
      <w:tr w14:paraId="46953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6AC5E5C7">
            <w:r>
              <w:rPr>
                <w:rFonts w:ascii="Arial" w:hAnsi="Arial" w:eastAsia="Arial" w:cs="Arial"/>
                <w:sz w:val="18"/>
                <w:szCs w:val="18"/>
              </w:rPr>
              <w:t>Calibration (Spearman r)</w:t>
            </w:r>
          </w:p>
        </w:tc>
        <w:tc>
          <w:tcPr>
            <w:tcW w:w="16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4B37E507">
            <w:r>
              <w:rPr>
                <w:rFonts w:ascii="Arial" w:hAnsi="Arial" w:eastAsia="Arial" w:cs="Arial"/>
                <w:sz w:val="18"/>
                <w:szCs w:val="18"/>
              </w:rPr>
              <w:t>N/A</w:t>
            </w:r>
          </w:p>
        </w:tc>
        <w:tc>
          <w:tcPr>
            <w:tcW w:w="16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0C88AC87">
            <w:r>
              <w:rPr>
                <w:rFonts w:ascii="Arial" w:hAnsi="Arial" w:eastAsia="Arial" w:cs="Arial"/>
                <w:sz w:val="18"/>
                <w:szCs w:val="18"/>
              </w:rPr>
              <w:t>r = X</w:t>
            </w:r>
          </w:p>
        </w:tc>
        <w:tc>
          <w:tcPr>
            <w:tcW w:w="116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66ED85D5">
            <w:r>
              <w:rPr>
                <w:rFonts w:ascii="Arial" w:hAnsi="Arial" w:eastAsia="Arial" w:cs="Arial"/>
                <w:sz w:val="18"/>
                <w:szCs w:val="18"/>
              </w:rPr>
              <w:t>&gt; 0.30</w:t>
            </w:r>
          </w:p>
        </w:tc>
        <w:tc>
          <w:tcPr>
            <w:tcW w:w="22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6F8FF894">
            <w:r>
              <w:rPr>
                <w:rFonts w:ascii="Arial" w:hAnsi="Arial" w:eastAsia="Arial" w:cs="Arial"/>
                <w:sz w:val="18"/>
                <w:szCs w:val="18"/>
              </w:rPr>
              <w:t>Rank correlation between predicted likelihood score and actual order count. Tests score monotonicity.</w:t>
            </w:r>
          </w:p>
        </w:tc>
      </w:tr>
    </w:tbl>
    <w:p w14:paraId="0054425D">
      <w:pPr>
        <w:spacing w:before="60" w:after="60"/>
      </w:pPr>
    </w:p>
    <w:p w14:paraId="71682B64">
      <w:pPr>
        <w:pStyle w:val="3"/>
        <w:spacing w:before="280" w:after="120"/>
      </w:pPr>
      <w:r>
        <w:rPr>
          <w:rFonts w:ascii="Arial" w:hAnsi="Arial" w:eastAsia="Arial" w:cs="Arial"/>
          <w:b/>
          <w:bCs/>
          <w:color w:val="C0392B"/>
          <w:sz w:val="24"/>
          <w:szCs w:val="24"/>
        </w:rPr>
        <w:t>4.2 Overfitting Diagnosis Framework</w:t>
      </w:r>
    </w:p>
    <w:p w14:paraId="762513F8">
      <w:pPr>
        <w:spacing w:before="60" w:after="60"/>
        <w:jc w:val="both"/>
      </w:pPr>
      <w:r>
        <w:rPr>
          <w:rFonts w:ascii="Arial" w:hAnsi="Arial" w:eastAsia="Arial" w:cs="Arial"/>
          <w:sz w:val="20"/>
          <w:szCs w:val="20"/>
        </w:rPr>
        <w:t>Four diagnostic tests are run beyond the scorecard:</w:t>
      </w:r>
    </w:p>
    <w:p w14:paraId="5AB06C4F">
      <w:pPr>
        <w:pStyle w:val="14"/>
        <w:numPr>
          <w:ilvl w:val="0"/>
          <w:numId w:val="1"/>
        </w:numPr>
        <w:spacing w:before="40" w:after="40"/>
      </w:pPr>
      <w:r>
        <w:rPr>
          <w:rFonts w:ascii="Arial" w:hAnsi="Arial" w:eastAsia="Arial" w:cs="Arial"/>
          <w:sz w:val="20"/>
          <w:szCs w:val="20"/>
        </w:rPr>
        <w:t>Performance drop check: ERPU and basket deviation are compared against thresholds. Material drops (&gt;20% ERPU, &gt;10% basket) trigger an overfitting alert.</w:t>
      </w:r>
    </w:p>
    <w:p w14:paraId="5EBF683D">
      <w:pPr>
        <w:pStyle w:val="14"/>
        <w:numPr>
          <w:ilvl w:val="0"/>
          <w:numId w:val="1"/>
        </w:numPr>
        <w:spacing w:before="40" w:after="40"/>
      </w:pPr>
      <w:r>
        <w:rPr>
          <w:rFonts w:ascii="Arial" w:hAnsi="Arial" w:eastAsia="Arial" w:cs="Arial"/>
          <w:sz w:val="20"/>
          <w:szCs w:val="20"/>
        </w:rPr>
        <w:t>Score stability check: The proportion of new (unseen) users appearing in the top decile is compared against the population proportion. Over-representation of new users indicates score inflation on low-signal profiles.</w:t>
      </w:r>
    </w:p>
    <w:p w14:paraId="4A8065D5">
      <w:pPr>
        <w:pStyle w:val="14"/>
        <w:numPr>
          <w:ilvl w:val="0"/>
          <w:numId w:val="1"/>
        </w:numPr>
        <w:spacing w:before="40" w:after="40"/>
      </w:pPr>
      <w:r>
        <w:rPr>
          <w:rFonts w:ascii="Arial" w:hAnsi="Arial" w:eastAsia="Arial" w:cs="Arial"/>
          <w:sz w:val="20"/>
          <w:szCs w:val="20"/>
        </w:rPr>
        <w:t>Feature dependence check: Top-20 SKU overlap between training and validation is computed. Overlap &lt; 60% flags fragility in implicit SKU-level model assumptions.</w:t>
      </w:r>
    </w:p>
    <w:p w14:paraId="3E397583">
      <w:pPr>
        <w:pStyle w:val="14"/>
        <w:numPr>
          <w:ilvl w:val="0"/>
          <w:numId w:val="1"/>
        </w:numPr>
        <w:spacing w:before="40" w:after="40"/>
      </w:pPr>
      <w:r>
        <w:rPr>
          <w:rFonts w:ascii="Arial" w:hAnsi="Arial" w:eastAsia="Arial" w:cs="Arial"/>
          <w:sz w:val="20"/>
          <w:szCs w:val="20"/>
        </w:rPr>
        <w:t>Concentration risk check: If the top 10% of users accounts for &gt;50% of revenue, this is flagged as structural concentration risk (not a model flaw, but a targeting constraint).</w:t>
      </w:r>
    </w:p>
    <w:p w14:paraId="1C49C91F">
      <w:pPr>
        <w:spacing w:before="60" w:after="60"/>
      </w:pPr>
    </w:p>
    <w:p w14:paraId="33AD8F8F">
      <w:pPr>
        <w:pStyle w:val="3"/>
        <w:spacing w:before="280" w:after="120"/>
      </w:pPr>
      <w:r>
        <w:rPr>
          <w:rFonts w:ascii="Arial" w:hAnsi="Arial" w:eastAsia="Arial" w:cs="Arial"/>
          <w:b/>
          <w:bCs/>
          <w:color w:val="C0392B"/>
          <w:sz w:val="24"/>
          <w:szCs w:val="24"/>
        </w:rPr>
        <w:t>4.3 Calibration Adjustment Protocol</w:t>
      </w:r>
    </w:p>
    <w:p w14:paraId="3A9E13FF">
      <w:pPr>
        <w:spacing w:before="60" w:after="60"/>
        <w:jc w:val="both"/>
      </w:pPr>
      <w:r>
        <w:rPr>
          <w:rFonts w:ascii="Arial" w:hAnsi="Arial" w:eastAsia="Arial" w:cs="Arial"/>
          <w:sz w:val="20"/>
          <w:szCs w:val="20"/>
        </w:rPr>
        <w:t xml:space="preserve">Where the scorecard flags material deviations, two calibration adjustments are applied: (a) segment-level ERPU </w:t>
      </w:r>
      <w:r>
        <w:rPr>
          <w:rFonts w:cs="Arial"/>
          <w:sz w:val="20"/>
          <w:szCs w:val="20"/>
          <w:lang w:val="en-US"/>
        </w:rPr>
        <w:t>bench-marking</w:t>
      </w:r>
      <w:r>
        <w:rPr>
          <w:rFonts w:ascii="Arial" w:hAnsi="Arial" w:eastAsia="Arial" w:cs="Arial"/>
          <w:sz w:val="20"/>
          <w:szCs w:val="20"/>
        </w:rPr>
        <w:t xml:space="preserve">, which replaces the aggregate ERPU with segment-specific baselines to isolate user mix effects from true model error; and (b) Platt scaling on likelihood scores, which shifts the score distribution to be centred on the validation base rate rather than the training base rate. These adjustments are documented as </w:t>
      </w:r>
      <w:r>
        <w:rPr>
          <w:rFonts w:cs="Arial"/>
          <w:sz w:val="20"/>
          <w:szCs w:val="20"/>
          <w:lang w:val="en-US"/>
        </w:rPr>
        <w:t>generalization</w:t>
      </w:r>
      <w:r>
        <w:rPr>
          <w:rFonts w:ascii="Arial" w:hAnsi="Arial" w:eastAsia="Arial" w:cs="Arial"/>
          <w:sz w:val="20"/>
          <w:szCs w:val="20"/>
        </w:rPr>
        <w:t xml:space="preserve"> corrections, not as post-hoc refits.</w:t>
      </w:r>
    </w:p>
    <w:p w14:paraId="711DB638">
      <w:pPr>
        <w:spacing w:before="0" w:after="0"/>
      </w:pPr>
      <w:r>
        <w:br w:type="page"/>
      </w:r>
    </w:p>
    <w:p w14:paraId="41468011">
      <w:pPr>
        <w:pStyle w:val="2"/>
        <w:spacing w:before="400" w:after="160"/>
      </w:pPr>
      <w:r>
        <w:rPr>
          <w:rFonts w:ascii="Arial" w:hAnsi="Arial" w:eastAsia="Arial" w:cs="Arial"/>
          <w:b/>
          <w:bCs/>
          <w:color w:val="2C3E50"/>
          <w:sz w:val="28"/>
          <w:szCs w:val="28"/>
        </w:rPr>
        <w:t>5. Sensitivity Analysis</w:t>
      </w:r>
    </w:p>
    <w:p w14:paraId="3FA248D6">
      <w:pPr>
        <w:pBdr>
          <w:bottom w:val="single" w:color="C0392B" w:sz="10" w:space="1"/>
        </w:pBdr>
        <w:spacing w:before="0" w:after="80"/>
      </w:pPr>
    </w:p>
    <w:p w14:paraId="79C15B2F">
      <w:pPr>
        <w:spacing w:before="60" w:after="60"/>
        <w:jc w:val="both"/>
      </w:pPr>
      <w:r>
        <w:rPr>
          <w:rFonts w:ascii="Arial" w:hAnsi="Arial" w:eastAsia="Arial" w:cs="Arial"/>
          <w:sz w:val="20"/>
          <w:szCs w:val="20"/>
        </w:rPr>
        <w:t>Sensitivity analysis assesses how model outputs change under parameter perturbations, distributional shifts, and scenario boundary conditions. Three classes of sensitivity are evaluated.</w:t>
      </w:r>
    </w:p>
    <w:p w14:paraId="2383CB00">
      <w:pPr>
        <w:spacing w:before="60" w:after="60"/>
      </w:pPr>
    </w:p>
    <w:p w14:paraId="0ACC5FC2">
      <w:pPr>
        <w:pStyle w:val="3"/>
        <w:spacing w:before="280" w:after="120"/>
      </w:pPr>
      <w:r>
        <w:rPr>
          <w:rFonts w:ascii="Arial" w:hAnsi="Arial" w:eastAsia="Arial" w:cs="Arial"/>
          <w:b/>
          <w:bCs/>
          <w:color w:val="C0392B"/>
          <w:sz w:val="24"/>
          <w:szCs w:val="24"/>
        </w:rPr>
        <w:t>5.1 Outlier Treatment Sensitivity</w:t>
      </w:r>
    </w:p>
    <w:p w14:paraId="5441E758">
      <w:pPr>
        <w:spacing w:before="60" w:after="60"/>
        <w:jc w:val="both"/>
      </w:pPr>
      <w:r>
        <w:rPr>
          <w:rFonts w:ascii="Arial" w:hAnsi="Arial" w:eastAsia="Arial" w:cs="Arial"/>
          <w:sz w:val="20"/>
          <w:szCs w:val="20"/>
        </w:rPr>
        <w:t xml:space="preserve">The primary outlier parameter is the IQR multiplier used in </w:t>
      </w:r>
      <w:r>
        <w:rPr>
          <w:rFonts w:hint="default" w:ascii="Arial" w:hAnsi="Arial" w:eastAsia="SimSun" w:cs="Arial"/>
          <w:sz w:val="20"/>
          <w:szCs w:val="20"/>
        </w:rPr>
        <w:t>Winsorization</w:t>
      </w:r>
      <w:r>
        <w:rPr>
          <w:rFonts w:ascii="Arial" w:hAnsi="Arial" w:eastAsia="Arial" w:cs="Arial"/>
          <w:sz w:val="20"/>
          <w:szCs w:val="20"/>
        </w:rPr>
        <w:t xml:space="preserve"> (default: 3.0). The table below illustrates directional sensitivity: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00"/>
        <w:gridCol w:w="2100"/>
        <w:gridCol w:w="2580"/>
        <w:gridCol w:w="2580"/>
      </w:tblGrid>
      <w:tr w14:paraId="47A58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BDC3C7" w:sz="4" w:space="0"/>
              <w:left w:val="single" w:color="BDC3C7" w:sz="4" w:space="0"/>
              <w:bottom w:val="single" w:color="BDC3C7" w:sz="4" w:space="0"/>
              <w:right w:val="single" w:color="BDC3C7" w:sz="4" w:space="0"/>
            </w:tcBorders>
            <w:shd w:val="clear" w:color="auto" w:fill="2C3E50"/>
            <w:tcMar>
              <w:top w:w="80" w:type="dxa"/>
              <w:left w:w="120" w:type="dxa"/>
              <w:bottom w:w="80" w:type="dxa"/>
              <w:right w:w="120" w:type="dxa"/>
            </w:tcMar>
          </w:tcPr>
          <w:p w14:paraId="63CEC04B">
            <w:r>
              <w:rPr>
                <w:rFonts w:ascii="Arial" w:hAnsi="Arial" w:eastAsia="Arial" w:cs="Arial"/>
                <w:b/>
                <w:bCs/>
                <w:color w:val="FFFFFF"/>
                <w:sz w:val="18"/>
                <w:szCs w:val="18"/>
              </w:rPr>
              <w:t>IQR Multiplier</w:t>
            </w:r>
          </w:p>
        </w:tc>
        <w:tc>
          <w:tcPr>
            <w:tcW w:w="2100" w:type="dxa"/>
            <w:tcBorders>
              <w:top w:val="single" w:color="BDC3C7" w:sz="4" w:space="0"/>
              <w:left w:val="single" w:color="BDC3C7" w:sz="4" w:space="0"/>
              <w:bottom w:val="single" w:color="BDC3C7" w:sz="4" w:space="0"/>
              <w:right w:val="single" w:color="BDC3C7" w:sz="4" w:space="0"/>
            </w:tcBorders>
            <w:shd w:val="clear" w:color="auto" w:fill="2C3E50"/>
            <w:tcMar>
              <w:top w:w="80" w:type="dxa"/>
              <w:left w:w="120" w:type="dxa"/>
              <w:bottom w:w="80" w:type="dxa"/>
              <w:right w:w="120" w:type="dxa"/>
            </w:tcMar>
          </w:tcPr>
          <w:p w14:paraId="0F8CEAE2">
            <w:r>
              <w:rPr>
                <w:rFonts w:ascii="Arial" w:hAnsi="Arial" w:eastAsia="Arial" w:cs="Arial"/>
                <w:b/>
                <w:bCs/>
                <w:color w:val="FFFFFF"/>
                <w:sz w:val="18"/>
                <w:szCs w:val="18"/>
              </w:rPr>
              <w:t>Outlier Aggressiveness</w:t>
            </w:r>
          </w:p>
        </w:tc>
        <w:tc>
          <w:tcPr>
            <w:tcW w:w="2580" w:type="dxa"/>
            <w:tcBorders>
              <w:top w:val="single" w:color="BDC3C7" w:sz="4" w:space="0"/>
              <w:left w:val="single" w:color="BDC3C7" w:sz="4" w:space="0"/>
              <w:bottom w:val="single" w:color="BDC3C7" w:sz="4" w:space="0"/>
              <w:right w:val="single" w:color="BDC3C7" w:sz="4" w:space="0"/>
            </w:tcBorders>
            <w:shd w:val="clear" w:color="auto" w:fill="2C3E50"/>
            <w:tcMar>
              <w:top w:w="80" w:type="dxa"/>
              <w:left w:w="120" w:type="dxa"/>
              <w:bottom w:w="80" w:type="dxa"/>
              <w:right w:w="120" w:type="dxa"/>
            </w:tcMar>
          </w:tcPr>
          <w:p w14:paraId="01D655BC">
            <w:r>
              <w:rPr>
                <w:rFonts w:ascii="Arial" w:hAnsi="Arial" w:eastAsia="Arial" w:cs="Arial"/>
                <w:b/>
                <w:bCs/>
                <w:color w:val="FFFFFF"/>
                <w:sz w:val="18"/>
                <w:szCs w:val="18"/>
              </w:rPr>
              <w:t>Effect on Avg Basket</w:t>
            </w:r>
          </w:p>
        </w:tc>
        <w:tc>
          <w:tcPr>
            <w:tcW w:w="2580" w:type="dxa"/>
            <w:tcBorders>
              <w:top w:val="single" w:color="BDC3C7" w:sz="4" w:space="0"/>
              <w:left w:val="single" w:color="BDC3C7" w:sz="4" w:space="0"/>
              <w:bottom w:val="single" w:color="BDC3C7" w:sz="4" w:space="0"/>
              <w:right w:val="single" w:color="BDC3C7" w:sz="4" w:space="0"/>
            </w:tcBorders>
            <w:shd w:val="clear" w:color="auto" w:fill="2C3E50"/>
            <w:tcMar>
              <w:top w:w="80" w:type="dxa"/>
              <w:left w:w="120" w:type="dxa"/>
              <w:bottom w:w="80" w:type="dxa"/>
              <w:right w:w="120" w:type="dxa"/>
            </w:tcMar>
          </w:tcPr>
          <w:p w14:paraId="429B40DB">
            <w:r>
              <w:rPr>
                <w:rFonts w:ascii="Arial" w:hAnsi="Arial" w:eastAsia="Arial" w:cs="Arial"/>
                <w:b/>
                <w:bCs/>
                <w:color w:val="FFFFFF"/>
                <w:sz w:val="18"/>
                <w:szCs w:val="18"/>
              </w:rPr>
              <w:t>Effect on ERPU</w:t>
            </w:r>
          </w:p>
        </w:tc>
      </w:tr>
      <w:tr w14:paraId="0A569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BDC3C7" w:sz="4" w:space="0"/>
              <w:left w:val="single" w:color="BDC3C7" w:sz="4" w:space="0"/>
              <w:bottom w:val="single" w:color="BDC3C7" w:sz="4" w:space="0"/>
              <w:right w:val="single" w:color="BDC3C7" w:sz="4" w:space="0"/>
            </w:tcBorders>
            <w:shd w:val="clear" w:color="auto" w:fill="F4F6F7"/>
            <w:tcMar>
              <w:top w:w="80" w:type="dxa"/>
              <w:left w:w="120" w:type="dxa"/>
              <w:bottom w:w="80" w:type="dxa"/>
              <w:right w:w="120" w:type="dxa"/>
            </w:tcMar>
          </w:tcPr>
          <w:p w14:paraId="57E3143E">
            <w:r>
              <w:rPr>
                <w:rFonts w:ascii="Arial" w:hAnsi="Arial" w:eastAsia="Arial" w:cs="Arial"/>
                <w:sz w:val="18"/>
                <w:szCs w:val="18"/>
              </w:rPr>
              <w:t>1.5×</w:t>
            </w:r>
          </w:p>
        </w:tc>
        <w:tc>
          <w:tcPr>
            <w:tcW w:w="2100" w:type="dxa"/>
            <w:tcBorders>
              <w:top w:val="single" w:color="BDC3C7" w:sz="4" w:space="0"/>
              <w:left w:val="single" w:color="BDC3C7" w:sz="4" w:space="0"/>
              <w:bottom w:val="single" w:color="BDC3C7" w:sz="4" w:space="0"/>
              <w:right w:val="single" w:color="BDC3C7" w:sz="4" w:space="0"/>
            </w:tcBorders>
            <w:shd w:val="clear" w:color="auto" w:fill="F4F6F7"/>
            <w:tcMar>
              <w:top w:w="80" w:type="dxa"/>
              <w:left w:w="120" w:type="dxa"/>
              <w:bottom w:w="80" w:type="dxa"/>
              <w:right w:w="120" w:type="dxa"/>
            </w:tcMar>
          </w:tcPr>
          <w:p w14:paraId="71DA1383">
            <w:r>
              <w:rPr>
                <w:rFonts w:ascii="Arial" w:hAnsi="Arial" w:eastAsia="Arial" w:cs="Arial"/>
                <w:sz w:val="18"/>
                <w:szCs w:val="18"/>
              </w:rPr>
              <w:t>Aggressive cap</w:t>
            </w:r>
          </w:p>
        </w:tc>
        <w:tc>
          <w:tcPr>
            <w:tcW w:w="2580" w:type="dxa"/>
            <w:tcBorders>
              <w:top w:val="single" w:color="BDC3C7" w:sz="4" w:space="0"/>
              <w:left w:val="single" w:color="BDC3C7" w:sz="4" w:space="0"/>
              <w:bottom w:val="single" w:color="BDC3C7" w:sz="4" w:space="0"/>
              <w:right w:val="single" w:color="BDC3C7" w:sz="4" w:space="0"/>
            </w:tcBorders>
            <w:shd w:val="clear" w:color="auto" w:fill="F4F6F7"/>
            <w:tcMar>
              <w:top w:w="80" w:type="dxa"/>
              <w:left w:w="120" w:type="dxa"/>
              <w:bottom w:w="80" w:type="dxa"/>
              <w:right w:w="120" w:type="dxa"/>
            </w:tcMar>
          </w:tcPr>
          <w:p w14:paraId="0C87E2AB">
            <w:r>
              <w:rPr>
                <w:rFonts w:ascii="Arial" w:hAnsi="Arial" w:eastAsia="Arial" w:cs="Arial"/>
                <w:sz w:val="18"/>
                <w:szCs w:val="18"/>
              </w:rPr>
              <w:t>Significantly lower (caps mid-range values)</w:t>
            </w:r>
          </w:p>
        </w:tc>
        <w:tc>
          <w:tcPr>
            <w:tcW w:w="2580" w:type="dxa"/>
            <w:tcBorders>
              <w:top w:val="single" w:color="BDC3C7" w:sz="4" w:space="0"/>
              <w:left w:val="single" w:color="BDC3C7" w:sz="4" w:space="0"/>
              <w:bottom w:val="single" w:color="BDC3C7" w:sz="4" w:space="0"/>
              <w:right w:val="single" w:color="BDC3C7" w:sz="4" w:space="0"/>
            </w:tcBorders>
            <w:shd w:val="clear" w:color="auto" w:fill="F4F6F7"/>
            <w:tcMar>
              <w:top w:w="80" w:type="dxa"/>
              <w:left w:w="120" w:type="dxa"/>
              <w:bottom w:w="80" w:type="dxa"/>
              <w:right w:w="120" w:type="dxa"/>
            </w:tcMar>
          </w:tcPr>
          <w:p w14:paraId="50446929">
            <w:r>
              <w:rPr>
                <w:rFonts w:ascii="Arial" w:hAnsi="Arial" w:eastAsia="Arial" w:cs="Arial"/>
                <w:sz w:val="18"/>
                <w:szCs w:val="18"/>
              </w:rPr>
              <w:t>Lower — suppresses high-value users</w:t>
            </w:r>
          </w:p>
        </w:tc>
      </w:tr>
      <w:tr w14:paraId="30942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7534090D">
            <w:r>
              <w:rPr>
                <w:rFonts w:ascii="Arial" w:hAnsi="Arial" w:eastAsia="Arial" w:cs="Arial"/>
                <w:sz w:val="18"/>
                <w:szCs w:val="18"/>
              </w:rPr>
              <w:t>3.0× (default)</w:t>
            </w:r>
          </w:p>
        </w:tc>
        <w:tc>
          <w:tcPr>
            <w:tcW w:w="21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2D5ADD7B">
            <w:r>
              <w:rPr>
                <w:rFonts w:ascii="Arial" w:hAnsi="Arial" w:eastAsia="Arial" w:cs="Arial"/>
                <w:sz w:val="18"/>
                <w:szCs w:val="18"/>
              </w:rPr>
              <w:t>Conservative cap</w:t>
            </w:r>
          </w:p>
        </w:tc>
        <w:tc>
          <w:tcPr>
            <w:tcW w:w="258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51221F6B">
            <w:r>
              <w:rPr>
                <w:rFonts w:ascii="Arial" w:hAnsi="Arial" w:eastAsia="Arial" w:cs="Arial"/>
                <w:sz w:val="18"/>
                <w:szCs w:val="18"/>
              </w:rPr>
              <w:t>Near-unaffected for most users</w:t>
            </w:r>
          </w:p>
        </w:tc>
        <w:tc>
          <w:tcPr>
            <w:tcW w:w="258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3FEC028A">
            <w:r>
              <w:rPr>
                <w:rFonts w:ascii="Arial" w:hAnsi="Arial" w:eastAsia="Arial" w:cs="Arial"/>
                <w:sz w:val="18"/>
                <w:szCs w:val="18"/>
              </w:rPr>
              <w:t>Stable — only true extremes capped</w:t>
            </w:r>
          </w:p>
        </w:tc>
      </w:tr>
      <w:tr w14:paraId="3772A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BDC3C7" w:sz="4" w:space="0"/>
              <w:left w:val="single" w:color="BDC3C7" w:sz="4" w:space="0"/>
              <w:bottom w:val="single" w:color="BDC3C7" w:sz="4" w:space="0"/>
              <w:right w:val="single" w:color="BDC3C7" w:sz="4" w:space="0"/>
            </w:tcBorders>
            <w:shd w:val="clear" w:color="auto" w:fill="F4F6F7"/>
            <w:tcMar>
              <w:top w:w="80" w:type="dxa"/>
              <w:left w:w="120" w:type="dxa"/>
              <w:bottom w:w="80" w:type="dxa"/>
              <w:right w:w="120" w:type="dxa"/>
            </w:tcMar>
          </w:tcPr>
          <w:p w14:paraId="54C60B0C">
            <w:r>
              <w:rPr>
                <w:rFonts w:ascii="Arial" w:hAnsi="Arial" w:eastAsia="Arial" w:cs="Arial"/>
                <w:sz w:val="18"/>
                <w:szCs w:val="18"/>
              </w:rPr>
              <w:t>5.0×</w:t>
            </w:r>
          </w:p>
        </w:tc>
        <w:tc>
          <w:tcPr>
            <w:tcW w:w="2100" w:type="dxa"/>
            <w:tcBorders>
              <w:top w:val="single" w:color="BDC3C7" w:sz="4" w:space="0"/>
              <w:left w:val="single" w:color="BDC3C7" w:sz="4" w:space="0"/>
              <w:bottom w:val="single" w:color="BDC3C7" w:sz="4" w:space="0"/>
              <w:right w:val="single" w:color="BDC3C7" w:sz="4" w:space="0"/>
            </w:tcBorders>
            <w:shd w:val="clear" w:color="auto" w:fill="F4F6F7"/>
            <w:tcMar>
              <w:top w:w="80" w:type="dxa"/>
              <w:left w:w="120" w:type="dxa"/>
              <w:bottom w:w="80" w:type="dxa"/>
              <w:right w:w="120" w:type="dxa"/>
            </w:tcMar>
          </w:tcPr>
          <w:p w14:paraId="2715AEAE">
            <w:r>
              <w:rPr>
                <w:rFonts w:ascii="Arial" w:hAnsi="Arial" w:eastAsia="Arial" w:cs="Arial"/>
                <w:sz w:val="18"/>
                <w:szCs w:val="18"/>
              </w:rPr>
              <w:t>Minimal cap</w:t>
            </w:r>
          </w:p>
        </w:tc>
        <w:tc>
          <w:tcPr>
            <w:tcW w:w="2580" w:type="dxa"/>
            <w:tcBorders>
              <w:top w:val="single" w:color="BDC3C7" w:sz="4" w:space="0"/>
              <w:left w:val="single" w:color="BDC3C7" w:sz="4" w:space="0"/>
              <w:bottom w:val="single" w:color="BDC3C7" w:sz="4" w:space="0"/>
              <w:right w:val="single" w:color="BDC3C7" w:sz="4" w:space="0"/>
            </w:tcBorders>
            <w:shd w:val="clear" w:color="auto" w:fill="F4F6F7"/>
            <w:tcMar>
              <w:top w:w="80" w:type="dxa"/>
              <w:left w:w="120" w:type="dxa"/>
              <w:bottom w:w="80" w:type="dxa"/>
              <w:right w:w="120" w:type="dxa"/>
            </w:tcMar>
          </w:tcPr>
          <w:p w14:paraId="1D77C518">
            <w:r>
              <w:rPr>
                <w:rFonts w:ascii="Arial" w:hAnsi="Arial" w:eastAsia="Arial" w:cs="Arial"/>
                <w:sz w:val="18"/>
                <w:szCs w:val="18"/>
              </w:rPr>
              <w:t>Near-identical to uncapped</w:t>
            </w:r>
          </w:p>
        </w:tc>
        <w:tc>
          <w:tcPr>
            <w:tcW w:w="2580" w:type="dxa"/>
            <w:tcBorders>
              <w:top w:val="single" w:color="BDC3C7" w:sz="4" w:space="0"/>
              <w:left w:val="single" w:color="BDC3C7" w:sz="4" w:space="0"/>
              <w:bottom w:val="single" w:color="BDC3C7" w:sz="4" w:space="0"/>
              <w:right w:val="single" w:color="BDC3C7" w:sz="4" w:space="0"/>
            </w:tcBorders>
            <w:shd w:val="clear" w:color="auto" w:fill="F4F6F7"/>
            <w:tcMar>
              <w:top w:w="80" w:type="dxa"/>
              <w:left w:w="120" w:type="dxa"/>
              <w:bottom w:w="80" w:type="dxa"/>
              <w:right w:w="120" w:type="dxa"/>
            </w:tcMar>
          </w:tcPr>
          <w:p w14:paraId="2735A888">
            <w:r>
              <w:rPr>
                <w:rFonts w:ascii="Arial" w:hAnsi="Arial" w:eastAsia="Arial" w:cs="Arial"/>
                <w:sz w:val="18"/>
                <w:szCs w:val="18"/>
              </w:rPr>
              <w:t>Sensitive to single large transactions</w:t>
            </w:r>
          </w:p>
        </w:tc>
      </w:tr>
      <w:tr w14:paraId="51E5C0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2DF5F2E6">
            <w:r>
              <w:rPr>
                <w:rFonts w:ascii="Arial" w:hAnsi="Arial" w:eastAsia="Arial" w:cs="Arial"/>
                <w:sz w:val="18"/>
                <w:szCs w:val="18"/>
              </w:rPr>
              <w:t>No cap</w:t>
            </w:r>
          </w:p>
        </w:tc>
        <w:tc>
          <w:tcPr>
            <w:tcW w:w="21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12F9BBA0">
            <w:r>
              <w:rPr>
                <w:rFonts w:ascii="Arial" w:hAnsi="Arial" w:eastAsia="Arial" w:cs="Arial"/>
                <w:sz w:val="18"/>
                <w:szCs w:val="18"/>
              </w:rPr>
              <w:t>No treatment</w:t>
            </w:r>
          </w:p>
        </w:tc>
        <w:tc>
          <w:tcPr>
            <w:tcW w:w="258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1D5C3B11">
            <w:r>
              <w:rPr>
                <w:rFonts w:ascii="Arial" w:hAnsi="Arial" w:eastAsia="Arial" w:cs="Arial"/>
                <w:sz w:val="18"/>
                <w:szCs w:val="18"/>
              </w:rPr>
              <w:t>Inflated by extreme events</w:t>
            </w:r>
          </w:p>
        </w:tc>
        <w:tc>
          <w:tcPr>
            <w:tcW w:w="258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5AAC73E0">
            <w:r>
              <w:rPr>
                <w:rFonts w:ascii="Arial" w:hAnsi="Arial" w:eastAsia="Arial" w:cs="Arial"/>
                <w:sz w:val="18"/>
                <w:szCs w:val="18"/>
              </w:rPr>
              <w:t>Potentially unrepresentative</w:t>
            </w:r>
          </w:p>
        </w:tc>
      </w:tr>
    </w:tbl>
    <w:p w14:paraId="449B6381">
      <w:pPr>
        <w:spacing w:before="60" w:after="60"/>
        <w:jc w:val="both"/>
      </w:pPr>
      <w:r>
        <w:rPr>
          <w:rFonts w:ascii="Arial" w:hAnsi="Arial" w:eastAsia="Arial" w:cs="Arial"/>
          <w:sz w:val="20"/>
          <w:szCs w:val="20"/>
        </w:rPr>
        <w:t xml:space="preserve">Rationale for 3×IQR: This is the standard conservative threshold used in retail </w:t>
      </w:r>
      <w:r>
        <w:rPr>
          <w:rFonts w:cs="Arial"/>
          <w:sz w:val="20"/>
          <w:szCs w:val="20"/>
          <w:lang w:val="en-US"/>
        </w:rPr>
        <w:t>analytic</w:t>
      </w:r>
      <w:r>
        <w:rPr>
          <w:rFonts w:ascii="Arial" w:hAnsi="Arial" w:eastAsia="Arial" w:cs="Arial"/>
          <w:sz w:val="20"/>
          <w:szCs w:val="20"/>
        </w:rPr>
        <w:t xml:space="preserve"> to preserve legitimate high-value purchases while eliminating input errors and data artifacts.</w:t>
      </w:r>
    </w:p>
    <w:p w14:paraId="3B138F64">
      <w:pPr>
        <w:spacing w:before="60" w:after="60"/>
      </w:pPr>
    </w:p>
    <w:p w14:paraId="794890E4">
      <w:pPr>
        <w:pStyle w:val="3"/>
        <w:spacing w:before="280" w:after="120"/>
      </w:pPr>
      <w:r>
        <w:rPr>
          <w:rFonts w:ascii="Arial" w:hAnsi="Arial" w:eastAsia="Arial" w:cs="Arial"/>
          <w:b/>
          <w:bCs/>
          <w:color w:val="C0392B"/>
          <w:sz w:val="24"/>
          <w:szCs w:val="24"/>
        </w:rPr>
        <w:t>5.2 RFM Segmentation Sensitivity</w:t>
      </w:r>
    </w:p>
    <w:p w14:paraId="0938AB72">
      <w:pPr>
        <w:spacing w:before="60" w:after="60"/>
        <w:jc w:val="both"/>
      </w:pPr>
      <w:r>
        <w:rPr>
          <w:rFonts w:ascii="Arial" w:hAnsi="Arial" w:eastAsia="Arial" w:cs="Arial"/>
          <w:sz w:val="20"/>
          <w:szCs w:val="20"/>
        </w:rPr>
        <w:t>The RFM framework is sensitive to three design choices:</w:t>
      </w:r>
    </w:p>
    <w:p w14:paraId="22166CF2">
      <w:pPr>
        <w:pStyle w:val="14"/>
        <w:numPr>
          <w:ilvl w:val="0"/>
          <w:numId w:val="1"/>
        </w:numPr>
        <w:spacing w:before="40" w:after="40"/>
      </w:pPr>
      <w:r>
        <w:rPr>
          <w:rFonts w:ascii="Arial" w:hAnsi="Arial" w:eastAsia="Arial" w:cs="Arial"/>
          <w:sz w:val="20"/>
          <w:szCs w:val="20"/>
        </w:rPr>
        <w:t xml:space="preserve">Number of quintile bins: The model uses 5 </w:t>
      </w:r>
      <w:r>
        <w:rPr>
          <w:rFonts w:cs="Arial"/>
          <w:sz w:val="20"/>
          <w:szCs w:val="20"/>
          <w:lang w:val="en-US"/>
        </w:rPr>
        <w:t>quintiles</w:t>
      </w:r>
      <w:r>
        <w:rPr>
          <w:rFonts w:ascii="Arial" w:hAnsi="Arial" w:eastAsia="Arial" w:cs="Arial"/>
          <w:sz w:val="20"/>
          <w:szCs w:val="20"/>
        </w:rPr>
        <w:t xml:space="preserve"> (scores 1–5). Fewer bins (e.g., tertiles) reduce segment granularity; more bins (deciles) increase instability for small user populations.</w:t>
      </w:r>
    </w:p>
    <w:p w14:paraId="0E600093">
      <w:pPr>
        <w:pStyle w:val="14"/>
        <w:numPr>
          <w:ilvl w:val="0"/>
          <w:numId w:val="1"/>
        </w:numPr>
        <w:spacing w:before="40" w:after="40"/>
      </w:pPr>
      <w:r>
        <w:rPr>
          <w:rFonts w:ascii="Arial" w:hAnsi="Arial" w:eastAsia="Arial" w:cs="Arial"/>
          <w:sz w:val="20"/>
          <w:szCs w:val="20"/>
        </w:rPr>
        <w:t>Segment boundary rules: The rule-based segment mapping uses fixed RFM composite thresholds (e.g., Champions require RFM ≥ 13). Shifting this threshold by ±1 would reclassify approximately 8–12% of users at the boundary.</w:t>
      </w:r>
    </w:p>
    <w:p w14:paraId="3F720DB5">
      <w:pPr>
        <w:pStyle w:val="14"/>
        <w:numPr>
          <w:ilvl w:val="0"/>
          <w:numId w:val="1"/>
        </w:numPr>
        <w:spacing w:before="40" w:after="40"/>
      </w:pPr>
      <w:r>
        <w:rPr>
          <w:rFonts w:ascii="Arial" w:hAnsi="Arial" w:eastAsia="Arial" w:cs="Arial"/>
          <w:sz w:val="20"/>
          <w:szCs w:val="20"/>
        </w:rPr>
        <w:t xml:space="preserve">Snapshot date: </w:t>
      </w:r>
      <w:r>
        <w:rPr>
          <w:rFonts w:hint="default" w:ascii="Arial" w:hAnsi="Arial" w:eastAsia="SimSun" w:cs="Arial"/>
          <w:sz w:val="20"/>
          <w:szCs w:val="20"/>
        </w:rPr>
        <w:t>Recency</w:t>
      </w:r>
      <w:r>
        <w:rPr>
          <w:rFonts w:ascii="Arial" w:hAnsi="Arial" w:eastAsia="Arial" w:cs="Arial"/>
          <w:sz w:val="20"/>
          <w:szCs w:val="20"/>
        </w:rPr>
        <w:t xml:space="preserve"> is computed relative to the </w:t>
      </w:r>
      <w:r>
        <w:rPr>
          <w:rFonts w:cs="Arial"/>
          <w:sz w:val="20"/>
          <w:szCs w:val="20"/>
          <w:lang w:val="en-US"/>
        </w:rPr>
        <w:t>dataset</w:t>
      </w:r>
      <w:r>
        <w:rPr>
          <w:rFonts w:ascii="Arial" w:hAnsi="Arial" w:eastAsia="Arial" w:cs="Arial"/>
          <w:sz w:val="20"/>
          <w:szCs w:val="20"/>
        </w:rPr>
        <w:t xml:space="preserve"> maximum date. Using an external reference date (e.g., a campaign launch date) would shift all Recenc</w:t>
      </w:r>
      <w:r>
        <w:rPr>
          <w:rFonts w:hint="default" w:cs="Arial"/>
          <w:sz w:val="20"/>
          <w:szCs w:val="20"/>
          <w:lang w:val="en-US"/>
        </w:rPr>
        <w:t>y</w:t>
      </w:r>
      <w:r>
        <w:rPr>
          <w:rFonts w:ascii="Arial" w:hAnsi="Arial" w:eastAsia="Arial" w:cs="Arial"/>
          <w:sz w:val="20"/>
          <w:szCs w:val="20"/>
        </w:rPr>
        <w:t xml:space="preserve"> scores uniformly but would not alter rank ordering.</w:t>
      </w:r>
    </w:p>
    <w:p w14:paraId="7312DD11">
      <w:pPr>
        <w:spacing w:before="60" w:after="60"/>
      </w:pPr>
    </w:p>
    <w:p w14:paraId="403E3C94">
      <w:pPr>
        <w:pStyle w:val="3"/>
        <w:spacing w:before="280" w:after="120"/>
      </w:pPr>
      <w:r>
        <w:rPr>
          <w:rFonts w:ascii="Arial" w:hAnsi="Arial" w:eastAsia="Arial" w:cs="Arial"/>
          <w:b/>
          <w:bCs/>
          <w:color w:val="C0392B"/>
          <w:sz w:val="24"/>
          <w:szCs w:val="24"/>
        </w:rPr>
        <w:t>5.3 Stage 3 Lever Uplift Sensitivity</w:t>
      </w:r>
    </w:p>
    <w:p w14:paraId="48F85EF7">
      <w:pPr>
        <w:spacing w:before="60" w:after="60"/>
        <w:jc w:val="both"/>
      </w:pPr>
      <w:r>
        <w:rPr>
          <w:rFonts w:ascii="Arial" w:hAnsi="Arial" w:eastAsia="Arial" w:cs="Arial"/>
          <w:sz w:val="20"/>
          <w:szCs w:val="20"/>
        </w:rPr>
        <w:t>The basket growth projections are directly proportional to uplift rate assumptions. The following table shows the ERPU sensitivity to a ±20% change in all uplift rates under the All Levers scenario:</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2200"/>
        <w:gridCol w:w="2200"/>
        <w:gridCol w:w="2160"/>
      </w:tblGrid>
      <w:tr w14:paraId="6B90B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DC3C7" w:sz="4" w:space="0"/>
              <w:left w:val="single" w:color="BDC3C7" w:sz="4" w:space="0"/>
              <w:bottom w:val="single" w:color="BDC3C7" w:sz="4" w:space="0"/>
              <w:right w:val="single" w:color="BDC3C7" w:sz="4" w:space="0"/>
            </w:tcBorders>
            <w:shd w:val="clear" w:color="auto" w:fill="2C3E50"/>
            <w:tcMar>
              <w:top w:w="80" w:type="dxa"/>
              <w:left w:w="120" w:type="dxa"/>
              <w:bottom w:w="80" w:type="dxa"/>
              <w:right w:w="120" w:type="dxa"/>
            </w:tcMar>
          </w:tcPr>
          <w:p w14:paraId="4E86596C">
            <w:r>
              <w:rPr>
                <w:rFonts w:ascii="Arial" w:hAnsi="Arial" w:eastAsia="Arial" w:cs="Arial"/>
                <w:b/>
                <w:bCs/>
                <w:color w:val="FFFFFF"/>
                <w:sz w:val="18"/>
                <w:szCs w:val="18"/>
              </w:rPr>
              <w:t>Scenario</w:t>
            </w:r>
          </w:p>
        </w:tc>
        <w:tc>
          <w:tcPr>
            <w:tcW w:w="2200" w:type="dxa"/>
            <w:tcBorders>
              <w:top w:val="single" w:color="BDC3C7" w:sz="4" w:space="0"/>
              <w:left w:val="single" w:color="BDC3C7" w:sz="4" w:space="0"/>
              <w:bottom w:val="single" w:color="BDC3C7" w:sz="4" w:space="0"/>
              <w:right w:val="single" w:color="BDC3C7" w:sz="4" w:space="0"/>
            </w:tcBorders>
            <w:shd w:val="clear" w:color="auto" w:fill="2C3E50"/>
            <w:tcMar>
              <w:top w:w="80" w:type="dxa"/>
              <w:left w:w="120" w:type="dxa"/>
              <w:bottom w:w="80" w:type="dxa"/>
              <w:right w:w="120" w:type="dxa"/>
            </w:tcMar>
          </w:tcPr>
          <w:p w14:paraId="23C2E503">
            <w:r>
              <w:rPr>
                <w:rFonts w:ascii="Arial" w:hAnsi="Arial" w:eastAsia="Arial" w:cs="Arial"/>
                <w:b/>
                <w:bCs/>
                <w:color w:val="FFFFFF"/>
                <w:sz w:val="18"/>
                <w:szCs w:val="18"/>
              </w:rPr>
              <w:t>Uplift Assumption</w:t>
            </w:r>
          </w:p>
        </w:tc>
        <w:tc>
          <w:tcPr>
            <w:tcW w:w="2200" w:type="dxa"/>
            <w:tcBorders>
              <w:top w:val="single" w:color="BDC3C7" w:sz="4" w:space="0"/>
              <w:left w:val="single" w:color="BDC3C7" w:sz="4" w:space="0"/>
              <w:bottom w:val="single" w:color="BDC3C7" w:sz="4" w:space="0"/>
              <w:right w:val="single" w:color="BDC3C7" w:sz="4" w:space="0"/>
            </w:tcBorders>
            <w:shd w:val="clear" w:color="auto" w:fill="2C3E50"/>
            <w:tcMar>
              <w:top w:w="80" w:type="dxa"/>
              <w:left w:w="120" w:type="dxa"/>
              <w:bottom w:w="80" w:type="dxa"/>
              <w:right w:w="120" w:type="dxa"/>
            </w:tcMar>
          </w:tcPr>
          <w:p w14:paraId="76E260EB">
            <w:r>
              <w:rPr>
                <w:rFonts w:ascii="Arial" w:hAnsi="Arial" w:eastAsia="Arial" w:cs="Arial"/>
                <w:b/>
                <w:bCs/>
                <w:color w:val="FFFFFF"/>
                <w:sz w:val="18"/>
                <w:szCs w:val="18"/>
              </w:rPr>
              <w:t>Expected ERPU Change</w:t>
            </w:r>
          </w:p>
        </w:tc>
        <w:tc>
          <w:tcPr>
            <w:tcW w:w="2160" w:type="dxa"/>
            <w:tcBorders>
              <w:top w:val="single" w:color="BDC3C7" w:sz="4" w:space="0"/>
              <w:left w:val="single" w:color="BDC3C7" w:sz="4" w:space="0"/>
              <w:bottom w:val="single" w:color="BDC3C7" w:sz="4" w:space="0"/>
              <w:right w:val="single" w:color="BDC3C7" w:sz="4" w:space="0"/>
            </w:tcBorders>
            <w:shd w:val="clear" w:color="auto" w:fill="2C3E50"/>
            <w:tcMar>
              <w:top w:w="80" w:type="dxa"/>
              <w:left w:w="120" w:type="dxa"/>
              <w:bottom w:w="80" w:type="dxa"/>
              <w:right w:w="120" w:type="dxa"/>
            </w:tcMar>
          </w:tcPr>
          <w:p w14:paraId="361D0350">
            <w:r>
              <w:rPr>
                <w:rFonts w:ascii="Arial" w:hAnsi="Arial" w:eastAsia="Arial" w:cs="Arial"/>
                <w:b/>
                <w:bCs/>
                <w:color w:val="FFFFFF"/>
                <w:sz w:val="18"/>
                <w:szCs w:val="18"/>
              </w:rPr>
              <w:t>Sensitivity</w:t>
            </w:r>
          </w:p>
        </w:tc>
      </w:tr>
      <w:tr w14:paraId="3A942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DC3C7" w:sz="4" w:space="0"/>
              <w:left w:val="single" w:color="BDC3C7" w:sz="4" w:space="0"/>
              <w:bottom w:val="single" w:color="BDC3C7" w:sz="4" w:space="0"/>
              <w:right w:val="single" w:color="BDC3C7" w:sz="4" w:space="0"/>
            </w:tcBorders>
            <w:shd w:val="clear" w:color="auto" w:fill="F4F6F7"/>
            <w:tcMar>
              <w:top w:w="80" w:type="dxa"/>
              <w:left w:w="120" w:type="dxa"/>
              <w:bottom w:w="80" w:type="dxa"/>
              <w:right w:w="120" w:type="dxa"/>
            </w:tcMar>
          </w:tcPr>
          <w:p w14:paraId="37221B04">
            <w:r>
              <w:rPr>
                <w:rFonts w:ascii="Arial" w:hAnsi="Arial" w:eastAsia="Arial" w:cs="Arial"/>
                <w:sz w:val="18"/>
                <w:szCs w:val="18"/>
              </w:rPr>
              <w:t>All Levers — Base Case</w:t>
            </w:r>
          </w:p>
        </w:tc>
        <w:tc>
          <w:tcPr>
            <w:tcW w:w="2200" w:type="dxa"/>
            <w:tcBorders>
              <w:top w:val="single" w:color="BDC3C7" w:sz="4" w:space="0"/>
              <w:left w:val="single" w:color="BDC3C7" w:sz="4" w:space="0"/>
              <w:bottom w:val="single" w:color="BDC3C7" w:sz="4" w:space="0"/>
              <w:right w:val="single" w:color="BDC3C7" w:sz="4" w:space="0"/>
            </w:tcBorders>
            <w:shd w:val="clear" w:color="auto" w:fill="F4F6F7"/>
            <w:tcMar>
              <w:top w:w="80" w:type="dxa"/>
              <w:left w:w="120" w:type="dxa"/>
              <w:bottom w:w="80" w:type="dxa"/>
              <w:right w:w="120" w:type="dxa"/>
            </w:tcMar>
          </w:tcPr>
          <w:p w14:paraId="4B77E097">
            <w:r>
              <w:rPr>
                <w:rFonts w:ascii="Arial" w:hAnsi="Arial" w:eastAsia="Arial" w:cs="Arial"/>
                <w:sz w:val="18"/>
                <w:szCs w:val="18"/>
              </w:rPr>
              <w:t>As specified per segment</w:t>
            </w:r>
          </w:p>
        </w:tc>
        <w:tc>
          <w:tcPr>
            <w:tcW w:w="2200" w:type="dxa"/>
            <w:tcBorders>
              <w:top w:val="single" w:color="BDC3C7" w:sz="4" w:space="0"/>
              <w:left w:val="single" w:color="BDC3C7" w:sz="4" w:space="0"/>
              <w:bottom w:val="single" w:color="BDC3C7" w:sz="4" w:space="0"/>
              <w:right w:val="single" w:color="BDC3C7" w:sz="4" w:space="0"/>
            </w:tcBorders>
            <w:shd w:val="clear" w:color="auto" w:fill="F4F6F7"/>
            <w:tcMar>
              <w:top w:w="80" w:type="dxa"/>
              <w:left w:w="120" w:type="dxa"/>
              <w:bottom w:w="80" w:type="dxa"/>
              <w:right w:w="120" w:type="dxa"/>
            </w:tcMar>
          </w:tcPr>
          <w:p w14:paraId="7F2F62E9">
            <w:r>
              <w:rPr>
                <w:rFonts w:ascii="Arial" w:hAnsi="Arial" w:eastAsia="Arial" w:cs="Arial"/>
                <w:sz w:val="18"/>
                <w:szCs w:val="18"/>
              </w:rPr>
              <w:t>Full modelled uplift</w:t>
            </w:r>
          </w:p>
        </w:tc>
        <w:tc>
          <w:tcPr>
            <w:tcW w:w="2160" w:type="dxa"/>
            <w:tcBorders>
              <w:top w:val="single" w:color="BDC3C7" w:sz="4" w:space="0"/>
              <w:left w:val="single" w:color="BDC3C7" w:sz="4" w:space="0"/>
              <w:bottom w:val="single" w:color="BDC3C7" w:sz="4" w:space="0"/>
              <w:right w:val="single" w:color="BDC3C7" w:sz="4" w:space="0"/>
            </w:tcBorders>
            <w:shd w:val="clear" w:color="auto" w:fill="F4F6F7"/>
            <w:tcMar>
              <w:top w:w="80" w:type="dxa"/>
              <w:left w:w="120" w:type="dxa"/>
              <w:bottom w:w="80" w:type="dxa"/>
              <w:right w:w="120" w:type="dxa"/>
            </w:tcMar>
          </w:tcPr>
          <w:p w14:paraId="0E03E410">
            <w:r>
              <w:rPr>
                <w:rFonts w:ascii="Arial" w:hAnsi="Arial" w:eastAsia="Arial" w:cs="Arial"/>
                <w:sz w:val="18"/>
                <w:szCs w:val="18"/>
              </w:rPr>
              <w:t>Reference</w:t>
            </w:r>
          </w:p>
        </w:tc>
      </w:tr>
      <w:tr w14:paraId="1EFF3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080D96C1">
            <w:r>
              <w:rPr>
                <w:rFonts w:ascii="Arial" w:hAnsi="Arial" w:eastAsia="Arial" w:cs="Arial"/>
                <w:sz w:val="18"/>
                <w:szCs w:val="18"/>
              </w:rPr>
              <w:t>All Levers — Uplifts ×0.8</w:t>
            </w:r>
          </w:p>
        </w:tc>
        <w:tc>
          <w:tcPr>
            <w:tcW w:w="22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173CBE25">
            <w:r>
              <w:rPr>
                <w:rFonts w:ascii="Arial" w:hAnsi="Arial" w:eastAsia="Arial" w:cs="Arial"/>
                <w:sz w:val="18"/>
                <w:szCs w:val="18"/>
              </w:rPr>
              <w:t>All rates reduced 20%</w:t>
            </w:r>
          </w:p>
        </w:tc>
        <w:tc>
          <w:tcPr>
            <w:tcW w:w="22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71534E77">
            <w:r>
              <w:rPr>
                <w:rFonts w:ascii="Arial" w:hAnsi="Arial" w:eastAsia="Arial" w:cs="Arial"/>
                <w:sz w:val="18"/>
                <w:szCs w:val="18"/>
              </w:rPr>
              <w:t>~80% of base uplift</w:t>
            </w:r>
          </w:p>
        </w:tc>
        <w:tc>
          <w:tcPr>
            <w:tcW w:w="216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6B8B0B97">
            <w:r>
              <w:rPr>
                <w:rFonts w:ascii="Arial" w:hAnsi="Arial" w:eastAsia="Arial" w:cs="Arial"/>
                <w:sz w:val="18"/>
                <w:szCs w:val="18"/>
              </w:rPr>
              <w:t>Low — near-linear scaling</w:t>
            </w:r>
          </w:p>
        </w:tc>
      </w:tr>
      <w:tr w14:paraId="28E37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DC3C7" w:sz="4" w:space="0"/>
              <w:left w:val="single" w:color="BDC3C7" w:sz="4" w:space="0"/>
              <w:bottom w:val="single" w:color="BDC3C7" w:sz="4" w:space="0"/>
              <w:right w:val="single" w:color="BDC3C7" w:sz="4" w:space="0"/>
            </w:tcBorders>
            <w:shd w:val="clear" w:color="auto" w:fill="F4F6F7"/>
            <w:tcMar>
              <w:top w:w="80" w:type="dxa"/>
              <w:left w:w="120" w:type="dxa"/>
              <w:bottom w:w="80" w:type="dxa"/>
              <w:right w:w="120" w:type="dxa"/>
            </w:tcMar>
          </w:tcPr>
          <w:p w14:paraId="617932AD">
            <w:r>
              <w:rPr>
                <w:rFonts w:ascii="Arial" w:hAnsi="Arial" w:eastAsia="Arial" w:cs="Arial"/>
                <w:sz w:val="18"/>
                <w:szCs w:val="18"/>
              </w:rPr>
              <w:t>All Levers — Uplifts ×1.2</w:t>
            </w:r>
          </w:p>
        </w:tc>
        <w:tc>
          <w:tcPr>
            <w:tcW w:w="2200" w:type="dxa"/>
            <w:tcBorders>
              <w:top w:val="single" w:color="BDC3C7" w:sz="4" w:space="0"/>
              <w:left w:val="single" w:color="BDC3C7" w:sz="4" w:space="0"/>
              <w:bottom w:val="single" w:color="BDC3C7" w:sz="4" w:space="0"/>
              <w:right w:val="single" w:color="BDC3C7" w:sz="4" w:space="0"/>
            </w:tcBorders>
            <w:shd w:val="clear" w:color="auto" w:fill="F4F6F7"/>
            <w:tcMar>
              <w:top w:w="80" w:type="dxa"/>
              <w:left w:w="120" w:type="dxa"/>
              <w:bottom w:w="80" w:type="dxa"/>
              <w:right w:w="120" w:type="dxa"/>
            </w:tcMar>
          </w:tcPr>
          <w:p w14:paraId="2EAEE038">
            <w:r>
              <w:rPr>
                <w:rFonts w:ascii="Arial" w:hAnsi="Arial" w:eastAsia="Arial" w:cs="Arial"/>
                <w:sz w:val="18"/>
                <w:szCs w:val="18"/>
              </w:rPr>
              <w:t>All rates increased 20%</w:t>
            </w:r>
          </w:p>
        </w:tc>
        <w:tc>
          <w:tcPr>
            <w:tcW w:w="2200" w:type="dxa"/>
            <w:tcBorders>
              <w:top w:val="single" w:color="BDC3C7" w:sz="4" w:space="0"/>
              <w:left w:val="single" w:color="BDC3C7" w:sz="4" w:space="0"/>
              <w:bottom w:val="single" w:color="BDC3C7" w:sz="4" w:space="0"/>
              <w:right w:val="single" w:color="BDC3C7" w:sz="4" w:space="0"/>
            </w:tcBorders>
            <w:shd w:val="clear" w:color="auto" w:fill="F4F6F7"/>
            <w:tcMar>
              <w:top w:w="80" w:type="dxa"/>
              <w:left w:w="120" w:type="dxa"/>
              <w:bottom w:w="80" w:type="dxa"/>
              <w:right w:w="120" w:type="dxa"/>
            </w:tcMar>
          </w:tcPr>
          <w:p w14:paraId="590E1401">
            <w:r>
              <w:rPr>
                <w:rFonts w:ascii="Arial" w:hAnsi="Arial" w:eastAsia="Arial" w:cs="Arial"/>
                <w:sz w:val="18"/>
                <w:szCs w:val="18"/>
              </w:rPr>
              <w:t>~120% of base uplift</w:t>
            </w:r>
          </w:p>
        </w:tc>
        <w:tc>
          <w:tcPr>
            <w:tcW w:w="2160" w:type="dxa"/>
            <w:tcBorders>
              <w:top w:val="single" w:color="BDC3C7" w:sz="4" w:space="0"/>
              <w:left w:val="single" w:color="BDC3C7" w:sz="4" w:space="0"/>
              <w:bottom w:val="single" w:color="BDC3C7" w:sz="4" w:space="0"/>
              <w:right w:val="single" w:color="BDC3C7" w:sz="4" w:space="0"/>
            </w:tcBorders>
            <w:shd w:val="clear" w:color="auto" w:fill="F4F6F7"/>
            <w:tcMar>
              <w:top w:w="80" w:type="dxa"/>
              <w:left w:w="120" w:type="dxa"/>
              <w:bottom w:w="80" w:type="dxa"/>
              <w:right w:w="120" w:type="dxa"/>
            </w:tcMar>
          </w:tcPr>
          <w:p w14:paraId="5AC16B5D">
            <w:r>
              <w:rPr>
                <w:rFonts w:ascii="Arial" w:hAnsi="Arial" w:eastAsia="Arial" w:cs="Arial"/>
                <w:sz w:val="18"/>
                <w:szCs w:val="18"/>
              </w:rPr>
              <w:t>Low — near-linear scaling</w:t>
            </w:r>
          </w:p>
        </w:tc>
      </w:tr>
      <w:tr w14:paraId="74B2B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0F05E937">
            <w:r>
              <w:rPr>
                <w:rFonts w:ascii="Arial" w:hAnsi="Arial" w:eastAsia="Arial" w:cs="Arial"/>
                <w:sz w:val="18"/>
                <w:szCs w:val="18"/>
              </w:rPr>
              <w:t>Cross-Sell Only — zero uplift</w:t>
            </w:r>
          </w:p>
        </w:tc>
        <w:tc>
          <w:tcPr>
            <w:tcW w:w="22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673084EE">
            <w:r>
              <w:rPr>
                <w:rFonts w:ascii="Arial" w:hAnsi="Arial" w:eastAsia="Arial" w:cs="Arial"/>
                <w:sz w:val="18"/>
                <w:szCs w:val="18"/>
              </w:rPr>
              <w:t>Remove Cross-Sell lever</w:t>
            </w:r>
          </w:p>
        </w:tc>
        <w:tc>
          <w:tcPr>
            <w:tcW w:w="22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19326D43">
            <w:r>
              <w:rPr>
                <w:rFonts w:ascii="Arial" w:hAnsi="Arial" w:eastAsia="Arial" w:cs="Arial"/>
                <w:sz w:val="18"/>
                <w:szCs w:val="18"/>
              </w:rPr>
              <w:t>Proportional reduction</w:t>
            </w:r>
          </w:p>
        </w:tc>
        <w:tc>
          <w:tcPr>
            <w:tcW w:w="216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02CF85B0">
            <w:r>
              <w:rPr>
                <w:rFonts w:ascii="Arial" w:hAnsi="Arial" w:eastAsia="Arial" w:cs="Arial"/>
                <w:sz w:val="18"/>
                <w:szCs w:val="18"/>
              </w:rPr>
              <w:t>Moderate for Potential Loyalists</w:t>
            </w:r>
          </w:p>
        </w:tc>
      </w:tr>
      <w:tr w14:paraId="546E3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DC3C7" w:sz="4" w:space="0"/>
              <w:left w:val="single" w:color="BDC3C7" w:sz="4" w:space="0"/>
              <w:bottom w:val="single" w:color="BDC3C7" w:sz="4" w:space="0"/>
              <w:right w:val="single" w:color="BDC3C7" w:sz="4" w:space="0"/>
            </w:tcBorders>
            <w:shd w:val="clear" w:color="auto" w:fill="F4F6F7"/>
            <w:tcMar>
              <w:top w:w="80" w:type="dxa"/>
              <w:left w:w="120" w:type="dxa"/>
              <w:bottom w:w="80" w:type="dxa"/>
              <w:right w:w="120" w:type="dxa"/>
            </w:tcMar>
          </w:tcPr>
          <w:p w14:paraId="4CF9C36B">
            <w:r>
              <w:rPr>
                <w:rFonts w:ascii="Arial" w:hAnsi="Arial" w:eastAsia="Arial" w:cs="Arial"/>
                <w:sz w:val="18"/>
                <w:szCs w:val="18"/>
              </w:rPr>
              <w:t>Champions exempt</w:t>
            </w:r>
          </w:p>
        </w:tc>
        <w:tc>
          <w:tcPr>
            <w:tcW w:w="2200" w:type="dxa"/>
            <w:tcBorders>
              <w:top w:val="single" w:color="BDC3C7" w:sz="4" w:space="0"/>
              <w:left w:val="single" w:color="BDC3C7" w:sz="4" w:space="0"/>
              <w:bottom w:val="single" w:color="BDC3C7" w:sz="4" w:space="0"/>
              <w:right w:val="single" w:color="BDC3C7" w:sz="4" w:space="0"/>
            </w:tcBorders>
            <w:shd w:val="clear" w:color="auto" w:fill="F4F6F7"/>
            <w:tcMar>
              <w:top w:w="80" w:type="dxa"/>
              <w:left w:w="120" w:type="dxa"/>
              <w:bottom w:w="80" w:type="dxa"/>
              <w:right w:w="120" w:type="dxa"/>
            </w:tcMar>
          </w:tcPr>
          <w:p w14:paraId="0CEE5729">
            <w:r>
              <w:rPr>
                <w:rFonts w:ascii="Arial" w:hAnsi="Arial" w:eastAsia="Arial" w:cs="Arial"/>
                <w:sz w:val="18"/>
                <w:szCs w:val="18"/>
              </w:rPr>
              <w:t>Zero uplift for Champions</w:t>
            </w:r>
          </w:p>
        </w:tc>
        <w:tc>
          <w:tcPr>
            <w:tcW w:w="2200" w:type="dxa"/>
            <w:tcBorders>
              <w:top w:val="single" w:color="BDC3C7" w:sz="4" w:space="0"/>
              <w:left w:val="single" w:color="BDC3C7" w:sz="4" w:space="0"/>
              <w:bottom w:val="single" w:color="BDC3C7" w:sz="4" w:space="0"/>
              <w:right w:val="single" w:color="BDC3C7" w:sz="4" w:space="0"/>
            </w:tcBorders>
            <w:shd w:val="clear" w:color="auto" w:fill="F4F6F7"/>
            <w:tcMar>
              <w:top w:w="80" w:type="dxa"/>
              <w:left w:w="120" w:type="dxa"/>
              <w:bottom w:w="80" w:type="dxa"/>
              <w:right w:w="120" w:type="dxa"/>
            </w:tcMar>
          </w:tcPr>
          <w:p w14:paraId="1FA9145B">
            <w:r>
              <w:rPr>
                <w:rFonts w:ascii="Arial" w:hAnsi="Arial" w:eastAsia="Arial" w:cs="Arial"/>
                <w:sz w:val="18"/>
                <w:szCs w:val="18"/>
              </w:rPr>
              <w:t>Modest reduction (Champions already high ERPU)</w:t>
            </w:r>
          </w:p>
        </w:tc>
        <w:tc>
          <w:tcPr>
            <w:tcW w:w="2160" w:type="dxa"/>
            <w:tcBorders>
              <w:top w:val="single" w:color="BDC3C7" w:sz="4" w:space="0"/>
              <w:left w:val="single" w:color="BDC3C7" w:sz="4" w:space="0"/>
              <w:bottom w:val="single" w:color="BDC3C7" w:sz="4" w:space="0"/>
              <w:right w:val="single" w:color="BDC3C7" w:sz="4" w:space="0"/>
            </w:tcBorders>
            <w:shd w:val="clear" w:color="auto" w:fill="F4F6F7"/>
            <w:tcMar>
              <w:top w:w="80" w:type="dxa"/>
              <w:left w:w="120" w:type="dxa"/>
              <w:bottom w:w="80" w:type="dxa"/>
              <w:right w:w="120" w:type="dxa"/>
            </w:tcMar>
          </w:tcPr>
          <w:p w14:paraId="63C57A51">
            <w:r>
              <w:rPr>
                <w:rFonts w:ascii="Arial" w:hAnsi="Arial" w:eastAsia="Arial" w:cs="Arial"/>
                <w:sz w:val="18"/>
                <w:szCs w:val="18"/>
              </w:rPr>
              <w:t>Low — Champions are volume, not uplift, drivers</w:t>
            </w:r>
          </w:p>
        </w:tc>
      </w:tr>
    </w:tbl>
    <w:p w14:paraId="2A590F8B">
      <w:pPr>
        <w:spacing w:before="60" w:after="60"/>
        <w:jc w:val="both"/>
      </w:pPr>
      <w:r>
        <w:rPr>
          <w:rFonts w:ascii="Arial" w:hAnsi="Arial" w:eastAsia="Arial" w:cs="Arial"/>
          <w:sz w:val="20"/>
          <w:szCs w:val="20"/>
        </w:rPr>
        <w:t>Key finding: The Stage 3 projections are near-linearly sensitive to uplift rate assumptions, as the compounding effect is modest across four levers at the assumed rates (individual lever uplifts of 2–20%). The model is not subject to threshold non-linearity at the base case.</w:t>
      </w:r>
    </w:p>
    <w:p w14:paraId="36329A15">
      <w:pPr>
        <w:spacing w:before="60" w:after="60"/>
      </w:pPr>
    </w:p>
    <w:p w14:paraId="0755854A">
      <w:pPr>
        <w:pStyle w:val="3"/>
        <w:spacing w:before="280" w:after="120"/>
      </w:pPr>
      <w:r>
        <w:rPr>
          <w:rFonts w:ascii="Arial" w:hAnsi="Arial" w:eastAsia="Arial" w:cs="Arial"/>
          <w:b/>
          <w:bCs/>
          <w:color w:val="C0392B"/>
          <w:sz w:val="24"/>
          <w:szCs w:val="24"/>
        </w:rPr>
        <w:t>5.4 Validation Threshold Sensitivity</w:t>
      </w:r>
    </w:p>
    <w:p w14:paraId="0C544EF8">
      <w:pPr>
        <w:spacing w:before="60" w:after="60"/>
        <w:jc w:val="both"/>
      </w:pPr>
      <w:r>
        <w:rPr>
          <w:rFonts w:ascii="Arial" w:hAnsi="Arial" w:eastAsia="Arial" w:cs="Arial"/>
          <w:sz w:val="20"/>
          <w:szCs w:val="20"/>
        </w:rPr>
        <w:t>The eight scorecard thresholds were selected using industry benchmarks for retail customer analytics. The table below shows the threshold sensitivity: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1500"/>
        <w:gridCol w:w="1500"/>
        <w:gridCol w:w="3760"/>
      </w:tblGrid>
      <w:tr w14:paraId="650E5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DC3C7" w:sz="4" w:space="0"/>
              <w:left w:val="single" w:color="BDC3C7" w:sz="4" w:space="0"/>
              <w:bottom w:val="single" w:color="BDC3C7" w:sz="4" w:space="0"/>
              <w:right w:val="single" w:color="BDC3C7" w:sz="4" w:space="0"/>
            </w:tcBorders>
            <w:shd w:val="clear" w:color="auto" w:fill="2C3E50"/>
            <w:tcMar>
              <w:top w:w="80" w:type="dxa"/>
              <w:left w:w="120" w:type="dxa"/>
              <w:bottom w:w="80" w:type="dxa"/>
              <w:right w:w="120" w:type="dxa"/>
            </w:tcMar>
          </w:tcPr>
          <w:p w14:paraId="5FB830F4">
            <w:r>
              <w:rPr>
                <w:rFonts w:ascii="Arial" w:hAnsi="Arial" w:eastAsia="Arial" w:cs="Arial"/>
                <w:b/>
                <w:bCs/>
                <w:color w:val="FFFFFF"/>
                <w:sz w:val="18"/>
                <w:szCs w:val="18"/>
              </w:rPr>
              <w:t>Check</w:t>
            </w:r>
          </w:p>
        </w:tc>
        <w:tc>
          <w:tcPr>
            <w:tcW w:w="1500" w:type="dxa"/>
            <w:tcBorders>
              <w:top w:val="single" w:color="BDC3C7" w:sz="4" w:space="0"/>
              <w:left w:val="single" w:color="BDC3C7" w:sz="4" w:space="0"/>
              <w:bottom w:val="single" w:color="BDC3C7" w:sz="4" w:space="0"/>
              <w:right w:val="single" w:color="BDC3C7" w:sz="4" w:space="0"/>
            </w:tcBorders>
            <w:shd w:val="clear" w:color="auto" w:fill="2C3E50"/>
            <w:tcMar>
              <w:top w:w="80" w:type="dxa"/>
              <w:left w:w="120" w:type="dxa"/>
              <w:bottom w:w="80" w:type="dxa"/>
              <w:right w:w="120" w:type="dxa"/>
            </w:tcMar>
          </w:tcPr>
          <w:p w14:paraId="203678F5">
            <w:r>
              <w:rPr>
                <w:rFonts w:ascii="Arial" w:hAnsi="Arial" w:eastAsia="Arial" w:cs="Arial"/>
                <w:b/>
                <w:bCs/>
                <w:color w:val="FFFFFF"/>
                <w:sz w:val="18"/>
                <w:szCs w:val="18"/>
              </w:rPr>
              <w:t>Default Threshold</w:t>
            </w:r>
          </w:p>
        </w:tc>
        <w:tc>
          <w:tcPr>
            <w:tcW w:w="1500" w:type="dxa"/>
            <w:tcBorders>
              <w:top w:val="single" w:color="BDC3C7" w:sz="4" w:space="0"/>
              <w:left w:val="single" w:color="BDC3C7" w:sz="4" w:space="0"/>
              <w:bottom w:val="single" w:color="BDC3C7" w:sz="4" w:space="0"/>
              <w:right w:val="single" w:color="BDC3C7" w:sz="4" w:space="0"/>
            </w:tcBorders>
            <w:shd w:val="clear" w:color="auto" w:fill="2C3E50"/>
            <w:tcMar>
              <w:top w:w="80" w:type="dxa"/>
              <w:left w:w="120" w:type="dxa"/>
              <w:bottom w:w="80" w:type="dxa"/>
              <w:right w:w="120" w:type="dxa"/>
            </w:tcMar>
          </w:tcPr>
          <w:p w14:paraId="49CCE779">
            <w:r>
              <w:rPr>
                <w:rFonts w:ascii="Arial" w:hAnsi="Arial" w:eastAsia="Arial" w:cs="Arial"/>
                <w:b/>
                <w:bCs/>
                <w:color w:val="FFFFFF"/>
                <w:sz w:val="18"/>
                <w:szCs w:val="18"/>
              </w:rPr>
              <w:t>Conservative</w:t>
            </w:r>
          </w:p>
        </w:tc>
        <w:tc>
          <w:tcPr>
            <w:tcW w:w="3760" w:type="dxa"/>
            <w:tcBorders>
              <w:top w:val="single" w:color="BDC3C7" w:sz="4" w:space="0"/>
              <w:left w:val="single" w:color="BDC3C7" w:sz="4" w:space="0"/>
              <w:bottom w:val="single" w:color="BDC3C7" w:sz="4" w:space="0"/>
              <w:right w:val="single" w:color="BDC3C7" w:sz="4" w:space="0"/>
            </w:tcBorders>
            <w:shd w:val="clear" w:color="auto" w:fill="2C3E50"/>
            <w:tcMar>
              <w:top w:w="80" w:type="dxa"/>
              <w:left w:w="120" w:type="dxa"/>
              <w:bottom w:w="80" w:type="dxa"/>
              <w:right w:w="120" w:type="dxa"/>
            </w:tcMar>
          </w:tcPr>
          <w:p w14:paraId="68A5E002">
            <w:r>
              <w:rPr>
                <w:rFonts w:ascii="Arial" w:hAnsi="Arial" w:eastAsia="Arial" w:cs="Arial"/>
                <w:b/>
                <w:bCs/>
                <w:color w:val="FFFFFF"/>
                <w:sz w:val="18"/>
                <w:szCs w:val="18"/>
              </w:rPr>
              <w:t>Impact of Tightening</w:t>
            </w:r>
          </w:p>
        </w:tc>
      </w:tr>
      <w:tr w14:paraId="4CE2A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DC3C7" w:sz="4" w:space="0"/>
              <w:left w:val="single" w:color="BDC3C7" w:sz="4" w:space="0"/>
              <w:bottom w:val="single" w:color="BDC3C7" w:sz="4" w:space="0"/>
              <w:right w:val="single" w:color="BDC3C7" w:sz="4" w:space="0"/>
            </w:tcBorders>
            <w:shd w:val="clear" w:color="auto" w:fill="F4F6F7"/>
            <w:tcMar>
              <w:top w:w="80" w:type="dxa"/>
              <w:left w:w="120" w:type="dxa"/>
              <w:bottom w:w="80" w:type="dxa"/>
              <w:right w:w="120" w:type="dxa"/>
            </w:tcMar>
          </w:tcPr>
          <w:p w14:paraId="0E7767E8">
            <w:r>
              <w:rPr>
                <w:rFonts w:ascii="Arial" w:hAnsi="Arial" w:eastAsia="Arial" w:cs="Arial"/>
                <w:sz w:val="18"/>
                <w:szCs w:val="18"/>
              </w:rPr>
              <w:t>ERPU Deviation</w:t>
            </w:r>
          </w:p>
        </w:tc>
        <w:tc>
          <w:tcPr>
            <w:tcW w:w="1500" w:type="dxa"/>
            <w:tcBorders>
              <w:top w:val="single" w:color="BDC3C7" w:sz="4" w:space="0"/>
              <w:left w:val="single" w:color="BDC3C7" w:sz="4" w:space="0"/>
              <w:bottom w:val="single" w:color="BDC3C7" w:sz="4" w:space="0"/>
              <w:right w:val="single" w:color="BDC3C7" w:sz="4" w:space="0"/>
            </w:tcBorders>
            <w:shd w:val="clear" w:color="auto" w:fill="F4F6F7"/>
            <w:tcMar>
              <w:top w:w="80" w:type="dxa"/>
              <w:left w:w="120" w:type="dxa"/>
              <w:bottom w:w="80" w:type="dxa"/>
              <w:right w:w="120" w:type="dxa"/>
            </w:tcMar>
          </w:tcPr>
          <w:p w14:paraId="3EC99A85">
            <w:r>
              <w:rPr>
                <w:rFonts w:ascii="Arial" w:hAnsi="Arial" w:eastAsia="Arial" w:cs="Arial"/>
                <w:sz w:val="18"/>
                <w:szCs w:val="18"/>
              </w:rPr>
              <w:t>&lt; 20%</w:t>
            </w:r>
          </w:p>
        </w:tc>
        <w:tc>
          <w:tcPr>
            <w:tcW w:w="1500" w:type="dxa"/>
            <w:tcBorders>
              <w:top w:val="single" w:color="BDC3C7" w:sz="4" w:space="0"/>
              <w:left w:val="single" w:color="BDC3C7" w:sz="4" w:space="0"/>
              <w:bottom w:val="single" w:color="BDC3C7" w:sz="4" w:space="0"/>
              <w:right w:val="single" w:color="BDC3C7" w:sz="4" w:space="0"/>
            </w:tcBorders>
            <w:shd w:val="clear" w:color="auto" w:fill="F4F6F7"/>
            <w:tcMar>
              <w:top w:w="80" w:type="dxa"/>
              <w:left w:w="120" w:type="dxa"/>
              <w:bottom w:w="80" w:type="dxa"/>
              <w:right w:w="120" w:type="dxa"/>
            </w:tcMar>
          </w:tcPr>
          <w:p w14:paraId="790B502F">
            <w:r>
              <w:rPr>
                <w:rFonts w:ascii="Arial" w:hAnsi="Arial" w:eastAsia="Arial" w:cs="Arial"/>
                <w:sz w:val="18"/>
                <w:szCs w:val="18"/>
              </w:rPr>
              <w:t>&lt; 10%</w:t>
            </w:r>
          </w:p>
        </w:tc>
        <w:tc>
          <w:tcPr>
            <w:tcW w:w="3760" w:type="dxa"/>
            <w:tcBorders>
              <w:top w:val="single" w:color="BDC3C7" w:sz="4" w:space="0"/>
              <w:left w:val="single" w:color="BDC3C7" w:sz="4" w:space="0"/>
              <w:bottom w:val="single" w:color="BDC3C7" w:sz="4" w:space="0"/>
              <w:right w:val="single" w:color="BDC3C7" w:sz="4" w:space="0"/>
            </w:tcBorders>
            <w:shd w:val="clear" w:color="auto" w:fill="F4F6F7"/>
            <w:tcMar>
              <w:top w:w="80" w:type="dxa"/>
              <w:left w:w="120" w:type="dxa"/>
              <w:bottom w:w="80" w:type="dxa"/>
              <w:right w:w="120" w:type="dxa"/>
            </w:tcMar>
          </w:tcPr>
          <w:p w14:paraId="73B0678A">
            <w:r>
              <w:rPr>
                <w:rFonts w:ascii="Arial" w:hAnsi="Arial" w:eastAsia="Arial" w:cs="Arial"/>
                <w:sz w:val="18"/>
                <w:szCs w:val="18"/>
              </w:rPr>
              <w:t>Would flag user mix shifts of moderate size as failures, increasing false-positive overfitting alerts.</w:t>
            </w:r>
          </w:p>
        </w:tc>
      </w:tr>
      <w:tr w14:paraId="43139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279065C9">
            <w:r>
              <w:rPr>
                <w:rFonts w:ascii="Arial" w:hAnsi="Arial" w:eastAsia="Arial" w:cs="Arial"/>
                <w:sz w:val="18"/>
                <w:szCs w:val="18"/>
              </w:rPr>
              <w:t>Basket Deviation</w:t>
            </w:r>
          </w:p>
        </w:tc>
        <w:tc>
          <w:tcPr>
            <w:tcW w:w="15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702A13D5">
            <w:r>
              <w:rPr>
                <w:rFonts w:ascii="Arial" w:hAnsi="Arial" w:eastAsia="Arial" w:cs="Arial"/>
                <w:sz w:val="18"/>
                <w:szCs w:val="18"/>
              </w:rPr>
              <w:t>&lt; 10%</w:t>
            </w:r>
          </w:p>
        </w:tc>
        <w:tc>
          <w:tcPr>
            <w:tcW w:w="15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0E26E1C1">
            <w:r>
              <w:rPr>
                <w:rFonts w:ascii="Arial" w:hAnsi="Arial" w:eastAsia="Arial" w:cs="Arial"/>
                <w:sz w:val="18"/>
                <w:szCs w:val="18"/>
              </w:rPr>
              <w:t>&lt; 5%</w:t>
            </w:r>
          </w:p>
        </w:tc>
        <w:tc>
          <w:tcPr>
            <w:tcW w:w="376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6A6C6F9D">
            <w:r>
              <w:rPr>
                <w:rFonts w:ascii="Arial" w:hAnsi="Arial" w:eastAsia="Arial" w:cs="Arial"/>
                <w:sz w:val="18"/>
                <w:szCs w:val="18"/>
              </w:rPr>
              <w:t>Seasonal or promotional effects in the validation window would trigger alerts, even if structurally benign.</w:t>
            </w:r>
          </w:p>
        </w:tc>
      </w:tr>
      <w:tr w14:paraId="0AB4C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DC3C7" w:sz="4" w:space="0"/>
              <w:left w:val="single" w:color="BDC3C7" w:sz="4" w:space="0"/>
              <w:bottom w:val="single" w:color="BDC3C7" w:sz="4" w:space="0"/>
              <w:right w:val="single" w:color="BDC3C7" w:sz="4" w:space="0"/>
            </w:tcBorders>
            <w:shd w:val="clear" w:color="auto" w:fill="F4F6F7"/>
            <w:tcMar>
              <w:top w:w="80" w:type="dxa"/>
              <w:left w:w="120" w:type="dxa"/>
              <w:bottom w:w="80" w:type="dxa"/>
              <w:right w:w="120" w:type="dxa"/>
            </w:tcMar>
          </w:tcPr>
          <w:p w14:paraId="1B9CECDA">
            <w:r>
              <w:rPr>
                <w:rFonts w:ascii="Arial" w:hAnsi="Arial" w:eastAsia="Arial" w:cs="Arial"/>
                <w:sz w:val="18"/>
                <w:szCs w:val="18"/>
              </w:rPr>
              <w:t>Top-Decile Lift</w:t>
            </w:r>
          </w:p>
        </w:tc>
        <w:tc>
          <w:tcPr>
            <w:tcW w:w="1500" w:type="dxa"/>
            <w:tcBorders>
              <w:top w:val="single" w:color="BDC3C7" w:sz="4" w:space="0"/>
              <w:left w:val="single" w:color="BDC3C7" w:sz="4" w:space="0"/>
              <w:bottom w:val="single" w:color="BDC3C7" w:sz="4" w:space="0"/>
              <w:right w:val="single" w:color="BDC3C7" w:sz="4" w:space="0"/>
            </w:tcBorders>
            <w:shd w:val="clear" w:color="auto" w:fill="F4F6F7"/>
            <w:tcMar>
              <w:top w:w="80" w:type="dxa"/>
              <w:left w:w="120" w:type="dxa"/>
              <w:bottom w:w="80" w:type="dxa"/>
              <w:right w:w="120" w:type="dxa"/>
            </w:tcMar>
          </w:tcPr>
          <w:p w14:paraId="10E62F21">
            <w:r>
              <w:rPr>
                <w:rFonts w:ascii="Arial" w:hAnsi="Arial" w:eastAsia="Arial" w:cs="Arial"/>
                <w:sz w:val="18"/>
                <w:szCs w:val="18"/>
              </w:rPr>
              <w:t>&gt; 1.5×</w:t>
            </w:r>
          </w:p>
        </w:tc>
        <w:tc>
          <w:tcPr>
            <w:tcW w:w="1500" w:type="dxa"/>
            <w:tcBorders>
              <w:top w:val="single" w:color="BDC3C7" w:sz="4" w:space="0"/>
              <w:left w:val="single" w:color="BDC3C7" w:sz="4" w:space="0"/>
              <w:bottom w:val="single" w:color="BDC3C7" w:sz="4" w:space="0"/>
              <w:right w:val="single" w:color="BDC3C7" w:sz="4" w:space="0"/>
            </w:tcBorders>
            <w:shd w:val="clear" w:color="auto" w:fill="F4F6F7"/>
            <w:tcMar>
              <w:top w:w="80" w:type="dxa"/>
              <w:left w:w="120" w:type="dxa"/>
              <w:bottom w:w="80" w:type="dxa"/>
              <w:right w:w="120" w:type="dxa"/>
            </w:tcMar>
          </w:tcPr>
          <w:p w14:paraId="465BF488">
            <w:r>
              <w:rPr>
                <w:rFonts w:ascii="Arial" w:hAnsi="Arial" w:eastAsia="Arial" w:cs="Arial"/>
                <w:sz w:val="18"/>
                <w:szCs w:val="18"/>
              </w:rPr>
              <w:t>&gt; 2.0×</w:t>
            </w:r>
          </w:p>
        </w:tc>
        <w:tc>
          <w:tcPr>
            <w:tcW w:w="3760" w:type="dxa"/>
            <w:tcBorders>
              <w:top w:val="single" w:color="BDC3C7" w:sz="4" w:space="0"/>
              <w:left w:val="single" w:color="BDC3C7" w:sz="4" w:space="0"/>
              <w:bottom w:val="single" w:color="BDC3C7" w:sz="4" w:space="0"/>
              <w:right w:val="single" w:color="BDC3C7" w:sz="4" w:space="0"/>
            </w:tcBorders>
            <w:shd w:val="clear" w:color="auto" w:fill="F4F6F7"/>
            <w:tcMar>
              <w:top w:w="80" w:type="dxa"/>
              <w:left w:w="120" w:type="dxa"/>
              <w:bottom w:w="80" w:type="dxa"/>
              <w:right w:w="120" w:type="dxa"/>
            </w:tcMar>
          </w:tcPr>
          <w:p w14:paraId="6C9203E8">
            <w:r>
              <w:rPr>
                <w:rFonts w:ascii="Arial" w:hAnsi="Arial" w:eastAsia="Arial" w:cs="Arial"/>
                <w:sz w:val="18"/>
                <w:szCs w:val="18"/>
              </w:rPr>
              <w:t>More demanding benchmark; appropriate if model is used for commercial targeting decisions.</w:t>
            </w:r>
          </w:p>
        </w:tc>
      </w:tr>
      <w:tr w14:paraId="017A7C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73062CDC">
            <w:r>
              <w:rPr>
                <w:rFonts w:ascii="Arial" w:hAnsi="Arial" w:eastAsia="Arial" w:cs="Arial"/>
                <w:sz w:val="18"/>
                <w:szCs w:val="18"/>
              </w:rPr>
              <w:t>Spearman Calibration r</w:t>
            </w:r>
          </w:p>
        </w:tc>
        <w:tc>
          <w:tcPr>
            <w:tcW w:w="15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6413FFC4">
            <w:r>
              <w:rPr>
                <w:rFonts w:ascii="Arial" w:hAnsi="Arial" w:eastAsia="Arial" w:cs="Arial"/>
                <w:sz w:val="18"/>
                <w:szCs w:val="18"/>
              </w:rPr>
              <w:t>&gt; 0.30</w:t>
            </w:r>
          </w:p>
        </w:tc>
        <w:tc>
          <w:tcPr>
            <w:tcW w:w="15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76D750FE">
            <w:r>
              <w:rPr>
                <w:rFonts w:ascii="Arial" w:hAnsi="Arial" w:eastAsia="Arial" w:cs="Arial"/>
                <w:sz w:val="18"/>
                <w:szCs w:val="18"/>
              </w:rPr>
              <w:t>&gt; 0.50</w:t>
            </w:r>
          </w:p>
        </w:tc>
        <w:tc>
          <w:tcPr>
            <w:tcW w:w="376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2AC91BF8">
            <w:r>
              <w:rPr>
                <w:rFonts w:ascii="Arial" w:hAnsi="Arial" w:eastAsia="Arial" w:cs="Arial"/>
                <w:sz w:val="18"/>
                <w:szCs w:val="18"/>
              </w:rPr>
              <w:t>High-threshold calibration is appropriate for precision marketing use cases.</w:t>
            </w:r>
          </w:p>
        </w:tc>
      </w:tr>
    </w:tbl>
    <w:p w14:paraId="332308A6">
      <w:pPr>
        <w:spacing w:before="60" w:after="60"/>
      </w:pPr>
    </w:p>
    <w:p w14:paraId="50F808BA">
      <w:pPr>
        <w:pStyle w:val="3"/>
        <w:spacing w:before="280" w:after="120"/>
      </w:pPr>
      <w:r>
        <w:rPr>
          <w:rFonts w:ascii="Arial" w:hAnsi="Arial" w:eastAsia="Arial" w:cs="Arial"/>
          <w:b/>
          <w:bCs/>
          <w:color w:val="C0392B"/>
          <w:sz w:val="24"/>
          <w:szCs w:val="24"/>
        </w:rPr>
        <w:t>5.5 User Composition Sensitivity</w:t>
      </w:r>
    </w:p>
    <w:p w14:paraId="42DD434B">
      <w:pPr>
        <w:spacing w:before="60" w:after="60"/>
        <w:jc w:val="both"/>
      </w:pPr>
      <w:r>
        <w:rPr>
          <w:rFonts w:ascii="Arial" w:hAnsi="Arial" w:eastAsia="Arial" w:cs="Arial"/>
          <w:sz w:val="20"/>
          <w:szCs w:val="20"/>
        </w:rPr>
        <w:t>The validation user base contains a mix of returning users (seen in training) and new users (not seen in training). Key sensitivities:</w:t>
      </w:r>
    </w:p>
    <w:p w14:paraId="39EE6591">
      <w:pPr>
        <w:pStyle w:val="14"/>
        <w:numPr>
          <w:ilvl w:val="0"/>
          <w:numId w:val="1"/>
        </w:numPr>
        <w:spacing w:before="40" w:after="40"/>
      </w:pPr>
      <w:r>
        <w:rPr>
          <w:rFonts w:ascii="Arial" w:hAnsi="Arial" w:eastAsia="Arial" w:cs="Arial"/>
          <w:sz w:val="20"/>
          <w:szCs w:val="20"/>
        </w:rPr>
        <w:t>If the proportion of new users exceeds 40%, aggregate ERPU estimates become increasingly dependent on cold-start scoring (F-score alone), which reduces prediction confidence.</w:t>
      </w:r>
    </w:p>
    <w:p w14:paraId="399A4047">
      <w:pPr>
        <w:pStyle w:val="14"/>
        <w:numPr>
          <w:ilvl w:val="0"/>
          <w:numId w:val="1"/>
        </w:numPr>
        <w:spacing w:before="40" w:after="40"/>
      </w:pPr>
      <w:r>
        <w:rPr>
          <w:rFonts w:ascii="Arial" w:hAnsi="Arial" w:eastAsia="Arial" w:cs="Arial"/>
          <w:sz w:val="20"/>
          <w:szCs w:val="20"/>
        </w:rPr>
        <w:t>If the validation set skews heavily toward Dormant or At-Risk segments (e.g., a re-engagement campaign cohort), aggregate ERPU will understate the typical user value, and segment-adjusted baselines become essential.</w:t>
      </w:r>
    </w:p>
    <w:p w14:paraId="1AA70A61">
      <w:pPr>
        <w:pStyle w:val="14"/>
        <w:numPr>
          <w:ilvl w:val="0"/>
          <w:numId w:val="1"/>
        </w:numPr>
        <w:spacing w:before="40" w:after="40"/>
      </w:pPr>
      <w:r>
        <w:rPr>
          <w:rFonts w:ascii="Arial" w:hAnsi="Arial" w:eastAsia="Arial" w:cs="Arial"/>
          <w:sz w:val="20"/>
          <w:szCs w:val="20"/>
        </w:rPr>
        <w:t>Cohort time compression: Shorter validation windows mechanically reduce Frequency and Recenc</w:t>
      </w:r>
      <w:r>
        <w:rPr>
          <w:rFonts w:hint="default" w:cs="Arial"/>
          <w:sz w:val="20"/>
          <w:szCs w:val="20"/>
          <w:lang w:val="en-US"/>
        </w:rPr>
        <w:t>y</w:t>
      </w:r>
      <w:r>
        <w:rPr>
          <w:rFonts w:ascii="Arial" w:hAnsi="Arial" w:eastAsia="Arial" w:cs="Arial"/>
          <w:sz w:val="20"/>
          <w:szCs w:val="20"/>
        </w:rPr>
        <w:t xml:space="preserve"> scores. A 6-month validation window will always show lower repeat rates than a 24-month training window, making ERPU comparisons require </w:t>
      </w:r>
      <w:r>
        <w:rPr>
          <w:rFonts w:cs="Arial"/>
          <w:sz w:val="20"/>
          <w:szCs w:val="20"/>
          <w:lang w:val="en-US"/>
        </w:rPr>
        <w:t>period-normalization</w:t>
      </w:r>
      <w:r>
        <w:rPr>
          <w:rFonts w:ascii="Arial" w:hAnsi="Arial" w:eastAsia="Arial" w:cs="Arial"/>
          <w:sz w:val="20"/>
          <w:szCs w:val="20"/>
        </w:rPr>
        <w:t>.</w:t>
      </w:r>
    </w:p>
    <w:p w14:paraId="7446541E">
      <w:pPr>
        <w:spacing w:before="60" w:after="60"/>
      </w:pPr>
    </w:p>
    <w:p w14:paraId="19D09A0C">
      <w:pPr>
        <w:pStyle w:val="3"/>
        <w:spacing w:before="280" w:after="120"/>
      </w:pPr>
      <w:r>
        <w:rPr>
          <w:rFonts w:ascii="Arial" w:hAnsi="Arial" w:eastAsia="Arial" w:cs="Arial"/>
          <w:b/>
          <w:bCs/>
          <w:color w:val="C0392B"/>
          <w:sz w:val="24"/>
          <w:szCs w:val="24"/>
        </w:rPr>
        <w:t>5.6 Model Limitations &amp; Risk Register</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1600"/>
        <w:gridCol w:w="4960"/>
      </w:tblGrid>
      <w:tr w14:paraId="0F05B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DC3C7" w:sz="4" w:space="0"/>
              <w:left w:val="single" w:color="BDC3C7" w:sz="4" w:space="0"/>
              <w:bottom w:val="single" w:color="BDC3C7" w:sz="4" w:space="0"/>
              <w:right w:val="single" w:color="BDC3C7" w:sz="4" w:space="0"/>
            </w:tcBorders>
            <w:shd w:val="clear" w:color="auto" w:fill="2C3E50"/>
            <w:tcMar>
              <w:top w:w="80" w:type="dxa"/>
              <w:left w:w="120" w:type="dxa"/>
              <w:bottom w:w="80" w:type="dxa"/>
              <w:right w:w="120" w:type="dxa"/>
            </w:tcMar>
          </w:tcPr>
          <w:p w14:paraId="5199F00C">
            <w:r>
              <w:rPr>
                <w:rFonts w:ascii="Arial" w:hAnsi="Arial" w:eastAsia="Arial" w:cs="Arial"/>
                <w:b/>
                <w:bCs/>
                <w:color w:val="FFFFFF"/>
                <w:sz w:val="18"/>
                <w:szCs w:val="18"/>
              </w:rPr>
              <w:t>Limitation</w:t>
            </w:r>
          </w:p>
        </w:tc>
        <w:tc>
          <w:tcPr>
            <w:tcW w:w="1600" w:type="dxa"/>
            <w:tcBorders>
              <w:top w:val="single" w:color="BDC3C7" w:sz="4" w:space="0"/>
              <w:left w:val="single" w:color="BDC3C7" w:sz="4" w:space="0"/>
              <w:bottom w:val="single" w:color="BDC3C7" w:sz="4" w:space="0"/>
              <w:right w:val="single" w:color="BDC3C7" w:sz="4" w:space="0"/>
            </w:tcBorders>
            <w:shd w:val="clear" w:color="auto" w:fill="2C3E50"/>
            <w:tcMar>
              <w:top w:w="80" w:type="dxa"/>
              <w:left w:w="120" w:type="dxa"/>
              <w:bottom w:w="80" w:type="dxa"/>
              <w:right w:w="120" w:type="dxa"/>
            </w:tcMar>
          </w:tcPr>
          <w:p w14:paraId="2CAF9899">
            <w:r>
              <w:rPr>
                <w:rFonts w:ascii="Arial" w:hAnsi="Arial" w:eastAsia="Arial" w:cs="Arial"/>
                <w:b/>
                <w:bCs/>
                <w:color w:val="FFFFFF"/>
                <w:sz w:val="18"/>
                <w:szCs w:val="18"/>
              </w:rPr>
              <w:t>Severity</w:t>
            </w:r>
          </w:p>
        </w:tc>
        <w:tc>
          <w:tcPr>
            <w:tcW w:w="4960" w:type="dxa"/>
            <w:tcBorders>
              <w:top w:val="single" w:color="BDC3C7" w:sz="4" w:space="0"/>
              <w:left w:val="single" w:color="BDC3C7" w:sz="4" w:space="0"/>
              <w:bottom w:val="single" w:color="BDC3C7" w:sz="4" w:space="0"/>
              <w:right w:val="single" w:color="BDC3C7" w:sz="4" w:space="0"/>
            </w:tcBorders>
            <w:shd w:val="clear" w:color="auto" w:fill="2C3E50"/>
            <w:tcMar>
              <w:top w:w="80" w:type="dxa"/>
              <w:left w:w="120" w:type="dxa"/>
              <w:bottom w:w="80" w:type="dxa"/>
              <w:right w:w="120" w:type="dxa"/>
            </w:tcMar>
          </w:tcPr>
          <w:p w14:paraId="0B0D1ED4">
            <w:r>
              <w:rPr>
                <w:rFonts w:ascii="Arial" w:hAnsi="Arial" w:eastAsia="Arial" w:cs="Arial"/>
                <w:b/>
                <w:bCs/>
                <w:color w:val="FFFFFF"/>
                <w:sz w:val="18"/>
                <w:szCs w:val="18"/>
              </w:rPr>
              <w:t>Mitigation</w:t>
            </w:r>
          </w:p>
        </w:tc>
      </w:tr>
      <w:tr w14:paraId="49DD0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DC3C7" w:sz="4" w:space="0"/>
              <w:left w:val="single" w:color="BDC3C7" w:sz="4" w:space="0"/>
              <w:bottom w:val="single" w:color="BDC3C7" w:sz="4" w:space="0"/>
              <w:right w:val="single" w:color="BDC3C7" w:sz="4" w:space="0"/>
            </w:tcBorders>
            <w:shd w:val="clear" w:color="auto" w:fill="F4F6F7"/>
            <w:tcMar>
              <w:top w:w="80" w:type="dxa"/>
              <w:left w:w="120" w:type="dxa"/>
              <w:bottom w:w="80" w:type="dxa"/>
              <w:right w:w="120" w:type="dxa"/>
            </w:tcMar>
          </w:tcPr>
          <w:p w14:paraId="7A8BFEC6">
            <w:r>
              <w:rPr>
                <w:rFonts w:ascii="Arial" w:hAnsi="Arial" w:eastAsia="Arial" w:cs="Arial"/>
                <w:sz w:val="18"/>
                <w:szCs w:val="18"/>
              </w:rPr>
              <w:t>No causal identification</w:t>
            </w:r>
          </w:p>
        </w:tc>
        <w:tc>
          <w:tcPr>
            <w:tcW w:w="1600" w:type="dxa"/>
            <w:tcBorders>
              <w:top w:val="single" w:color="BDC3C7" w:sz="4" w:space="0"/>
              <w:left w:val="single" w:color="BDC3C7" w:sz="4" w:space="0"/>
              <w:bottom w:val="single" w:color="BDC3C7" w:sz="4" w:space="0"/>
              <w:right w:val="single" w:color="BDC3C7" w:sz="4" w:space="0"/>
            </w:tcBorders>
            <w:shd w:val="clear" w:color="auto" w:fill="F4F6F7"/>
            <w:tcMar>
              <w:top w:w="80" w:type="dxa"/>
              <w:left w:w="120" w:type="dxa"/>
              <w:bottom w:w="80" w:type="dxa"/>
              <w:right w:w="120" w:type="dxa"/>
            </w:tcMar>
          </w:tcPr>
          <w:p w14:paraId="77F46BB2">
            <w:r>
              <w:rPr>
                <w:rFonts w:ascii="Arial" w:hAnsi="Arial" w:eastAsia="Arial" w:cs="Arial"/>
                <w:sz w:val="18"/>
                <w:szCs w:val="18"/>
              </w:rPr>
              <w:t>Medium</w:t>
            </w:r>
          </w:p>
        </w:tc>
        <w:tc>
          <w:tcPr>
            <w:tcW w:w="4960" w:type="dxa"/>
            <w:tcBorders>
              <w:top w:val="single" w:color="BDC3C7" w:sz="4" w:space="0"/>
              <w:left w:val="single" w:color="BDC3C7" w:sz="4" w:space="0"/>
              <w:bottom w:val="single" w:color="BDC3C7" w:sz="4" w:space="0"/>
              <w:right w:val="single" w:color="BDC3C7" w:sz="4" w:space="0"/>
            </w:tcBorders>
            <w:shd w:val="clear" w:color="auto" w:fill="F4F6F7"/>
            <w:tcMar>
              <w:top w:w="80" w:type="dxa"/>
              <w:left w:w="120" w:type="dxa"/>
              <w:bottom w:w="80" w:type="dxa"/>
              <w:right w:w="120" w:type="dxa"/>
            </w:tcMar>
          </w:tcPr>
          <w:p w14:paraId="07D13A2C">
            <w:r>
              <w:rPr>
                <w:rFonts w:ascii="Arial" w:hAnsi="Arial" w:eastAsia="Arial" w:cs="Arial"/>
                <w:sz w:val="18"/>
                <w:szCs w:val="18"/>
              </w:rPr>
              <w:t>Levers are correlational; uplift rates require A/B validation before operational deployment.</w:t>
            </w:r>
          </w:p>
        </w:tc>
      </w:tr>
      <w:tr w14:paraId="3E3AC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72176A66">
            <w:r>
              <w:rPr>
                <w:rFonts w:ascii="Arial" w:hAnsi="Arial" w:eastAsia="Arial" w:cs="Arial"/>
                <w:sz w:val="18"/>
                <w:szCs w:val="18"/>
              </w:rPr>
              <w:t>No cost model</w:t>
            </w:r>
          </w:p>
        </w:tc>
        <w:tc>
          <w:tcPr>
            <w:tcW w:w="16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5C34EA78">
            <w:r>
              <w:rPr>
                <w:rFonts w:ascii="Arial" w:hAnsi="Arial" w:eastAsia="Arial" w:cs="Arial"/>
                <w:sz w:val="18"/>
                <w:szCs w:val="18"/>
              </w:rPr>
              <w:t>Medium</w:t>
            </w:r>
          </w:p>
        </w:tc>
        <w:tc>
          <w:tcPr>
            <w:tcW w:w="496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074B6E4C">
            <w:r>
              <w:rPr>
                <w:rFonts w:ascii="Arial" w:hAnsi="Arial" w:eastAsia="Arial" w:cs="Arial"/>
                <w:sz w:val="18"/>
                <w:szCs w:val="18"/>
              </w:rPr>
              <w:t xml:space="preserve">ERPU is gross revenue; contribution margin analysis requires </w:t>
            </w:r>
            <w:r>
              <w:rPr>
                <w:rFonts w:cs="Arial"/>
                <w:sz w:val="18"/>
                <w:szCs w:val="18"/>
                <w:lang w:val="en-US"/>
              </w:rPr>
              <w:t>fulfillment</w:t>
            </w:r>
            <w:r>
              <w:rPr>
                <w:rFonts w:ascii="Arial" w:hAnsi="Arial" w:eastAsia="Arial" w:cs="Arial"/>
                <w:sz w:val="18"/>
                <w:szCs w:val="18"/>
              </w:rPr>
              <w:t xml:space="preserve"> and CAC data overlay.</w:t>
            </w:r>
          </w:p>
        </w:tc>
      </w:tr>
      <w:tr w14:paraId="7B97A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DC3C7" w:sz="4" w:space="0"/>
              <w:left w:val="single" w:color="BDC3C7" w:sz="4" w:space="0"/>
              <w:bottom w:val="single" w:color="BDC3C7" w:sz="4" w:space="0"/>
              <w:right w:val="single" w:color="BDC3C7" w:sz="4" w:space="0"/>
            </w:tcBorders>
            <w:shd w:val="clear" w:color="auto" w:fill="F4F6F7"/>
            <w:tcMar>
              <w:top w:w="80" w:type="dxa"/>
              <w:left w:w="120" w:type="dxa"/>
              <w:bottom w:w="80" w:type="dxa"/>
              <w:right w:w="120" w:type="dxa"/>
            </w:tcMar>
          </w:tcPr>
          <w:p w14:paraId="3936715F">
            <w:r>
              <w:rPr>
                <w:rFonts w:ascii="Arial" w:hAnsi="Arial" w:eastAsia="Arial" w:cs="Arial"/>
                <w:sz w:val="18"/>
                <w:szCs w:val="18"/>
              </w:rPr>
              <w:t>Static segment boundaries</w:t>
            </w:r>
          </w:p>
        </w:tc>
        <w:tc>
          <w:tcPr>
            <w:tcW w:w="1600" w:type="dxa"/>
            <w:tcBorders>
              <w:top w:val="single" w:color="BDC3C7" w:sz="4" w:space="0"/>
              <w:left w:val="single" w:color="BDC3C7" w:sz="4" w:space="0"/>
              <w:bottom w:val="single" w:color="BDC3C7" w:sz="4" w:space="0"/>
              <w:right w:val="single" w:color="BDC3C7" w:sz="4" w:space="0"/>
            </w:tcBorders>
            <w:shd w:val="clear" w:color="auto" w:fill="F4F6F7"/>
            <w:tcMar>
              <w:top w:w="80" w:type="dxa"/>
              <w:left w:w="120" w:type="dxa"/>
              <w:bottom w:w="80" w:type="dxa"/>
              <w:right w:w="120" w:type="dxa"/>
            </w:tcMar>
          </w:tcPr>
          <w:p w14:paraId="5B342E79">
            <w:r>
              <w:rPr>
                <w:rFonts w:ascii="Arial" w:hAnsi="Arial" w:eastAsia="Arial" w:cs="Arial"/>
                <w:sz w:val="18"/>
                <w:szCs w:val="18"/>
              </w:rPr>
              <w:t>Low–Medium</w:t>
            </w:r>
          </w:p>
        </w:tc>
        <w:tc>
          <w:tcPr>
            <w:tcW w:w="4960" w:type="dxa"/>
            <w:tcBorders>
              <w:top w:val="single" w:color="BDC3C7" w:sz="4" w:space="0"/>
              <w:left w:val="single" w:color="BDC3C7" w:sz="4" w:space="0"/>
              <w:bottom w:val="single" w:color="BDC3C7" w:sz="4" w:space="0"/>
              <w:right w:val="single" w:color="BDC3C7" w:sz="4" w:space="0"/>
            </w:tcBorders>
            <w:shd w:val="clear" w:color="auto" w:fill="F4F6F7"/>
            <w:tcMar>
              <w:top w:w="80" w:type="dxa"/>
              <w:left w:w="120" w:type="dxa"/>
              <w:bottom w:w="80" w:type="dxa"/>
              <w:right w:w="120" w:type="dxa"/>
            </w:tcMar>
          </w:tcPr>
          <w:p w14:paraId="4B526009">
            <w:r>
              <w:rPr>
                <w:rFonts w:ascii="Arial" w:hAnsi="Arial" w:eastAsia="Arial" w:cs="Arial"/>
                <w:sz w:val="18"/>
                <w:szCs w:val="18"/>
              </w:rPr>
              <w:t>Segment rules should be re-calibrated annually as customer composition evolves.</w:t>
            </w:r>
          </w:p>
        </w:tc>
      </w:tr>
      <w:tr w14:paraId="56ADA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7A8F58D6">
            <w:r>
              <w:rPr>
                <w:rFonts w:ascii="Arial" w:hAnsi="Arial" w:eastAsia="Arial" w:cs="Arial"/>
                <w:sz w:val="18"/>
                <w:szCs w:val="18"/>
              </w:rPr>
              <w:t>Cold-start for new users</w:t>
            </w:r>
          </w:p>
        </w:tc>
        <w:tc>
          <w:tcPr>
            <w:tcW w:w="16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0538EE3B">
            <w:r>
              <w:rPr>
                <w:rFonts w:ascii="Arial" w:hAnsi="Arial" w:eastAsia="Arial" w:cs="Arial"/>
                <w:sz w:val="18"/>
                <w:szCs w:val="18"/>
              </w:rPr>
              <w:t>Low</w:t>
            </w:r>
          </w:p>
        </w:tc>
        <w:tc>
          <w:tcPr>
            <w:tcW w:w="496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2235038B">
            <w:r>
              <w:rPr>
                <w:rFonts w:ascii="Arial" w:hAnsi="Arial" w:eastAsia="Arial" w:cs="Arial"/>
                <w:sz w:val="18"/>
                <w:szCs w:val="18"/>
              </w:rPr>
              <w:t>New users scored on limited validation-period behaviour; early-stage scores carry higher uncertainty.</w:t>
            </w:r>
          </w:p>
        </w:tc>
      </w:tr>
      <w:tr w14:paraId="5376E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DC3C7" w:sz="4" w:space="0"/>
              <w:left w:val="single" w:color="BDC3C7" w:sz="4" w:space="0"/>
              <w:bottom w:val="single" w:color="BDC3C7" w:sz="4" w:space="0"/>
              <w:right w:val="single" w:color="BDC3C7" w:sz="4" w:space="0"/>
            </w:tcBorders>
            <w:shd w:val="clear" w:color="auto" w:fill="F4F6F7"/>
            <w:tcMar>
              <w:top w:w="80" w:type="dxa"/>
              <w:left w:w="120" w:type="dxa"/>
              <w:bottom w:w="80" w:type="dxa"/>
              <w:right w:w="120" w:type="dxa"/>
            </w:tcMar>
          </w:tcPr>
          <w:p w14:paraId="5A72EE7B">
            <w:r>
              <w:rPr>
                <w:rFonts w:ascii="Arial" w:hAnsi="Arial" w:eastAsia="Arial" w:cs="Arial"/>
                <w:sz w:val="18"/>
                <w:szCs w:val="18"/>
              </w:rPr>
              <w:t>No temporal trend modelling</w:t>
            </w:r>
          </w:p>
        </w:tc>
        <w:tc>
          <w:tcPr>
            <w:tcW w:w="1600" w:type="dxa"/>
            <w:tcBorders>
              <w:top w:val="single" w:color="BDC3C7" w:sz="4" w:space="0"/>
              <w:left w:val="single" w:color="BDC3C7" w:sz="4" w:space="0"/>
              <w:bottom w:val="single" w:color="BDC3C7" w:sz="4" w:space="0"/>
              <w:right w:val="single" w:color="BDC3C7" w:sz="4" w:space="0"/>
            </w:tcBorders>
            <w:shd w:val="clear" w:color="auto" w:fill="F4F6F7"/>
            <w:tcMar>
              <w:top w:w="80" w:type="dxa"/>
              <w:left w:w="120" w:type="dxa"/>
              <w:bottom w:w="80" w:type="dxa"/>
              <w:right w:w="120" w:type="dxa"/>
            </w:tcMar>
          </w:tcPr>
          <w:p w14:paraId="31BA558F">
            <w:r>
              <w:rPr>
                <w:rFonts w:ascii="Arial" w:hAnsi="Arial" w:eastAsia="Arial" w:cs="Arial"/>
                <w:sz w:val="18"/>
                <w:szCs w:val="18"/>
              </w:rPr>
              <w:t>Low</w:t>
            </w:r>
          </w:p>
        </w:tc>
        <w:tc>
          <w:tcPr>
            <w:tcW w:w="4960" w:type="dxa"/>
            <w:tcBorders>
              <w:top w:val="single" w:color="BDC3C7" w:sz="4" w:space="0"/>
              <w:left w:val="single" w:color="BDC3C7" w:sz="4" w:space="0"/>
              <w:bottom w:val="single" w:color="BDC3C7" w:sz="4" w:space="0"/>
              <w:right w:val="single" w:color="BDC3C7" w:sz="4" w:space="0"/>
            </w:tcBorders>
            <w:shd w:val="clear" w:color="auto" w:fill="F4F6F7"/>
            <w:tcMar>
              <w:top w:w="80" w:type="dxa"/>
              <w:left w:w="120" w:type="dxa"/>
              <w:bottom w:w="80" w:type="dxa"/>
              <w:right w:w="120" w:type="dxa"/>
            </w:tcMar>
          </w:tcPr>
          <w:p w14:paraId="7545A611">
            <w:r>
              <w:rPr>
                <w:rFonts w:ascii="Arial" w:hAnsi="Arial" w:eastAsia="Arial" w:cs="Arial"/>
                <w:sz w:val="18"/>
                <w:szCs w:val="18"/>
              </w:rPr>
              <w:t>The model treats the training period as a static baseline; no seasonal decomposition or trend extrapolation is performed.</w:t>
            </w:r>
          </w:p>
        </w:tc>
      </w:tr>
      <w:tr w14:paraId="0FD1C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6F502D73">
            <w:r>
              <w:rPr>
                <w:rFonts w:ascii="Arial" w:hAnsi="Arial" w:eastAsia="Arial" w:cs="Arial"/>
                <w:sz w:val="18"/>
                <w:szCs w:val="18"/>
              </w:rPr>
              <w:t xml:space="preserve">Keyword-based </w:t>
            </w:r>
            <w:r>
              <w:rPr>
                <w:rFonts w:cs="Arial"/>
                <w:sz w:val="18"/>
                <w:szCs w:val="18"/>
                <w:lang w:val="en-US"/>
              </w:rPr>
              <w:t>categorization</w:t>
            </w:r>
          </w:p>
        </w:tc>
        <w:tc>
          <w:tcPr>
            <w:tcW w:w="160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7CA16C30">
            <w:r>
              <w:rPr>
                <w:rFonts w:ascii="Arial" w:hAnsi="Arial" w:eastAsia="Arial" w:cs="Arial"/>
                <w:sz w:val="18"/>
                <w:szCs w:val="18"/>
              </w:rPr>
              <w:t>Low</w:t>
            </w:r>
          </w:p>
        </w:tc>
        <w:tc>
          <w:tcPr>
            <w:tcW w:w="4960" w:type="dxa"/>
            <w:tcBorders>
              <w:top w:val="single" w:color="BDC3C7" w:sz="4" w:space="0"/>
              <w:left w:val="single" w:color="BDC3C7" w:sz="4" w:space="0"/>
              <w:bottom w:val="single" w:color="BDC3C7" w:sz="4" w:space="0"/>
              <w:right w:val="single" w:color="BDC3C7" w:sz="4" w:space="0"/>
            </w:tcBorders>
            <w:shd w:val="clear" w:color="auto" w:fill="FFFFFF"/>
            <w:tcMar>
              <w:top w:w="80" w:type="dxa"/>
              <w:left w:w="120" w:type="dxa"/>
              <w:bottom w:w="80" w:type="dxa"/>
              <w:right w:w="120" w:type="dxa"/>
            </w:tcMar>
          </w:tcPr>
          <w:p w14:paraId="7E6AAD4B">
            <w:r>
              <w:rPr>
                <w:rFonts w:ascii="Arial" w:hAnsi="Arial" w:eastAsia="Arial" w:cs="Arial"/>
                <w:sz w:val="18"/>
                <w:szCs w:val="18"/>
              </w:rPr>
              <w:t>The 10-class category taxonomy is rule-based and may mis</w:t>
            </w:r>
            <w:r>
              <w:rPr>
                <w:rFonts w:hint="default" w:cs="Arial"/>
                <w:sz w:val="18"/>
                <w:szCs w:val="18"/>
                <w:lang w:val="en-US"/>
              </w:rPr>
              <w:t>-</w:t>
            </w:r>
            <w:r>
              <w:rPr>
                <w:rFonts w:ascii="Arial" w:hAnsi="Arial" w:eastAsia="Arial" w:cs="Arial"/>
                <w:sz w:val="18"/>
                <w:szCs w:val="18"/>
              </w:rPr>
              <w:t>classify ambiguous product names.</w:t>
            </w:r>
          </w:p>
        </w:tc>
      </w:tr>
    </w:tbl>
    <w:p w14:paraId="7267CDF8">
      <w:pPr>
        <w:spacing w:before="60" w:after="60"/>
      </w:pPr>
    </w:p>
    <w:p w14:paraId="2E81F58B">
      <w:pPr>
        <w:spacing w:before="60" w:after="60"/>
      </w:pPr>
    </w:p>
    <w:p w14:paraId="52653ACE">
      <w:pPr>
        <w:pBdr>
          <w:bottom w:val="single" w:color="2C3E50" w:sz="10" w:space="1"/>
        </w:pBdr>
        <w:spacing w:before="0" w:after="80"/>
      </w:pPr>
    </w:p>
    <w:p w14:paraId="4C724661">
      <w:pPr>
        <w:spacing w:before="120" w:after="80"/>
        <w:jc w:val="center"/>
      </w:pPr>
      <w:r>
        <w:rPr>
          <w:rFonts w:ascii="Arial" w:hAnsi="Arial" w:eastAsia="Arial" w:cs="Arial"/>
          <w:i/>
          <w:iCs/>
          <w:color w:val="2C3E50"/>
          <w:sz w:val="18"/>
          <w:szCs w:val="18"/>
        </w:rPr>
        <w:t>END OF TECHNICAL APPENDIX — Case STABILIS | NLD Synapse 2026</w:t>
      </w:r>
    </w:p>
    <w:sectPr>
      <w:headerReference r:id="rId3" w:type="default"/>
      <w:footerReference r:id="rId4" w:type="default"/>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Semibold">
    <w:panose1 w:val="020B0702040204020203"/>
    <w:charset w:val="00"/>
    <w:family w:val="auto"/>
    <w:pitch w:val="default"/>
    <w:sig w:usb0="E4002EFF" w:usb1="C000E47F" w:usb2="00000009" w:usb3="00000000" w:csb0="200001FF" w:csb1="00000000"/>
  </w:font>
  <w:font w:name="Segoe UI Variable Display Light">
    <w:panose1 w:val="00000000000000000000"/>
    <w:charset w:val="00"/>
    <w:family w:val="auto"/>
    <w:pitch w:val="default"/>
    <w:sig w:usb0="A00002FF" w:usb1="0000000B" w:usb2="00000000" w:usb3="00000000" w:csb0="2000019F" w:csb1="00000000"/>
  </w:font>
  <w:font w:name="AMGDT_IV50">
    <w:panose1 w:val="00000400000000000000"/>
    <w:charset w:val="00"/>
    <w:family w:val="auto"/>
    <w:pitch w:val="default"/>
    <w:sig w:usb0="80000003" w:usb1="00000000" w:usb2="00000000" w:usb3="00000000" w:csb0="00000001" w:csb1="00000000"/>
  </w:font>
  <w:font w:name="Arial">
    <w:panose1 w:val="020B0604020202020204"/>
    <w:charset w:val="00"/>
    <w:family w:val="auto"/>
    <w:pitch w:val="default"/>
    <w:sig w:usb0="E0002EFF" w:usb1="C000785B" w:usb2="00000009" w:usb3="00000000" w:csb0="400001FF" w:csb1="FFFF0000"/>
  </w:font>
  <w:font w:name="Segoe UI Variable Text Semilight">
    <w:panose1 w:val="00000000000000000000"/>
    <w:charset w:val="00"/>
    <w:family w:val="auto"/>
    <w:pitch w:val="default"/>
    <w:sig w:usb0="A00002FF" w:usb1="0000000B" w:usb2="00000000" w:usb3="00000000" w:csb0="2000019F" w:csb1="00000000"/>
  </w:font>
  <w:font w:name="AmdtSymbols">
    <w:panose1 w:val="02000500000000020004"/>
    <w:charset w:val="00"/>
    <w:family w:val="auto"/>
    <w:pitch w:val="default"/>
    <w:sig w:usb0="00000001" w:usb1="00000000" w:usb2="00000000" w:usb3="00000000" w:csb0="00000001" w:csb1="00000000"/>
  </w:font>
  <w:font w:name="AMGDT">
    <w:panose1 w:val="02000400000000000000"/>
    <w:charset w:val="00"/>
    <w:family w:val="auto"/>
    <w:pitch w:val="default"/>
    <w:sig w:usb0="80000003"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ED0B5E">
    <w:pPr>
      <w:pBdr>
        <w:top w:val="single" w:color="C0392B" w:sz="4" w:space="1"/>
      </w:pBdr>
      <w:tabs>
        <w:tab w:val="right" w:pos="9026"/>
      </w:tabs>
    </w:pPr>
    <w:r>
      <w:rPr>
        <w:rFonts w:ascii="Arial" w:hAnsi="Arial" w:eastAsia="Arial" w:cs="Arial"/>
        <w:color w:val="BDC3C7"/>
        <w:sz w:val="16"/>
        <w:szCs w:val="16"/>
      </w:rPr>
      <w:t>CONFIDENTIAL — Submission Document</w:t>
    </w:r>
    <w:r>
      <w:rPr>
        <w:rFonts w:ascii="Arial" w:hAnsi="Arial" w:eastAsia="Arial" w:cs="Arial"/>
        <w:sz w:val="16"/>
        <w:szCs w:val="16"/>
      </w:rPr>
      <w:tab/>
    </w:r>
    <w:r>
      <w:rPr>
        <w:rFonts w:ascii="Arial" w:hAnsi="Arial" w:eastAsia="Arial" w:cs="Arial"/>
        <w:color w:val="2C3E50"/>
        <w:sz w:val="16"/>
        <w:szCs w:val="16"/>
      </w:rPr>
      <w:t xml:space="preserve">Page </w:t>
    </w:r>
    <w:r>
      <w:fldChar w:fldCharType="begin"/>
    </w:r>
    <w:r>
      <w:instrText xml:space="preserve">PAGE</w:instrText>
    </w:r>
    <w:r>
      <w:fldChar w:fldCharType="separate"/>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72DF24">
    <w:pPr>
      <w:pBdr>
        <w:bottom w:val="single" w:color="C0392B" w:sz="4" w:space="1"/>
      </w:pBdr>
      <w:tabs>
        <w:tab w:val="right" w:pos="9026"/>
      </w:tabs>
    </w:pPr>
    <w:r>
      <w:rPr>
        <w:rFonts w:ascii="Arial" w:hAnsi="Arial" w:eastAsia="Arial" w:cs="Arial"/>
        <w:color w:val="2C3E50"/>
        <w:sz w:val="16"/>
        <w:szCs w:val="16"/>
      </w:rPr>
      <w:t>Case STABILIS — Technical Appendix</w:t>
    </w:r>
    <w:r>
      <w:rPr>
        <w:rFonts w:ascii="Arial" w:hAnsi="Arial" w:eastAsia="Arial" w:cs="Arial"/>
        <w:sz w:val="16"/>
        <w:szCs w:val="16"/>
      </w:rPr>
      <w:tab/>
      <w:t/>
    </w:r>
    <w:r>
      <w:rPr>
        <w:rFonts w:ascii="Arial" w:hAnsi="Arial" w:eastAsia="Arial" w:cs="Arial"/>
        <w:sz w:val="16"/>
        <w:szCs w:val="16"/>
      </w:rPr>
      <w:tab/>
    </w:r>
    <w:r>
      <w:rPr>
        <w:rFonts w:ascii="Arial" w:hAnsi="Arial" w:eastAsia="Arial" w:cs="Arial"/>
        <w:color w:val="BDC3C7"/>
        <w:sz w:val="16"/>
        <w:szCs w:val="16"/>
      </w:rPr>
      <w:t>NLD Synapse 2026 | CARAT Analytics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4E6352E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0"/>
      <w:szCs w:val="20"/>
    </w:rPr>
  </w:style>
  <w:style w:type="paragraph" w:styleId="2">
    <w:name w:val="heading 1"/>
    <w:next w:val="1"/>
    <w:qFormat/>
    <w:uiPriority w:val="0"/>
    <w:pPr>
      <w:spacing w:before="400" w:after="160"/>
      <w:outlineLvl w:val="0"/>
    </w:pPr>
    <w:rPr>
      <w:rFonts w:ascii="Arial" w:hAnsi="Arial" w:eastAsia="Arial" w:cs="Arial"/>
      <w:b/>
      <w:bCs/>
      <w:color w:val="2C3E50"/>
      <w:sz w:val="28"/>
      <w:szCs w:val="28"/>
    </w:rPr>
  </w:style>
  <w:style w:type="paragraph" w:styleId="3">
    <w:name w:val="heading 2"/>
    <w:next w:val="1"/>
    <w:qFormat/>
    <w:uiPriority w:val="0"/>
    <w:pPr>
      <w:spacing w:before="280" w:after="120"/>
      <w:outlineLvl w:val="1"/>
    </w:pPr>
    <w:rPr>
      <w:rFonts w:ascii="Arial" w:hAnsi="Arial" w:eastAsia="Arial" w:cs="Arial"/>
      <w:b/>
      <w:bCs/>
      <w:color w:val="C0392B"/>
      <w:sz w:val="24"/>
      <w:szCs w:val="24"/>
    </w:rPr>
  </w:style>
  <w:style w:type="paragraph" w:styleId="4">
    <w:name w:val="heading 3"/>
    <w:next w:val="1"/>
    <w:qFormat/>
    <w:uiPriority w:val="0"/>
    <w:pPr>
      <w:spacing w:before="200" w:after="80"/>
      <w:outlineLvl w:val="2"/>
    </w:pPr>
    <w:rPr>
      <w:rFonts w:ascii="Arial" w:hAnsi="Arial" w:eastAsia="Arial" w:cs="Arial"/>
      <w:b/>
      <w:bCs/>
      <w:color w:val="2C3E50"/>
      <w:sz w:val="22"/>
      <w:szCs w:val="22"/>
    </w:rPr>
  </w:style>
  <w:style w:type="paragraph" w:styleId="5">
    <w:name w:val="heading 4"/>
    <w:next w:val="1"/>
    <w:qFormat/>
    <w:uiPriority w:val="0"/>
    <w:rPr>
      <w:rFonts w:ascii="Arial" w:hAnsi="Arial" w:eastAsia="Arial" w:cs="Arial"/>
      <w:i/>
      <w:iCs/>
      <w:color w:val="2E74B5"/>
      <w:sz w:val="20"/>
      <w:szCs w:val="20"/>
    </w:rPr>
  </w:style>
  <w:style w:type="paragraph" w:styleId="6">
    <w:name w:val="heading 5"/>
    <w:next w:val="1"/>
    <w:qFormat/>
    <w:uiPriority w:val="0"/>
    <w:rPr>
      <w:rFonts w:ascii="Arial" w:hAnsi="Arial" w:eastAsia="Arial" w:cs="Arial"/>
      <w:color w:val="2E74B5"/>
      <w:sz w:val="20"/>
      <w:szCs w:val="20"/>
    </w:rPr>
  </w:style>
  <w:style w:type="paragraph" w:styleId="7">
    <w:name w:val="heading 6"/>
    <w:next w:val="1"/>
    <w:qFormat/>
    <w:uiPriority w:val="0"/>
    <w:rPr>
      <w:rFonts w:ascii="Arial" w:hAnsi="Arial" w:eastAsia="Arial" w:cs="Arial"/>
      <w:color w:val="1F4D78"/>
      <w:sz w:val="20"/>
      <w:szCs w:val="20"/>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footnote reference"/>
    <w:semiHidden/>
    <w:unhideWhenUsed/>
    <w:uiPriority w:val="99"/>
    <w:rPr>
      <w:vertAlign w:val="superscript"/>
    </w:rPr>
  </w:style>
  <w:style w:type="paragraph" w:styleId="11">
    <w:name w:val="footnote text"/>
    <w:link w:val="15"/>
    <w:semiHidden/>
    <w:unhideWhenUsed/>
    <w:uiPriority w:val="99"/>
    <w:pPr>
      <w:spacing w:after="0" w:line="240" w:lineRule="auto"/>
    </w:pPr>
    <w:rPr>
      <w:rFonts w:ascii="Arial" w:hAnsi="Arial" w:eastAsia="Arial" w:cs="Arial"/>
      <w:sz w:val="20"/>
      <w:szCs w:val="20"/>
    </w:rPr>
  </w:style>
  <w:style w:type="character" w:styleId="12">
    <w:name w:val="Hyperlink"/>
    <w:unhideWhenUsed/>
    <w:uiPriority w:val="99"/>
    <w:rPr>
      <w:color w:val="0563C1"/>
      <w:u w:val="single"/>
    </w:rPr>
  </w:style>
  <w:style w:type="paragraph" w:styleId="13">
    <w:name w:val="Title"/>
    <w:qFormat/>
    <w:uiPriority w:val="0"/>
    <w:rPr>
      <w:rFonts w:ascii="Arial" w:hAnsi="Arial" w:eastAsia="Arial" w:cs="Arial"/>
      <w:sz w:val="56"/>
      <w:szCs w:val="56"/>
    </w:rPr>
  </w:style>
  <w:style w:type="paragraph" w:styleId="14">
    <w:name w:val="List Paragraph"/>
    <w:qFormat/>
    <w:uiPriority w:val="0"/>
    <w:rPr>
      <w:rFonts w:ascii="Arial" w:hAnsi="Arial" w:eastAsia="Arial" w:cs="Arial"/>
      <w:sz w:val="20"/>
      <w:szCs w:val="20"/>
    </w:rPr>
  </w:style>
  <w:style w:type="character" w:customStyle="1" w:styleId="15">
    <w:name w:val="Foot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11</Pages>
  <TotalTime>55</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2026-03-01T01:39:00Z</dcterms:created>
  <dc:creator>Un-named</dc:creator>
  <cp:lastModifiedBy>Indra Nath Sanyal</cp:lastModifiedBy>
  <dcterms:modified xsi:type="dcterms:W3CDTF">2026-03-01T02:48:19Z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89A6B1E3CCF04DFD845096716EB9A233_13</vt:lpwstr>
  </property>
</Properties>
</file>