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6BC8" w14:textId="77777777" w:rsidR="00F140DF" w:rsidRDefault="00F140DF" w:rsidP="00F140DF">
      <w:pPr>
        <w:pStyle w:val="Heading1"/>
      </w:pPr>
      <w:r>
        <w:t>Chapter 3</w:t>
      </w:r>
    </w:p>
    <w:p w14:paraId="6B27CAAB" w14:textId="77777777" w:rsidR="00F140DF" w:rsidRDefault="002D2597"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F140DF" w:rsidRPr="00F140DF">
        <w:rPr>
          <w:rStyle w:val="Heading2Char"/>
        </w:rPr>
        <w:t>Geometric model of Scheimpflug</w:t>
      </w:r>
      <w:r w:rsidR="00F140DF">
        <w:rPr>
          <w:rStyle w:val="Heading2Char"/>
        </w:rPr>
        <w:t xml:space="preserve"> I</w:t>
      </w:r>
      <w:r w:rsidR="00F140DF" w:rsidRPr="00F140DF">
        <w:rPr>
          <w:rStyle w:val="Heading2Char"/>
        </w:rPr>
        <w:t>maging</w:t>
      </w:r>
      <w:r w:rsidR="00F140DF">
        <w:t xml:space="preserve"> </w:t>
      </w:r>
    </w:p>
    <w:p w14:paraId="7096FB5A" w14:textId="77777777" w:rsidR="00F140DF" w:rsidRDefault="00F140DF" w:rsidP="00F140DF">
      <w:pPr>
        <w:pStyle w:val="Heading3"/>
      </w:pPr>
      <w:r>
        <w:t>Introduction</w:t>
      </w:r>
    </w:p>
    <w:p w14:paraId="6B35A800" w14:textId="77777777" w:rsidR="00F140DF" w:rsidRDefault="00F140DF" w:rsidP="00F140DF">
      <w:r>
        <w:t>TO DO: State the motivation and assumptions.</w:t>
      </w:r>
    </w:p>
    <w:p w14:paraId="047AEF08" w14:textId="77777777" w:rsidR="00F140DF" w:rsidRDefault="00F140DF" w:rsidP="00F140DF">
      <w:r>
        <w:t>TO DO: Preview of what is coming in the following sections.</w:t>
      </w:r>
    </w:p>
    <w:p w14:paraId="7B30B016" w14:textId="77777777" w:rsidR="00F140DF" w:rsidRDefault="00F140DF" w:rsidP="00F140DF">
      <w:r>
        <w:t>TO DO: State the novelty of this approach, and why needed to develop this model</w:t>
      </w:r>
    </w:p>
    <w:p w14:paraId="15E04650" w14:textId="77777777" w:rsidR="008F570C" w:rsidRDefault="008F570C" w:rsidP="00F140DF">
      <w:r>
        <w:t>TO DO: Notation</w:t>
      </w:r>
    </w:p>
    <w:p w14:paraId="57F62A87" w14:textId="77777777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super-script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  </w:t>
      </w:r>
    </w:p>
    <w:p w14:paraId="19CA511D" w14:textId="77777777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>A subscript is used to associate a variable to a particular xxx like entrance-pupil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 xml:space="preserve">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F140DF" w:rsidRDefault="00D70954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0947C4BE" w14:textId="77777777" w:rsidR="001D0D50" w:rsidRDefault="00F140DF" w:rsidP="00F140DF">
      <w:pPr>
        <w:pStyle w:val="Heading3"/>
      </w:pPr>
      <w:r>
        <w:t>Relation between the direction cosines of the chief rays in the object and image side</w:t>
      </w:r>
    </w:p>
    <w:p w14:paraId="21535E68" w14:textId="77777777" w:rsidR="007D66DE" w:rsidRDefault="00762D71" w:rsidP="00762D71">
      <w:pPr>
        <w:jc w:val="both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</w:t>
      </w:r>
      <w:r w:rsidR="000379B8">
        <w:t xml:space="preserve"> </w:t>
      </w:r>
      <w:r w:rsidR="00653505">
        <w:t>direction cosine of the chief ray from a world point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entrance pupil (ENP) in the object side,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 direction cosine of the chief ray emerging from the exit pupil (EXP)</w:t>
      </w:r>
      <w:r w:rsidR="00653505">
        <w:t xml:space="preserve"> to the corresponding image </w:t>
      </w:r>
      <w:r>
        <w:t>point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in the image side</w:t>
      </w:r>
      <w:r w:rsidR="00653505">
        <w:t xml:space="preserve">. </w:t>
      </w:r>
      <w:r>
        <w:t xml:space="preserve">If the angles between the chief ray and the optical axis at the object side and image side be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respectively, then the relation between the angles</w:t>
      </w:r>
      <w:r w:rsidR="00E9304A">
        <w:rPr>
          <w:rFonts w:eastAsiaTheme="minorEastAsia"/>
        </w:rPr>
        <w:t xml:space="preserve"> </w:t>
      </w:r>
      <w:r w:rsidR="00F140DF">
        <w:rPr>
          <w:rFonts w:eastAsiaTheme="minorEastAsia"/>
        </w:rPr>
        <w:t>is given by the airy tangent condition [</w:t>
      </w:r>
      <w:r w:rsidR="00F140DF" w:rsidRPr="00F140DF">
        <w:rPr>
          <w:rFonts w:eastAsiaTheme="minorEastAsia"/>
          <w:highlight w:val="yellow"/>
        </w:rPr>
        <w:t>ref</w:t>
      </w:r>
      <w:r w:rsidR="00F140DF">
        <w:rPr>
          <w:rFonts w:eastAsiaTheme="minorEastAsia"/>
        </w:rPr>
        <w:t>]: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14:paraId="6C91D6A3" w14:textId="77777777" w:rsidTr="007D66DE">
        <w:tc>
          <w:tcPr>
            <w:tcW w:w="8631" w:type="dxa"/>
            <w:shd w:val="clear" w:color="auto" w:fill="auto"/>
            <w:vAlign w:val="center"/>
          </w:tcPr>
          <w:p w14:paraId="16596F4C" w14:textId="77777777" w:rsidR="007D66DE" w:rsidRDefault="00D70954" w:rsidP="007D66DE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constant</m:t>
                </m:r>
              </m:oMath>
            </m:oMathPara>
          </w:p>
        </w:tc>
        <w:bookmarkStart w:id="0" w:name="NumberRef5334240198"/>
        <w:bookmarkStart w:id="1" w:name="NumberRef5795186162"/>
        <w:tc>
          <w:tcPr>
            <w:tcW w:w="720" w:type="dxa"/>
            <w:shd w:val="clear" w:color="auto" w:fill="auto"/>
            <w:vAlign w:val="center"/>
          </w:tcPr>
          <w:p w14:paraId="000F7897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</w:instrText>
            </w:r>
            <w:r w:rsidR="00D70954">
              <w:instrText xml:space="preserve">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0"/>
            <w:bookmarkEnd w:id="1"/>
          </w:p>
        </w:tc>
      </w:tr>
    </w:tbl>
    <w:p w14:paraId="31E41FFE" w14:textId="77777777" w:rsidR="002D2597" w:rsidRDefault="00AB309F" w:rsidP="00AB309F">
      <w:pPr>
        <w:jc w:val="both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pupil magnification defined as the ratio between the paraxial exit</w:t>
      </w:r>
      <w:r w:rsidR="00C86102">
        <w:rPr>
          <w:rFonts w:eastAsiaTheme="minorEastAsia"/>
        </w:rPr>
        <w:t>-</w:t>
      </w:r>
      <w:r>
        <w:rPr>
          <w:rFonts w:eastAsiaTheme="minorEastAsia"/>
        </w:rPr>
        <w:t xml:space="preserve">pupil </w:t>
      </w:r>
      <w:r w:rsidR="00C86102">
        <w:rPr>
          <w:rFonts w:eastAsiaTheme="minorEastAsia"/>
        </w:rPr>
        <w:t>to the paraxial entrance-</w:t>
      </w:r>
      <w:r>
        <w:rPr>
          <w:rFonts w:eastAsiaTheme="minorEastAsia"/>
        </w:rPr>
        <w:t xml:space="preserve">pupil diameter.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087B2" wp14:editId="2202A4D6">
                  <wp:extent cx="4800600" cy="1636776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77777777" w:rsidR="002D2597" w:rsidRDefault="002D2597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1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 w:rsidR="00F47F2E">
              <w:rPr>
                <w:i/>
                <w:sz w:val="20"/>
                <w:szCs w:val="24"/>
              </w:rPr>
              <w:t xml:space="preserve">Schematic </w:t>
            </w:r>
            <w:r w:rsidR="00E9304A">
              <w:rPr>
                <w:i/>
                <w:sz w:val="20"/>
                <w:szCs w:val="24"/>
              </w:rPr>
              <w:t xml:space="preserve">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E9304A"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 w:rsidR="009436AF">
              <w:rPr>
                <w:i/>
                <w:sz w:val="20"/>
                <w:szCs w:val="24"/>
              </w:rPr>
              <w:t xml:space="preserve"> when the optical axis is aligned with the z-axis of the reference frame</w:t>
            </w:r>
            <w:r w:rsidR="00C86102">
              <w:rPr>
                <w:i/>
                <w:sz w:val="20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{P}</m:t>
              </m:r>
            </m:oMath>
            <w:r w:rsidR="00C86102">
              <w:rPr>
                <w:rFonts w:eastAsiaTheme="minorEastAsia"/>
                <w:i/>
                <w:sz w:val="20"/>
                <w:szCs w:val="24"/>
              </w:rPr>
              <w:t xml:space="preserve"> with its origin at the entrance-pupil (ENP) position</w:t>
            </w:r>
            <w:r w:rsidR="009436AF">
              <w:rPr>
                <w:i/>
                <w:sz w:val="20"/>
                <w:szCs w:val="24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5469B38C" w14:textId="77777777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chief ray in the object side,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side, </w:t>
      </w:r>
      <w:r>
        <w:t>the direction cosines are represented in the spherical coordinates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D70954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2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2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"/>
          </w:p>
        </w:tc>
      </w:tr>
    </w:tbl>
    <w:p w14:paraId="4D91EDC3" w14:textId="77777777" w:rsidR="009F358D" w:rsidRDefault="00AB309F" w:rsidP="00AB309F">
      <w:pPr>
        <w:jc w:val="both"/>
      </w:pPr>
      <w:r>
        <w:t xml:space="preserve">When the optical axis is aligned with the z-axis, then </w:t>
      </w:r>
      <m:oMath>
        <m:r>
          <w:rPr>
            <w:rFonts w:ascii="Cambria Math" w:hAnsi="Cambria Math"/>
          </w:rPr>
          <m:t>ω=θ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>
        <w:rPr>
          <w:rFonts w:eastAsiaTheme="minorEastAsia"/>
        </w:rPr>
        <w:t>.</w:t>
      </w:r>
      <w:r>
        <w:t xml:space="preserve"> </w:t>
      </w:r>
      <w:r w:rsidR="001D5C3C">
        <w:t>Substituting</w:t>
      </w:r>
      <w:r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C5D5D">
        <w:t>(3.2)</w:t>
      </w:r>
      <w:r w:rsidR="009F358D" w:rsidRPr="009F358D">
        <w:fldChar w:fldCharType="end"/>
      </w:r>
      <w:r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C5D5D">
        <w:t>(3.1)</w:t>
      </w:r>
      <w:r w:rsidR="009F358D" w:rsidRPr="009F358D">
        <w:fldChar w:fldCharType="end"/>
      </w:r>
      <w:r w:rsidR="001D5C3C">
        <w:t xml:space="preserve"> </w:t>
      </w:r>
      <w:r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D70954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6B7C5D1" w14:textId="77777777" w:rsidR="009F358D" w:rsidRDefault="009D7528" w:rsidP="00AB309F">
      <w:pPr>
        <w:jc w:val="both"/>
        <w:rPr>
          <w:rFonts w:eastAsiaTheme="minorEastAsia"/>
        </w:rPr>
      </w:pPr>
      <w:r>
        <w:t xml:space="preserve">By definition the chief ray (a meridional ray) is </w:t>
      </w:r>
      <w:r w:rsidRPr="009D7528">
        <w:rPr>
          <w:highlight w:val="yellow"/>
        </w:rPr>
        <w:t>….</w:t>
      </w:r>
      <w:r>
        <w:t xml:space="preserve">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>
        <w:rPr>
          <w:rFonts w:eastAsiaTheme="minorEastAsia"/>
        </w:rPr>
        <w:t xml:space="preserve"> and the above relations reduces to: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D70954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</w:instrText>
            </w:r>
            <w:r w:rsidR="00D70954">
              <w:instrText xml:space="preserve">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4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B0B6E44" w14:textId="7777777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3C5D5D">
        <w:t>(3.1)</w:t>
      </w:r>
      <w:r w:rsidR="00F40D5B" w:rsidRPr="00F40D5B">
        <w:fldChar w:fldCharType="end"/>
      </w: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D70954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5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AFEFE14" w14:textId="77777777" w:rsidR="00DB4460" w:rsidRDefault="00A15FD3" w:rsidP="00AB309F">
      <w:pPr>
        <w:jc w:val="both"/>
      </w:pPr>
      <w:r>
        <w:t>Simplifying further,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D70954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3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6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"/>
          </w:p>
        </w:tc>
      </w:tr>
    </w:tbl>
    <w:p w14:paraId="6E6BDFA9" w14:textId="77777777" w:rsidR="00DB4460" w:rsidRDefault="00A15FD3" w:rsidP="00AB309F">
      <w:pPr>
        <w:jc w:val="both"/>
      </w:pPr>
      <w:r>
        <w:t>Therefore,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D70954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4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7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"/>
          </w:p>
        </w:tc>
      </w:tr>
    </w:tbl>
    <w:p w14:paraId="7BCC7678" w14:textId="77777777" w:rsidR="00DB4460" w:rsidRDefault="009D7528" w:rsidP="00AB309F">
      <w:pPr>
        <w:jc w:val="both"/>
      </w:pPr>
      <w:r>
        <w:t xml:space="preserve">Since the chief ray emerging from the exit pupil </w:t>
      </w:r>
      <w:r w:rsidR="00A15FD3">
        <w:t>spans</w:t>
      </w:r>
      <w:r>
        <w:t xml:space="preserve"> the plane formed by the input chie</w:t>
      </w:r>
      <w:r w:rsidR="00A15FD3">
        <w:t>f ray and the optical axis, the</w:t>
      </w:r>
      <w:r>
        <w:t xml:space="preserve"> chief ray</w:t>
      </w:r>
      <w:r w:rsidR="00A15FD3">
        <w:t xml:space="preserve"> in the image side</w:t>
      </w:r>
      <w:r>
        <w:t xml:space="preserve"> may be represented as a linear combination of the input chief ray and the optical axis (represented in vector form) as follows: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D70954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5" w:name="NumberRef3019480109"/>
        <w:bookmarkStart w:id="6" w:name="NumberRef140176415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8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"/>
            <w:bookmarkEnd w:id="6"/>
          </w:p>
        </w:tc>
      </w:tr>
    </w:tbl>
    <w:p w14:paraId="5DA65720" w14:textId="77777777" w:rsidR="00DB4460" w:rsidRDefault="001415F7" w:rsidP="00AB309F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are the weights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9D7528">
        <w:t xml:space="preserve"> </w:t>
      </w:r>
      <w:r>
        <w:t xml:space="preserve">is direction cosine of the line representing the optical axis.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when the optical axis is aligned</w:t>
      </w:r>
      <w:r w:rsidR="00F4653F">
        <w:rPr>
          <w:rFonts w:eastAsiaTheme="minorEastAsia"/>
        </w:rPr>
        <w:t xml:space="preserve"> with the z-axis (present case). 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NumberRef3019480109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D70954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9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AB337C9" w14:textId="77777777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(3.6)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get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D70954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10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ED481B7" w14:textId="77777777" w:rsidR="00AB309F" w:rsidRDefault="009436A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would like to derive the relationship between the input and output direction cosines of the chief ray for an arbitrary </w:t>
      </w:r>
      <w:r w:rsidR="00756E3F">
        <w:rPr>
          <w:rFonts w:eastAsiaTheme="minorEastAsia"/>
        </w:rPr>
        <w:t>rotation</w:t>
      </w:r>
      <w:r>
        <w:rPr>
          <w:rFonts w:eastAsiaTheme="minorEastAsia"/>
        </w:rPr>
        <w:t xml:space="preserve"> of the optical axis</w:t>
      </w:r>
      <w:r w:rsidR="00756E3F">
        <w:rPr>
          <w:rFonts w:eastAsiaTheme="minorEastAsia"/>
        </w:rPr>
        <w:t xml:space="preserve"> centered about the ENP</w:t>
      </w:r>
      <w:r>
        <w:rPr>
          <w:rFonts w:eastAsiaTheme="minorEastAsia"/>
        </w:rPr>
        <w:t xml:space="preserve"> as shown in </w:t>
      </w:r>
      <w:r w:rsidRPr="009436AF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 xml:space="preserve">.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7ABFF4" wp14:editId="4E22AF6F">
                  <wp:extent cx="4791456" cy="1673352"/>
                  <wp:effectExtent l="0" t="0" r="9525" b="317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456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77777777" w:rsidR="009436AF" w:rsidRDefault="009436AF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2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2379CAF0" w14:textId="77777777" w:rsidR="00C91E2D" w:rsidRPr="00C91E2D" w:rsidRDefault="0018604B" w:rsidP="00C91E2D">
      <w:pPr>
        <w:pStyle w:val="MTDisplayEquation"/>
      </w:pPr>
      <w:r w:rsidRPr="0018604B">
        <w:rPr>
          <w:highlight w:val="yellow"/>
        </w:rPr>
        <w:t>Write appropriate text here.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D70954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11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47B4542" w14:textId="77777777" w:rsidR="00490D59" w:rsidRDefault="00490D59" w:rsidP="00AB309F">
      <w:pPr>
        <w:jc w:val="both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681CF34E" w14:textId="77777777" w:rsidR="00C91E2D" w:rsidRPr="00C91E2D" w:rsidRDefault="00A20AF0" w:rsidP="00C91E2D">
      <w:pPr>
        <w:pStyle w:val="MTDisplayEquation"/>
      </w:pPr>
      <w:r w:rsidRPr="0018604B">
        <w:rPr>
          <w:highlight w:val="yellow"/>
        </w:rPr>
        <w:t>Write appropriate text here.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7777777" w:rsidR="00C91E2D" w:rsidRDefault="00D70954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12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2DA8F307" w14:textId="77777777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D70954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7" w:name="NumberRef7607235909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13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7"/>
          </w:p>
        </w:tc>
      </w:tr>
    </w:tbl>
    <w:p w14:paraId="450B5569" w14:textId="77777777" w:rsidR="00C91E2D" w:rsidRDefault="00A20AF0" w:rsidP="00AB309F">
      <w:pPr>
        <w:jc w:val="both"/>
        <w:rPr>
          <w:rFonts w:eastAsiaTheme="minorEastAsia"/>
        </w:rPr>
      </w:pPr>
      <w:r>
        <w:t>By comparing the above equation with</w:t>
      </w:r>
      <w:r w:rsidR="00C91E2D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3C5D5D">
        <w:t>(3.8)</w:t>
      </w:r>
      <w:r w:rsidR="00C91E2D" w:rsidRPr="00C91E2D">
        <w:fldChar w:fldCharType="end"/>
      </w:r>
      <w:r>
        <w:t xml:space="preserve"> the expression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D70954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14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7D22BC3C" w14:textId="77777777" w:rsidR="00FE368F" w:rsidRDefault="00A20AF0" w:rsidP="00AB309F">
      <w:pPr>
        <w:jc w:val="both"/>
        <w:rPr>
          <w:rFonts w:eastAsiaTheme="minorEastAsia"/>
        </w:rPr>
      </w:pPr>
      <w:r>
        <w:rPr>
          <w:rFonts w:eastAsiaTheme="minorEastAsia"/>
        </w:rPr>
        <w:t>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(3.13)</w:t>
      </w:r>
      <w:r w:rsidR="00FE368F" w:rsidRPr="00FE368F"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then be written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77777777" w:rsidR="00B61565" w:rsidRPr="00B61565" w:rsidRDefault="00D70954" w:rsidP="00B61565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77777777" w:rsidR="00337057" w:rsidRDefault="00783286" w:rsidP="00A20AF0">
      <w:pPr>
        <w:pStyle w:val="MTDisplayEquation"/>
      </w:pP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D70954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15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5D0F33E" w14:textId="77777777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>, the general expression for the direction cosines of the chief ray in the image side in terms of the pupil magnification and direction cosines in the object side is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77777777" w:rsidR="00337057" w:rsidRDefault="00D70954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16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39008A3" w14:textId="6AFF87FA" w:rsidR="00A20AF0" w:rsidRDefault="0024387D" w:rsidP="003055A5">
      <w:pPr>
        <w:pStyle w:val="MTDisplayEquation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:)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14:paraId="27A83D38" w14:textId="77777777" w:rsidR="0024387D" w:rsidRPr="0024387D" w:rsidRDefault="0024387D" w:rsidP="0024387D"/>
    <w:p w14:paraId="7C414550" w14:textId="77777777" w:rsidR="000C7573" w:rsidRDefault="000C7573" w:rsidP="000C7573">
      <w:pPr>
        <w:pStyle w:val="Heading3"/>
      </w:pPr>
      <w:r>
        <w:t>Relation between object coordinate and image coordinate for arbitrary orientation of the lens and image plane</w:t>
      </w:r>
    </w:p>
    <w:p w14:paraId="6F0D0233" w14:textId="77777777" w:rsidR="003055A5" w:rsidRDefault="0024387D" w:rsidP="00AB309F">
      <w:pPr>
        <w:jc w:val="both"/>
      </w:pPr>
      <w:r>
        <w:t xml:space="preserve"> </w:t>
      </w:r>
      <w:bookmarkStart w:id="8" w:name="_GoBack"/>
      <w:bookmarkEnd w:id="8"/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5A54D34A">
                  <wp:extent cx="5221294" cy="2120199"/>
                  <wp:effectExtent l="0" t="0" r="0" b="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294" cy="212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7777777" w:rsidR="0009609F" w:rsidRDefault="0009609F" w:rsidP="007D66DE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68681112" w14:textId="77777777" w:rsidR="000C7573" w:rsidRDefault="000C7573" w:rsidP="00AB309F">
      <w:pPr>
        <w:jc w:val="both"/>
      </w:pPr>
    </w:p>
    <w:p w14:paraId="7B63C178" w14:textId="77777777" w:rsidR="000C7573" w:rsidRDefault="00055E43" w:rsidP="00AB309F">
      <w:pPr>
        <w:jc w:val="both"/>
      </w:pPr>
      <w:r>
        <w:t>Explain the different coordinate frames.</w:t>
      </w:r>
    </w:p>
    <w:p w14:paraId="3D0201F2" w14:textId="77777777" w:rsidR="00337057" w:rsidRDefault="000B7E5D" w:rsidP="00AB309F">
      <w:pPr>
        <w:jc w:val="both"/>
        <w:rPr>
          <w:rFonts w:eastAsiaTheme="minorEastAsia"/>
        </w:rPr>
      </w:pPr>
      <w:r>
        <w:t xml:space="preserve">Let the position vector of the </w:t>
      </w:r>
      <w:r w:rsidR="00055E43">
        <w:t>exit pupil (EX</w:t>
      </w:r>
      <w:r w:rsidR="000C7573">
        <w:t>P)</w:t>
      </w:r>
      <w:r>
        <w:t xml:space="preserve"> in the 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be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sPre>
      </m:oMath>
      <w:r>
        <w:rPr>
          <w:rFonts w:eastAsiaTheme="minorEastAsia"/>
        </w:rPr>
        <w:t xml:space="preserve">. Since the EXP </w:t>
      </w:r>
      <w:r>
        <w:t>is</w:t>
      </w:r>
      <w:r w:rsidR="000C7573">
        <w:t xml:space="preserve"> located at a distance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r w:rsidR="000C7573">
        <w:rPr>
          <w:rFonts w:eastAsiaTheme="minorEastAsia"/>
        </w:rPr>
        <w:t>f</w:t>
      </w:r>
      <w:r w:rsidR="000C7573">
        <w:t>rom the entrance pupil (ENP) along the optical axis</w:t>
      </w:r>
      <w:r>
        <w:t xml:space="preserve">,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0,0,d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C7573">
        <w:t xml:space="preserve">. The </w:t>
      </w:r>
      <w:r w:rsidR="006D1B29">
        <w:t>optical axis (along with the cardinal planes of the lens)</w:t>
      </w:r>
      <w:r w:rsidR="000C7573">
        <w:t xml:space="preserve"> is tilted </w:t>
      </w:r>
      <w:r w:rsidR="00055E43">
        <w:t xml:space="preserve">in the camera frame </w:t>
      </w:r>
      <m:oMath>
        <m:r>
          <w:rPr>
            <w:rFonts w:ascii="Cambria Math" w:hAnsi="Cambria Math"/>
          </w:rPr>
          <m:t>{C}</m:t>
        </m:r>
      </m:oMath>
      <w:r w:rsidR="00055E43">
        <w:t xml:space="preserve"> </w:t>
      </w:r>
      <w:r w:rsidR="006D1B29">
        <w:t xml:space="preserve">using </w:t>
      </w:r>
      <w:r w:rsidR="002A6A9E">
        <w:t xml:space="preserve">a rotation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55E43">
        <w:rPr>
          <w:rFonts w:eastAsiaTheme="minorEastAsia"/>
        </w:rPr>
        <w:t xml:space="preserve">. Therefore the location of the EXP in the camera frame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55E43">
        <w:rPr>
          <w:rFonts w:eastAsiaTheme="minorEastAsia"/>
        </w:rPr>
        <w:t xml:space="preserve">. The chief ray emerging from the exit pupil (EXP) with direction cosine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by the parametric equation: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364BBB83" w:rsidR="00337057" w:rsidRDefault="00D70954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9" w:name="NumberRef8144900203"/>
        <w:bookmarkStart w:id="10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17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9"/>
            <w:bookmarkEnd w:id="10"/>
          </w:p>
        </w:tc>
      </w:tr>
    </w:tbl>
    <w:p w14:paraId="077CAA1C" w14:textId="581E0AB8" w:rsidR="00337057" w:rsidRDefault="00B65C29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represents any point along the chief ray in the image side.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77777777" w:rsidR="00337057" w:rsidRDefault="00D70954" w:rsidP="00F23CE4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ENP⊥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11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18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1"/>
          </w:p>
        </w:tc>
      </w:tr>
    </w:tbl>
    <w:p w14:paraId="447CBEE1" w14:textId="77777777" w:rsidR="00017399" w:rsidRDefault="00F23CE4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ENP⊥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 point on the plane.</w:t>
      </w:r>
    </w:p>
    <w:p w14:paraId="00B3A8AA" w14:textId="7777777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is obtained by 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3C5D5D">
        <w:t>(3.17)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4BEEF52E" w:rsidR="00206EC0" w:rsidRDefault="00D70954" w:rsidP="00F23CE4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ENP⊥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77777777" w:rsidR="00206EC0" w:rsidRDefault="00206EC0" w:rsidP="00F23CE4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12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19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2"/>
          </w:p>
        </w:tc>
      </w:tr>
    </w:tbl>
    <w:p w14:paraId="4B45ECDC" w14:textId="77777777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3C5D5D">
        <w:t>(3.19)</w:t>
      </w:r>
      <w:r w:rsidRPr="00C07098">
        <w:fldChar w:fldCharType="end"/>
      </w:r>
      <w:r>
        <w:t xml:space="preserve"> in to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3C5D5D">
        <w:t>(3.17)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67637AC0" w:rsidR="00C07098" w:rsidRDefault="00D70954" w:rsidP="00F23CE4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20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32D112E" w14:textId="77777777" w:rsidR="00E16050" w:rsidRDefault="00E16050" w:rsidP="00206EC0">
      <w:pPr>
        <w:jc w:val="both"/>
      </w:pPr>
    </w:p>
    <w:p w14:paraId="52F90F37" w14:textId="77777777" w:rsidR="00F753A7" w:rsidRDefault="00195AFF" w:rsidP="00206EC0">
      <w:pPr>
        <w:jc w:val="both"/>
        <w:rPr>
          <w:rFonts w:eastAsiaTheme="minorEastAsia"/>
        </w:rPr>
      </w:pPr>
      <w:r>
        <w:t xml:space="preserve">Let </w:t>
      </w:r>
      <w:r>
        <w:rPr>
          <w:rFonts w:eastAsiaTheme="minorEastAsia"/>
        </w:rPr>
        <w:t>the point</w:t>
      </w:r>
      <w:r>
        <w:t xml:space="preserve"> of intersection of the z-axis of the camera frame</w:t>
      </w:r>
      <w:r w:rsidR="00E1605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with the image plane</w:t>
      </w:r>
      <w:r w:rsidR="00E16050">
        <w:t xml:space="preserve"> be the origin of the image plane’s 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. </w:t>
      </w:r>
      <w:r w:rsidR="00E16050">
        <w:t xml:space="preserve">The orientation of the image plane can be described by applying a rotation to the image plane, with its plane 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figure 3.3. </w:t>
      </w:r>
      <w:r>
        <w:t xml:space="preserve"> </w:t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13"/>
      <w:r w:rsidR="00F753A7">
        <w:rPr>
          <w:rFonts w:eastAsiaTheme="minorEastAsia"/>
        </w:rPr>
        <w:t>matrix then</w:t>
      </w:r>
      <w:commentRangeEnd w:id="13"/>
      <w:r w:rsidR="00F753A7">
        <w:rPr>
          <w:rStyle w:val="CommentReference"/>
        </w:rPr>
        <w:commentReference w:id="13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D70954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21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4782CB74" w14:textId="77777777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B32E3">
        <w:rPr>
          <w:rFonts w:eastAsiaTheme="minorEastAsia"/>
        </w:rPr>
        <w:t xml:space="preserve">The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ENP⊥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</w:t>
      </w:r>
      <w:r w:rsidR="001F7669">
        <w:rPr>
          <w:rFonts w:eastAsiaTheme="minorEastAsia"/>
        </w:rPr>
        <w:t xml:space="preserve"> (refer to figure 3.4)</w:t>
      </w:r>
      <w:r w:rsidR="007B32E3">
        <w:rPr>
          <w:rFonts w:eastAsiaTheme="minorEastAsia"/>
        </w:rPr>
        <w:t>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7777777" w:rsidR="001F7669" w:rsidRDefault="00D70954" w:rsidP="001F76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77777777" w:rsidR="00566CBC" w:rsidRDefault="00566CBC" w:rsidP="00206EC0">
      <w:pPr>
        <w:jc w:val="both"/>
      </w:pPr>
      <w: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47390B43" w:rsidR="00566CBC" w:rsidRDefault="00D70954" w:rsidP="007D68DE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Z'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22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08AF7911" w14:textId="77777777" w:rsidR="00E16050" w:rsidRDefault="00E16050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1F7669" w14:paraId="580DBD60" w14:textId="77777777" w:rsidTr="0088737A">
        <w:tc>
          <w:tcPr>
            <w:tcW w:w="9576" w:type="dxa"/>
          </w:tcPr>
          <w:p w14:paraId="4EC4340D" w14:textId="77777777" w:rsidR="001F7669" w:rsidRDefault="001F7669" w:rsidP="0088737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7E593225">
                  <wp:extent cx="2916936" cy="1472184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88737A">
        <w:tc>
          <w:tcPr>
            <w:tcW w:w="9576" w:type="dxa"/>
          </w:tcPr>
          <w:p w14:paraId="2226DFDF" w14:textId="77777777" w:rsidR="001F7669" w:rsidRDefault="001F7669" w:rsidP="0088737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4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>xxx.</w:t>
            </w:r>
          </w:p>
          <w:p w14:paraId="4867393D" w14:textId="77777777" w:rsidR="001F7669" w:rsidRPr="0018391F" w:rsidRDefault="001F7669" w:rsidP="0088737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4CFB405C" w14:textId="77777777" w:rsidR="00566CBC" w:rsidRDefault="00566CBC" w:rsidP="00206EC0">
      <w:pPr>
        <w:jc w:val="both"/>
      </w:pPr>
      <w:r>
        <w:lastRenderedPageBreak/>
        <w:t xml:space="preserve">Using the above result the expression for the point of intersection of the chief-ray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19022C68" w:rsidR="00566CBC" w:rsidRDefault="00D70954" w:rsidP="007D68DE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14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23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73BDCE6A" w14:textId="77777777" w:rsidR="001F7669" w:rsidRDefault="001F7669" w:rsidP="00206EC0">
      <w:pPr>
        <w:jc w:val="both"/>
      </w:pPr>
    </w:p>
    <w:p w14:paraId="510C16C6" w14:textId="530A9CCD" w:rsidR="00EB7634" w:rsidRDefault="00EB7634" w:rsidP="00206EC0">
      <w:pPr>
        <w:jc w:val="both"/>
      </w:pPr>
      <w:r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77721F8D" w:rsidR="00EB7634" w:rsidRDefault="00D70954" w:rsidP="00EB7634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 w:rsidR="003C5D5D">
              <w:rPr>
                <w:noProof/>
              </w:rPr>
              <w:instrText>24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32FF1009" w14:textId="0E5DA686" w:rsidR="003C5D5D" w:rsidRDefault="003C5D5D" w:rsidP="00206EC0">
      <w:pPr>
        <w:jc w:val="both"/>
      </w:pPr>
      <w:r>
        <w:t>Which can be compactly written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4DFB56C7" w:rsidR="003C5D5D" w:rsidRDefault="00D70954" w:rsidP="003C5D5D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  <w:bookmarkStart w:id="15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>
              <w:rPr>
                <w:noProof/>
              </w:rPr>
              <w:instrText>25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>
        <w:t>(3.25)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>
        <w:t>(3.23)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C5D5D" w14:paraId="1F7CAF6A" w14:textId="77777777" w:rsidTr="003C5D5D">
        <w:tc>
          <w:tcPr>
            <w:tcW w:w="8631" w:type="dxa"/>
            <w:shd w:val="clear" w:color="auto" w:fill="auto"/>
            <w:vAlign w:val="center"/>
          </w:tcPr>
          <w:bookmarkStart w:id="16" w:name="OLE_LINK1"/>
          <w:bookmarkStart w:id="17" w:name="OLE_LINK2"/>
          <w:p w14:paraId="660D0002" w14:textId="3BD35F13" w:rsidR="003C5D5D" w:rsidRDefault="00D70954" w:rsidP="007D68DE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w:bookmarkEnd w:id="16"/>
                <w:bookmarkEnd w:id="17"/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D70954">
              <w:fldChar w:fldCharType="begin"/>
            </w:r>
            <w:r w:rsidR="00D70954">
              <w:instrText xml:space="preserve"> SEQ EqnChapter \c \* Arabic \* MERGEFORMAT </w:instrText>
            </w:r>
            <w:r w:rsidR="00D70954">
              <w:fldChar w:fldCharType="separate"/>
            </w:r>
            <w:r>
              <w:rPr>
                <w:noProof/>
              </w:rPr>
              <w:instrText>3</w:instrText>
            </w:r>
            <w:r w:rsidR="00D70954">
              <w:rPr>
                <w:noProof/>
              </w:rPr>
              <w:fldChar w:fldCharType="end"/>
            </w:r>
            <w:r>
              <w:instrText>.</w:instrText>
            </w:r>
            <w:r w:rsidR="00D70954">
              <w:fldChar w:fldCharType="begin"/>
            </w:r>
            <w:r w:rsidR="00D70954">
              <w:instrText xml:space="preserve"> SEQ EquationNumber \n \* Arabic \* MERGEFORMAT </w:instrText>
            </w:r>
            <w:r w:rsidR="00D70954">
              <w:fldChar w:fldCharType="separate"/>
            </w:r>
            <w:r>
              <w:rPr>
                <w:noProof/>
              </w:rPr>
              <w:instrText>26</w:instrText>
            </w:r>
            <w:r w:rsidR="00D7095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sectPr w:rsidR="00EB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indranil sinharoy" w:date="2015-09-06T17:43:00Z" w:initials="is">
    <w:p w14:paraId="3EE5B665" w14:textId="77777777" w:rsidR="00F753A7" w:rsidRDefault="00F753A7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</w:t>
      </w:r>
      <w:r w:rsidR="007B32E3">
        <w:rPr>
          <w:rFonts w:eastAsiaTheme="minorEastAsia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E5B6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22"/>
    <w:rsid w:val="00017399"/>
    <w:rsid w:val="00020401"/>
    <w:rsid w:val="000379B8"/>
    <w:rsid w:val="00055E43"/>
    <w:rsid w:val="0009609F"/>
    <w:rsid w:val="000A3F32"/>
    <w:rsid w:val="000B7E5D"/>
    <w:rsid w:val="000C7573"/>
    <w:rsid w:val="000E4FB5"/>
    <w:rsid w:val="000E507E"/>
    <w:rsid w:val="000F76C7"/>
    <w:rsid w:val="001415F7"/>
    <w:rsid w:val="0018604B"/>
    <w:rsid w:val="00195AFF"/>
    <w:rsid w:val="001C07E8"/>
    <w:rsid w:val="001D0D50"/>
    <w:rsid w:val="001D5C3C"/>
    <w:rsid w:val="001F7669"/>
    <w:rsid w:val="00206EC0"/>
    <w:rsid w:val="0024387D"/>
    <w:rsid w:val="0026385D"/>
    <w:rsid w:val="0028446F"/>
    <w:rsid w:val="002A6A9E"/>
    <w:rsid w:val="002D2597"/>
    <w:rsid w:val="003055A5"/>
    <w:rsid w:val="003326D2"/>
    <w:rsid w:val="00337057"/>
    <w:rsid w:val="003632D0"/>
    <w:rsid w:val="003C5D5D"/>
    <w:rsid w:val="00406125"/>
    <w:rsid w:val="004750CF"/>
    <w:rsid w:val="004815A9"/>
    <w:rsid w:val="004834F7"/>
    <w:rsid w:val="00490D59"/>
    <w:rsid w:val="00566CBC"/>
    <w:rsid w:val="00583D22"/>
    <w:rsid w:val="005E6CC6"/>
    <w:rsid w:val="00653505"/>
    <w:rsid w:val="0069670E"/>
    <w:rsid w:val="006D1B29"/>
    <w:rsid w:val="00724624"/>
    <w:rsid w:val="0075000A"/>
    <w:rsid w:val="00756E3F"/>
    <w:rsid w:val="00762D71"/>
    <w:rsid w:val="00783286"/>
    <w:rsid w:val="007B32E3"/>
    <w:rsid w:val="007D66DE"/>
    <w:rsid w:val="007D68DE"/>
    <w:rsid w:val="007F21B8"/>
    <w:rsid w:val="00870DF3"/>
    <w:rsid w:val="008A1790"/>
    <w:rsid w:val="008B644A"/>
    <w:rsid w:val="008B6743"/>
    <w:rsid w:val="008D7342"/>
    <w:rsid w:val="008F570C"/>
    <w:rsid w:val="009436AF"/>
    <w:rsid w:val="009D1B8F"/>
    <w:rsid w:val="009D7528"/>
    <w:rsid w:val="009F358D"/>
    <w:rsid w:val="009F6F64"/>
    <w:rsid w:val="00A15FD3"/>
    <w:rsid w:val="00A20AF0"/>
    <w:rsid w:val="00A31880"/>
    <w:rsid w:val="00A95AE8"/>
    <w:rsid w:val="00AB309F"/>
    <w:rsid w:val="00AC761F"/>
    <w:rsid w:val="00B3603C"/>
    <w:rsid w:val="00B42DA2"/>
    <w:rsid w:val="00B61565"/>
    <w:rsid w:val="00B65C29"/>
    <w:rsid w:val="00B9722C"/>
    <w:rsid w:val="00C07098"/>
    <w:rsid w:val="00C24F89"/>
    <w:rsid w:val="00C43D5A"/>
    <w:rsid w:val="00C86102"/>
    <w:rsid w:val="00C91E2D"/>
    <w:rsid w:val="00D245D3"/>
    <w:rsid w:val="00D70954"/>
    <w:rsid w:val="00DB4460"/>
    <w:rsid w:val="00E027F7"/>
    <w:rsid w:val="00E16050"/>
    <w:rsid w:val="00E9304A"/>
    <w:rsid w:val="00EB40BC"/>
    <w:rsid w:val="00EB7634"/>
    <w:rsid w:val="00EC6593"/>
    <w:rsid w:val="00F140DF"/>
    <w:rsid w:val="00F23CE4"/>
    <w:rsid w:val="00F40D5B"/>
    <w:rsid w:val="00F4653F"/>
    <w:rsid w:val="00F47F2E"/>
    <w:rsid w:val="00F753A7"/>
    <w:rsid w:val="00FE368F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8</Pages>
  <Words>2276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36</cp:revision>
  <dcterms:created xsi:type="dcterms:W3CDTF">2015-09-02T22:40:00Z</dcterms:created>
  <dcterms:modified xsi:type="dcterms:W3CDTF">2015-09-08T09:13:00Z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