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vexorionerp-overview"/>
    <w:p>
      <w:pPr>
        <w:pStyle w:val="Heading1"/>
      </w:pPr>
      <w:r>
        <w:t xml:space="preserve">VexorionERP Overview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VexorionERP is a cloud-based ERP platform for growing businesses that need stronger operational control without enterprise-level complexity. It unifies sales, purchasing, inventory, finance, and administration in one system with role-based access and multi-tenant architecture.</w:t>
      </w:r>
    </w:p>
    <w:bookmarkEnd w:id="9"/>
    <w:bookmarkStart w:id="10" w:name="business-challenges"/>
    <w:p>
      <w:pPr>
        <w:pStyle w:val="Heading2"/>
      </w:pPr>
      <w:r>
        <w:t xml:space="preserve">Business Challenges</w:t>
      </w:r>
    </w:p>
    <w:p>
      <w:pPr>
        <w:pStyle w:val="Compact"/>
        <w:numPr>
          <w:ilvl w:val="0"/>
          <w:numId w:val="1001"/>
        </w:numPr>
      </w:pPr>
      <w:r>
        <w:t xml:space="preserve">Disconnected systems across operations and finance.</w:t>
      </w:r>
    </w:p>
    <w:p>
      <w:pPr>
        <w:pStyle w:val="Compact"/>
        <w:numPr>
          <w:ilvl w:val="0"/>
          <w:numId w:val="1001"/>
        </w:numPr>
      </w:pPr>
      <w:r>
        <w:t xml:space="preserve">Manual reconciliation that slows reporting and closing.</w:t>
      </w:r>
    </w:p>
    <w:p>
      <w:pPr>
        <w:pStyle w:val="Compact"/>
        <w:numPr>
          <w:ilvl w:val="0"/>
          <w:numId w:val="1001"/>
        </w:numPr>
      </w:pPr>
      <w:r>
        <w:t xml:space="preserve">Limited real-time visibility for management decisions.</w:t>
      </w:r>
    </w:p>
    <w:p>
      <w:pPr>
        <w:pStyle w:val="Compact"/>
        <w:numPr>
          <w:ilvl w:val="0"/>
          <w:numId w:val="1001"/>
        </w:numPr>
      </w:pPr>
      <w:r>
        <w:t xml:space="preserve">Inconsistent governance across branches and teams.</w:t>
      </w:r>
    </w:p>
    <w:bookmarkEnd w:id="10"/>
    <w:bookmarkStart w:id="11" w:name="solution-overview"/>
    <w:p>
      <w:pPr>
        <w:pStyle w:val="Heading2"/>
      </w:pPr>
      <w:r>
        <w:t xml:space="preserve">Solution Overview</w:t>
      </w:r>
    </w:p>
    <w:p>
      <w:pPr>
        <w:pStyle w:val="Compact"/>
        <w:numPr>
          <w:ilvl w:val="0"/>
          <w:numId w:val="1002"/>
        </w:numPr>
      </w:pPr>
      <w:r>
        <w:t xml:space="preserve">Unified application footprint: Main app, AdminUI, and POS.</w:t>
      </w:r>
    </w:p>
    <w:p>
      <w:pPr>
        <w:pStyle w:val="Compact"/>
        <w:numPr>
          <w:ilvl w:val="0"/>
          <w:numId w:val="1002"/>
        </w:numPr>
      </w:pPr>
      <w:r>
        <w:t xml:space="preserve">Multi-tenant architecture for scalable organizational management.</w:t>
      </w:r>
    </w:p>
    <w:p>
      <w:pPr>
        <w:pStyle w:val="Compact"/>
        <w:numPr>
          <w:ilvl w:val="0"/>
          <w:numId w:val="1002"/>
        </w:numPr>
      </w:pPr>
      <w:r>
        <w:t xml:space="preserve">Role-based permissions and auditability.</w:t>
      </w:r>
    </w:p>
    <w:p>
      <w:pPr>
        <w:pStyle w:val="Compact"/>
        <w:numPr>
          <w:ilvl w:val="0"/>
          <w:numId w:val="1002"/>
        </w:numPr>
      </w:pPr>
      <w:r>
        <w:t xml:space="preserve">API-driven backend for extensibility and integration readiness.</w:t>
      </w:r>
    </w:p>
    <w:bookmarkEnd w:id="11"/>
    <w:bookmarkStart w:id="12" w:name="core-capabilities"/>
    <w:p>
      <w:pPr>
        <w:pStyle w:val="Heading2"/>
      </w:pPr>
      <w:r>
        <w:t xml:space="preserve">Core Capabilities</w:t>
      </w:r>
    </w:p>
    <w:p>
      <w:pPr>
        <w:pStyle w:val="Compact"/>
        <w:numPr>
          <w:ilvl w:val="0"/>
          <w:numId w:val="1003"/>
        </w:numPr>
      </w:pPr>
      <w:r>
        <w:t xml:space="preserve">Sales and customer operations: orders, shipments, invoices, payments.</w:t>
      </w:r>
    </w:p>
    <w:p>
      <w:pPr>
        <w:pStyle w:val="Compact"/>
        <w:numPr>
          <w:ilvl w:val="0"/>
          <w:numId w:val="1003"/>
        </w:numPr>
      </w:pPr>
      <w:r>
        <w:t xml:space="preserve">Purchasing and supplier operations: POs, receipts, vendor payments.</w:t>
      </w:r>
    </w:p>
    <w:p>
      <w:pPr>
        <w:pStyle w:val="Compact"/>
        <w:numPr>
          <w:ilvl w:val="0"/>
          <w:numId w:val="1003"/>
        </w:numPr>
      </w:pPr>
      <w:r>
        <w:t xml:space="preserve">Inventory and warehouse operations: transfers, adjustments, stock counts.</w:t>
      </w:r>
    </w:p>
    <w:p>
      <w:pPr>
        <w:pStyle w:val="Compact"/>
        <w:numPr>
          <w:ilvl w:val="0"/>
          <w:numId w:val="1003"/>
        </w:numPr>
      </w:pPr>
      <w:r>
        <w:t xml:space="preserve">Finance and governance: journals, fiscal periods, audit logs.</w:t>
      </w:r>
    </w:p>
    <w:bookmarkEnd w:id="12"/>
    <w:bookmarkStart w:id="13" w:name="business-value"/>
    <w:p>
      <w:pPr>
        <w:pStyle w:val="Heading2"/>
      </w:pPr>
      <w:r>
        <w:t xml:space="preserve">Business Value</w:t>
      </w:r>
    </w:p>
    <w:p>
      <w:pPr>
        <w:pStyle w:val="Compact"/>
        <w:numPr>
          <w:ilvl w:val="0"/>
          <w:numId w:val="1004"/>
        </w:numPr>
      </w:pPr>
      <w:r>
        <w:t xml:space="preserve">Faster order-to-cash and procure-to-pay cycles.</w:t>
      </w:r>
    </w:p>
    <w:p>
      <w:pPr>
        <w:pStyle w:val="Compact"/>
        <w:numPr>
          <w:ilvl w:val="0"/>
          <w:numId w:val="1004"/>
        </w:numPr>
      </w:pPr>
      <w:r>
        <w:t xml:space="preserve">Better inventory accuracy and planning confidence.</w:t>
      </w:r>
    </w:p>
    <w:p>
      <w:pPr>
        <w:pStyle w:val="Compact"/>
        <w:numPr>
          <w:ilvl w:val="0"/>
          <w:numId w:val="1004"/>
        </w:numPr>
      </w:pPr>
      <w:r>
        <w:t xml:space="preserve">Stronger compliance posture through traceability.</w:t>
      </w:r>
    </w:p>
    <w:p>
      <w:pPr>
        <w:pStyle w:val="Compact"/>
        <w:numPr>
          <w:ilvl w:val="0"/>
          <w:numId w:val="1004"/>
        </w:numPr>
      </w:pPr>
      <w:r>
        <w:t xml:space="preserve">Lower operational overhead by reducing manual work.</w:t>
      </w:r>
    </w:p>
    <w:bookmarkEnd w:id="13"/>
    <w:bookmarkStart w:id="14" w:name="security-and-reliability"/>
    <w:p>
      <w:pPr>
        <w:pStyle w:val="Heading2"/>
      </w:pPr>
      <w:r>
        <w:t xml:space="preserve">Security and Reliability</w:t>
      </w:r>
    </w:p>
    <w:p>
      <w:pPr>
        <w:pStyle w:val="Compact"/>
        <w:numPr>
          <w:ilvl w:val="0"/>
          <w:numId w:val="1005"/>
        </w:numPr>
      </w:pPr>
      <w:r>
        <w:t xml:space="preserve">Tenant-level data isolation.</w:t>
      </w:r>
    </w:p>
    <w:p>
      <w:pPr>
        <w:pStyle w:val="Compact"/>
        <w:numPr>
          <w:ilvl w:val="0"/>
          <w:numId w:val="1005"/>
        </w:numPr>
      </w:pPr>
      <w:r>
        <w:t xml:space="preserve">Role-based authorization controls.</w:t>
      </w:r>
    </w:p>
    <w:p>
      <w:pPr>
        <w:pStyle w:val="Compact"/>
        <w:numPr>
          <w:ilvl w:val="0"/>
          <w:numId w:val="1005"/>
        </w:numPr>
      </w:pPr>
      <w:r>
        <w:t xml:space="preserve">Audit logging for critical actions.</w:t>
      </w:r>
    </w:p>
    <w:p>
      <w:pPr>
        <w:pStyle w:val="Compact"/>
        <w:numPr>
          <w:ilvl w:val="0"/>
          <w:numId w:val="1005"/>
        </w:numPr>
      </w:pPr>
      <w:r>
        <w:t xml:space="preserve">Cloud deployment with automated delivery pipelines.</w:t>
      </w:r>
    </w:p>
    <w:bookmarkEnd w:id="14"/>
    <w:bookmarkStart w:id="15" w:name="implementation-approach"/>
    <w:p>
      <w:pPr>
        <w:pStyle w:val="Heading2"/>
      </w:pPr>
      <w:r>
        <w:t xml:space="preserve">Implementation Approach</w:t>
      </w:r>
    </w:p>
    <w:p>
      <w:pPr>
        <w:pStyle w:val="Compact"/>
        <w:numPr>
          <w:ilvl w:val="0"/>
          <w:numId w:val="1006"/>
        </w:numPr>
      </w:pPr>
      <w:r>
        <w:t xml:space="preserve">Discovery and process mapping.</w:t>
      </w:r>
    </w:p>
    <w:p>
      <w:pPr>
        <w:pStyle w:val="Compact"/>
        <w:numPr>
          <w:ilvl w:val="0"/>
          <w:numId w:val="1006"/>
        </w:numPr>
      </w:pPr>
      <w:r>
        <w:t xml:space="preserve">Configuration and data preparation.</w:t>
      </w:r>
    </w:p>
    <w:p>
      <w:pPr>
        <w:pStyle w:val="Compact"/>
        <w:numPr>
          <w:ilvl w:val="0"/>
          <w:numId w:val="1006"/>
        </w:numPr>
      </w:pPr>
      <w:r>
        <w:t xml:space="preserve">User acceptance testing and enablement.</w:t>
      </w:r>
    </w:p>
    <w:p>
      <w:pPr>
        <w:pStyle w:val="Compact"/>
        <w:numPr>
          <w:ilvl w:val="0"/>
          <w:numId w:val="1006"/>
        </w:numPr>
      </w:pPr>
      <w:r>
        <w:t xml:space="preserve">Go-live and post-launch stabilization.</w:t>
      </w:r>
    </w:p>
    <w:bookmarkEnd w:id="15"/>
    <w:bookmarkStart w:id="16" w:name="commercial-model"/>
    <w:p>
      <w:pPr>
        <w:pStyle w:val="Heading2"/>
      </w:pPr>
      <w:r>
        <w:t xml:space="preserve">Commercial Model</w:t>
      </w:r>
    </w:p>
    <w:p>
      <w:pPr>
        <w:pStyle w:val="Compact"/>
        <w:numPr>
          <w:ilvl w:val="0"/>
          <w:numId w:val="1007"/>
        </w:numPr>
      </w:pPr>
      <w:r>
        <w:t xml:space="preserve">Flexible pricing by tenant, users, or modules.</w:t>
      </w:r>
    </w:p>
    <w:p>
      <w:pPr>
        <w:pStyle w:val="Compact"/>
        <w:numPr>
          <w:ilvl w:val="0"/>
          <w:numId w:val="1007"/>
        </w:numPr>
      </w:pPr>
      <w:r>
        <w:t xml:space="preserve">Optional onboarding, process consulting, and support plans.</w:t>
      </w:r>
    </w:p>
    <w:bookmarkEnd w:id="16"/>
    <w:bookmarkStart w:id="17" w:name="frequently-asked-questions"/>
    <w:p>
      <w:pPr>
        <w:pStyle w:val="Heading2"/>
      </w:pPr>
      <w:r>
        <w:t xml:space="preserve">Frequently Asked Questions</w:t>
      </w:r>
    </w:p>
    <w:p>
      <w:pPr>
        <w:pStyle w:val="Compact"/>
        <w:numPr>
          <w:ilvl w:val="0"/>
          <w:numId w:val="1008"/>
        </w:numPr>
      </w:pPr>
      <w:r>
        <w:t xml:space="preserve">How long does implementation take?</w:t>
      </w:r>
    </w:p>
    <w:p>
      <w:pPr>
        <w:pStyle w:val="Compact"/>
        <w:numPr>
          <w:ilvl w:val="0"/>
          <w:numId w:val="1008"/>
        </w:numPr>
      </w:pPr>
      <w:r>
        <w:t xml:space="preserve">Can existing data be migrated?</w:t>
      </w:r>
    </w:p>
    <w:p>
      <w:pPr>
        <w:pStyle w:val="Compact"/>
        <w:numPr>
          <w:ilvl w:val="0"/>
          <w:numId w:val="1008"/>
        </w:numPr>
      </w:pPr>
      <w:r>
        <w:t xml:space="preserve">What customization options are available?</w:t>
      </w:r>
    </w:p>
    <w:p>
      <w:pPr>
        <w:pStyle w:val="Compact"/>
        <w:numPr>
          <w:ilvl w:val="0"/>
          <w:numId w:val="1008"/>
        </w:numPr>
      </w:pPr>
      <w:r>
        <w:t xml:space="preserve">How are updates and maintenance handled?</w:t>
      </w:r>
    </w:p>
    <w:bookmarkEnd w:id="17"/>
    <w:bookmarkStart w:id="18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9"/>
        </w:numPr>
      </w:pPr>
      <w:r>
        <w:t xml:space="preserve">Schedule a tailored demo.</w:t>
      </w:r>
    </w:p>
    <w:p>
      <w:pPr>
        <w:pStyle w:val="Compact"/>
        <w:numPr>
          <w:ilvl w:val="0"/>
          <w:numId w:val="1009"/>
        </w:numPr>
      </w:pPr>
      <w:r>
        <w:t xml:space="preserve">Define pilot scope and success criteria.</w:t>
      </w:r>
    </w:p>
    <w:p>
      <w:pPr>
        <w:pStyle w:val="Compact"/>
        <w:numPr>
          <w:ilvl w:val="0"/>
          <w:numId w:val="1009"/>
        </w:numPr>
      </w:pPr>
      <w:r>
        <w:t xml:space="preserve">Confirm implementation timeline.</w:t>
      </w:r>
    </w:p>
    <w:bookmarkEnd w:id="18"/>
    <w:bookmarkStart w:id="19" w:name="contact"/>
    <w:p>
      <w:pPr>
        <w:pStyle w:val="Heading2"/>
      </w:pPr>
      <w:r>
        <w:t xml:space="preserve">Contact</w:t>
      </w:r>
    </w:p>
    <w:p>
      <w:pPr>
        <w:pStyle w:val="Compact"/>
        <w:numPr>
          <w:ilvl w:val="0"/>
          <w:numId w:val="1010"/>
        </w:numPr>
      </w:pPr>
      <w:r>
        <w:t xml:space="preserve">Sales: sales@vexorionerp.com</w:t>
      </w:r>
    </w:p>
    <w:p>
      <w:pPr>
        <w:pStyle w:val="Compact"/>
        <w:numPr>
          <w:ilvl w:val="0"/>
          <w:numId w:val="1010"/>
        </w:numPr>
      </w:pPr>
      <w:r>
        <w:t xml:space="preserve">Website: https://vexorionerp.com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2026-05-07T14:17:13Z</dcterms:created>
  <dcterms:modified xsi:type="dcterms:W3CDTF">2026-05-07T14:17:13Z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