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User Requirement Specification (URS)</w:t>
      </w:r>
    </w:p>
    <w:p>
      <w:pPr>
        <w:pStyle w:val="Subtitle"/>
      </w:pPr>
      <w:r>
        <w:t xml:space="preserve">Operational Competency Management Application - IT Handover Draft</w:t>
      </w:r>
    </w:p>
    <w:tbl>
      <w:tblPr>
        <w:tblStyle w:val="TableGrid"/>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CellMar>
          <w:top w:w="80" w:type="dxa"/>
          <w:left w:w="120" w:type="dxa"/>
          <w:bottom w:w="80" w:type="dxa"/>
          <w:right w:w="120" w:type="dxa"/>
        </w:tblCellMar>
      </w:tblPr>
      <w:tblGrid>
        <w:gridCol w:w="2400"/>
        <w:gridCol w:w="6960"/>
      </w:tblGrid>
      <w:tr>
        <w:tc>
          <w:tcPr>
            <w:tcW w:w="2400" w:type="dxa"/>
            <w:shd w:fill="F2F4F7"/>
          </w:tcPr>
          <w:p>
            <w:r>
              <w:rPr>
                <w:b/>
              </w:rPr>
              <w:t xml:space="preserve">Purpose</w:t>
            </w:r>
          </w:p>
        </w:tc>
        <w:tc>
          <w:tcPr>
            <w:tcW w:w="6960" w:type="dxa"/>
          </w:tcPr>
          <w:p>
            <w:r>
              <w:t xml:space="preserve">Define high-level modules, functional scope, users, and deployment steps for IT review and application ownership.</w:t>
            </w:r>
          </w:p>
        </w:tc>
      </w:tr>
      <w:tr>
        <w:tc>
          <w:tcPr>
            <w:tcW w:w="2400" w:type="dxa"/>
            <w:shd w:fill="F2F4F7"/>
          </w:tcPr>
          <w:p>
            <w:r>
              <w:rPr>
                <w:b/>
              </w:rPr>
              <w:t xml:space="preserve">Prepared For</w:t>
            </w:r>
          </w:p>
        </w:tc>
        <w:tc>
          <w:tcPr>
            <w:tcW w:w="6960" w:type="dxa"/>
          </w:tcPr>
          <w:p>
            <w:r>
              <w:t xml:space="preserve">IT Team / Application Management Authority</w:t>
            </w:r>
          </w:p>
        </w:tc>
      </w:tr>
      <w:tr>
        <w:tc>
          <w:tcPr>
            <w:tcW w:w="2400" w:type="dxa"/>
            <w:shd w:fill="F2F4F7"/>
          </w:tcPr>
          <w:p>
            <w:r>
              <w:rPr>
                <w:b/>
              </w:rPr>
              <w:t xml:space="preserve">Prepared From</w:t>
            </w:r>
          </w:p>
        </w:tc>
        <w:tc>
          <w:tcPr>
            <w:tcW w:w="6960" w:type="dxa"/>
          </w:tcPr>
          <w:p>
            <w:r>
              <w:t xml:space="preserve">Current backend Express/Prisma API and Nuxt frontend module structure.</w:t>
            </w:r>
          </w:p>
        </w:tc>
      </w:tr>
      <w:tr>
        <w:tc>
          <w:tcPr>
            <w:tcW w:w="2400" w:type="dxa"/>
            <w:shd w:fill="F2F4F7"/>
          </w:tcPr>
          <w:p>
            <w:r>
              <w:rPr>
                <w:b/>
              </w:rPr>
              <w:t xml:space="preserve">Document Status</w:t>
            </w:r>
          </w:p>
        </w:tc>
        <w:tc>
          <w:tcPr>
            <w:tcW w:w="6960" w:type="dxa"/>
          </w:tcPr>
          <w:p>
            <w:r>
              <w:t xml:space="preserve">Editable draft for validation, refinement, and company-standard formatting.</w:t>
            </w:r>
          </w:p>
        </w:tc>
      </w:tr>
    </w:tbl>
    <w:p>
      <w:pPr>
        <w:pStyle w:val="Heading1"/>
      </w:pPr>
      <w:r>
        <w:t xml:space="preserve">1. Application Overview</w:t>
      </w:r>
    </w:p>
    <w:p>
      <w:r>
        <w:t xml:space="preserve">The application supports operational personnel competency administration across regions, branches, branch units, and sectors. It combines master data, document management, application verification, examination events, scoring, practical tests, briefings, and medical checks into one role-based platform.</w:t>
      </w:r>
    </w:p>
    <w:p>
      <w:r>
        <w:t xml:space="preserve">The system is intended to be managed by authorized IT/application owners while daily business operations are performed by administrators, supervisors, checkers, doctors, and operational users.</w:t>
      </w:r>
    </w:p>
    <w:p>
      <w:pPr>
        <w:pStyle w:val="Heading1"/>
      </w:pPr>
      <w:r>
        <w:t xml:space="preserve">2. Stakeholder Groups and User Roles</w:t>
      </w:r>
    </w:p>
    <w:p>
      <w:pPr>
        <w:numPr>
          <w:ilvl w:val="0"/>
          <w:numId w:val="1"/>
        </w:numPr>
      </w:pPr>
      <w:r>
        <w:t xml:space="preserve">Super Admin: manages global master data, users, roles, and system-wide configuration.</w:t>
      </w:r>
    </w:p>
    <w:p>
      <w:pPr>
        <w:numPr>
          <w:ilvl w:val="0"/>
          <w:numId w:val="1"/>
        </w:numPr>
      </w:pPr>
      <w:r>
        <w:t xml:space="preserve">Branch Admin: manages branch-level data, users, reports, professions, and branch operations.</w:t>
      </w:r>
    </w:p>
    <w:p>
      <w:pPr>
        <w:numPr>
          <w:ilvl w:val="0"/>
          <w:numId w:val="1"/>
        </w:numPr>
      </w:pPr>
      <w:r>
        <w:t xml:space="preserve">Branch Unit Admin: manages branch-unit sectors, events, question banks, verification, rooms, tokens, and local users.</w:t>
      </w:r>
    </w:p>
    <w:p>
      <w:pPr>
        <w:numPr>
          <w:ilvl w:val="0"/>
          <w:numId w:val="1"/>
        </w:numPr>
      </w:pPr>
      <w:r>
        <w:t xml:space="preserve">Checker Admin / Checker: manages checker assignments, validates answers, scores performance, and handles practical exam assessment.</w:t>
      </w:r>
    </w:p>
    <w:p>
      <w:pPr>
        <w:numPr>
          <w:ilvl w:val="0"/>
          <w:numId w:val="1"/>
        </w:numPr>
      </w:pPr>
      <w:r>
        <w:t xml:space="preserve">Operational User: submits documents, joins events, completes examinations, checks score history, views documents, briefings, and medical checks.</w:t>
      </w:r>
    </w:p>
    <w:p>
      <w:pPr>
        <w:numPr>
          <w:ilvl w:val="0"/>
          <w:numId w:val="1"/>
        </w:numPr>
      </w:pPr>
      <w:r>
        <w:t xml:space="preserve">Supervisor: creates and manages daily/operational briefings for branch destinations.</w:t>
      </w:r>
    </w:p>
    <w:p>
      <w:pPr>
        <w:numPr>
          <w:ilvl w:val="0"/>
          <w:numId w:val="1"/>
        </w:numPr>
      </w:pPr>
      <w:r>
        <w:t xml:space="preserve">Doctor: monitors branch medical checks and verifies employee fitness status.</w:t>
      </w:r>
    </w:p>
    <w:p>
      <w:pPr>
        <w:numPr>
          <w:ilvl w:val="0"/>
          <w:numId w:val="1"/>
        </w:numPr>
      </w:pPr>
      <w:r>
        <w:t xml:space="preserve">IT Team: deploys, configures, monitors, backs up, secures, and maintains the application infrastructure.</w:t>
      </w:r>
    </w:p>
    <w:p>
      <w:pPr>
        <w:pStyle w:val="Heading1"/>
      </w:pPr>
      <w:r>
        <w:t xml:space="preserve">3. High-Level Application Modules</w:t>
      </w:r>
    </w:p>
    <w:tbl>
      <w:tblPr>
        <w:tblStyle w:val="TableGrid"/>
        <w:tblW w:w="9360" w:type="dxa"/>
        <w:tblInd w:w="120" w:type="dxa"/>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120" w:type="dxa"/>
          <w:bottom w:w="80" w:type="dxa"/>
          <w:right w:w="120" w:type="dxa"/>
        </w:tblCellMar>
      </w:tblPr>
      <w:tblGrid>
        <w:gridCol w:w="3000"/>
        <w:gridCol w:w="6360"/>
      </w:tblGrid>
      <w:tr>
        <w:tc>
          <w:tcPr>
            <w:tcW w:w="3000" w:type="dxa"/>
            <w:shd w:fill="E8EEF5"/>
          </w:tcPr>
          <w:p>
            <w:r>
              <w:rPr>
                <w:b/>
              </w:rPr>
              <w:t xml:space="preserve">Module</w:t>
            </w:r>
          </w:p>
        </w:tc>
        <w:tc>
          <w:tcPr>
            <w:tcW w:w="6360" w:type="dxa"/>
            <w:shd w:fill="E8EEF5"/>
          </w:tcPr>
          <w:p>
            <w:r>
              <w:rPr>
                <w:b/>
              </w:rPr>
              <w:t xml:space="preserve">Business Purpose</w:t>
            </w:r>
          </w:p>
        </w:tc>
      </w:tr>
      <w:tr>
        <w:tc>
          <w:tcPr>
            <w:tcW w:w="3000" w:type="dxa"/>
          </w:tcPr>
          <w:p>
            <w:r>
              <w:t xml:space="preserve">Authentication and Access Control</w:t>
            </w:r>
          </w:p>
        </w:tc>
        <w:tc>
          <w:tcPr>
            <w:tcW w:w="6360" w:type="dxa"/>
          </w:tcPr>
          <w:p>
            <w:r>
              <w:t xml:space="preserve">Login by NIK/password, JWT sessions, protected API routes, role-based menu visibility, and session expiration handling.</w:t>
            </w:r>
          </w:p>
        </w:tc>
      </w:tr>
      <w:tr>
        <w:tc>
          <w:tcPr>
            <w:tcW w:w="3000" w:type="dxa"/>
          </w:tcPr>
          <w:p>
            <w:r>
              <w:t xml:space="preserve">Dashboard and Operational Monitoring</w:t>
            </w:r>
          </w:p>
        </w:tc>
        <w:tc>
          <w:tcPr>
            <w:tcW w:w="6360" w:type="dxa"/>
          </w:tcPr>
          <w:p>
            <w:r>
              <w:t xml:space="preserve">Operational dashboard, briefing dashboard, token checking/submission, summary information, and monitoring views for authorized roles.</w:t>
            </w:r>
          </w:p>
        </w:tc>
      </w:tr>
      <w:tr>
        <w:tc>
          <w:tcPr>
            <w:tcW w:w="3000" w:type="dxa"/>
          </w:tcPr>
          <w:p>
            <w:r>
              <w:t xml:space="preserve">Master Data Administration</w:t>
            </w:r>
          </w:p>
        </w:tc>
        <w:tc>
          <w:tcPr>
            <w:tcW w:w="6360" w:type="dxa"/>
          </w:tcPr>
          <w:p>
            <w:r>
              <w:t xml:space="preserve">Management of regions, branches, branch units, sectors, professions, profession mappings, ratings, mandatory items, CWP, sessions, rooms, and related reference data.</w:t>
            </w:r>
          </w:p>
        </w:tc>
      </w:tr>
      <w:tr>
        <w:tc>
          <w:tcPr>
            <w:tcW w:w="3000" w:type="dxa"/>
          </w:tcPr>
          <w:p>
            <w:r>
              <w:t xml:space="preserve">User and Role Management</w:t>
            </w:r>
          </w:p>
        </w:tc>
        <w:tc>
          <w:tcPr>
            <w:tcW w:w="6360" w:type="dxa"/>
          </w:tcPr>
          <w:p>
            <w:r>
              <w:t xml:space="preserve">User registration/maintenance, assignment to branch/unit/sector/profession, role assignment, checker setup, and checker-rating mapping.</w:t>
            </w:r>
          </w:p>
        </w:tc>
      </w:tr>
      <w:tr>
        <w:tc>
          <w:tcPr>
            <w:tcW w:w="3000" w:type="dxa"/>
          </w:tcPr>
          <w:p>
            <w:r>
              <w:t xml:space="preserve">Document Management</w:t>
            </w:r>
          </w:p>
        </w:tc>
        <w:tc>
          <w:tcPr>
            <w:tcW w:w="6360" w:type="dxa"/>
          </w:tcPr>
          <w:p>
            <w:r>
              <w:t xml:space="preserve">Upload and maintain License, Logbook, IELP, MEDEX, and Competence documents with metadata, expiry dates, files, and user history.</w:t>
            </w:r>
          </w:p>
        </w:tc>
      </w:tr>
      <w:tr>
        <w:tc>
          <w:tcPr>
            <w:tcW w:w="3000" w:type="dxa"/>
          </w:tcPr>
          <w:p>
            <w:r>
              <w:t xml:space="preserve">Application Document Workflow</w:t>
            </w:r>
          </w:p>
        </w:tc>
        <w:tc>
          <w:tcPr>
            <w:tcW w:w="6360" w:type="dxa"/>
          </w:tcPr>
          <w:p>
            <w:r>
              <w:t xml:space="preserve">Event-based application submission, document selection, rating confirmation, OJT details, letter data, control hours, status tracking, and generated application number.</w:t>
            </w:r>
          </w:p>
        </w:tc>
      </w:tr>
      <w:tr>
        <w:tc>
          <w:tcPr>
            <w:tcW w:w="3000" w:type="dxa"/>
          </w:tcPr>
          <w:p>
            <w:r>
              <w:t xml:space="preserve">Verification Workflow</w:t>
            </w:r>
          </w:p>
        </w:tc>
        <w:tc>
          <w:tcPr>
            <w:tcW w:w="6360" w:type="dxa"/>
          </w:tcPr>
          <w:p>
            <w:r>
              <w:t xml:space="preserve">Application document review, verification item handling, validation status, detail review, and verification result recording.</w:t>
            </w:r>
          </w:p>
        </w:tc>
      </w:tr>
      <w:tr>
        <w:tc>
          <w:tcPr>
            <w:tcW w:w="3000" w:type="dxa"/>
          </w:tcPr>
          <w:p>
            <w:r>
              <w:t xml:space="preserve">Event Preparation</w:t>
            </w:r>
          </w:p>
        </w:tc>
        <w:tc>
          <w:tcPr>
            <w:tcW w:w="6360" w:type="dxa"/>
          </w:tcPr>
          <w:p>
            <w:r>
              <w:t xml:space="preserve">Event/session creation, event schedule, passing grade, expiry date, participant assignment, group setup, checker definition, event question configuration, and token management.</w:t>
            </w:r>
          </w:p>
        </w:tc>
      </w:tr>
      <w:tr>
        <w:tc>
          <w:tcPr>
            <w:tcW w:w="3000" w:type="dxa"/>
          </w:tcPr>
          <w:p>
            <w:r>
              <w:t xml:space="preserve">Question Bank Management</w:t>
            </w:r>
          </w:p>
        </w:tc>
        <w:tc>
          <w:tcPr>
            <w:tcW w:w="6360" w:type="dxa"/>
          </w:tcPr>
          <w:p>
            <w:r>
              <w:t xml:space="preserve">Essay and multiple-choice question creation, optional file/image uploads, category/group mapping, mandatory question mapping, and sector/rating relationship.</w:t>
            </w:r>
          </w:p>
        </w:tc>
      </w:tr>
      <w:tr>
        <w:tc>
          <w:tcPr>
            <w:tcW w:w="3000" w:type="dxa"/>
          </w:tcPr>
          <w:p>
            <w:r>
              <w:t xml:space="preserve">Examination</w:t>
            </w:r>
          </w:p>
        </w:tc>
        <w:tc>
          <w:tcPr>
            <w:tcW w:w="6360" w:type="dxa"/>
          </w:tcPr>
          <w:p>
            <w:r>
              <w:t xml:space="preserve">Assigned user examination flow for essay and multiple-choice questions, answer submission, time monitoring, scoring, and result generation.</w:t>
            </w:r>
          </w:p>
        </w:tc>
      </w:tr>
      <w:tr>
        <w:tc>
          <w:tcPr>
            <w:tcW w:w="3000" w:type="dxa"/>
          </w:tcPr>
          <w:p>
            <w:r>
              <w:t xml:space="preserve">Performance Check</w:t>
            </w:r>
          </w:p>
        </w:tc>
        <w:tc>
          <w:tcPr>
            <w:tcW w:w="6360" w:type="dxa"/>
          </w:tcPr>
          <w:p>
            <w:r>
              <w:t xml:space="preserve">Checker correction of essay answers, score entry, correction history, and final score contribution.</w:t>
            </w:r>
          </w:p>
        </w:tc>
      </w:tr>
      <w:tr>
        <w:tc>
          <w:tcPr>
            <w:tcW w:w="3000" w:type="dxa"/>
          </w:tcPr>
          <w:p>
            <w:r>
              <w:t xml:space="preserve">Practical Exam and Simulator Assessment</w:t>
            </w:r>
          </w:p>
        </w:tc>
        <w:tc>
          <w:tcPr>
            <w:tcW w:w="6360" w:type="dxa"/>
          </w:tcPr>
          <w:p>
            <w:r>
              <w:t xml:space="preserve">Checker evidence upload, practical/simulator scoring, association with group members, ratings, and checker groups.</w:t>
            </w:r>
          </w:p>
        </w:tc>
      </w:tr>
      <w:tr>
        <w:tc>
          <w:tcPr>
            <w:tcW w:w="3000" w:type="dxa"/>
          </w:tcPr>
          <w:p>
            <w:r>
              <w:t xml:space="preserve">Score, Rating, and History</w:t>
            </w:r>
          </w:p>
        </w:tc>
        <w:tc>
          <w:tcPr>
            <w:tcW w:w="6360" w:type="dxa"/>
          </w:tcPr>
          <w:p>
            <w:r>
              <w:t xml:space="preserve">Score recap, user score history, checker score recap, rating summary, rating expiry tracking, and final score status handling.</w:t>
            </w:r>
          </w:p>
        </w:tc>
      </w:tr>
      <w:tr>
        <w:tc>
          <w:tcPr>
            <w:tcW w:w="3000" w:type="dxa"/>
          </w:tcPr>
          <w:p>
            <w:r>
              <w:t xml:space="preserve">Briefing Management</w:t>
            </w:r>
          </w:p>
        </w:tc>
        <w:tc>
          <w:tcPr>
            <w:tcW w:w="6360" w:type="dxa"/>
          </w:tcPr>
          <w:p>
            <w:r>
              <w:t xml:space="preserve">Supervisor-created branch briefings with rich content, optional attachment, speaker identity, profession destinations, update/delete, and date-range listing.</w:t>
            </w:r>
          </w:p>
        </w:tc>
      </w:tr>
      <w:tr>
        <w:tc>
          <w:tcPr>
            <w:tcW w:w="3000" w:type="dxa"/>
          </w:tcPr>
          <w:p>
            <w:r>
              <w:t xml:space="preserve">Medical Check</w:t>
            </w:r>
          </w:p>
        </w:tc>
        <w:tc>
          <w:tcPr>
            <w:tcW w:w="6360" w:type="dxa"/>
          </w:tcPr>
          <w:p>
            <w:r>
              <w:t xml:space="preserve">Operational user blood pressure submission, pending check prevention, doctor monitoring by branch, fitness verification, abnormal-condition notes, and user history.</w:t>
            </w:r>
          </w:p>
        </w:tc>
      </w:tr>
      <w:tr>
        <w:tc>
          <w:tcPr>
            <w:tcW w:w="3000" w:type="dxa"/>
          </w:tcPr>
          <w:p>
            <w:r>
              <w:t xml:space="preserve">File Preview and Upload Services</w:t>
            </w:r>
          </w:p>
        </w:tc>
        <w:tc>
          <w:tcPr>
            <w:tcW w:w="6360" w:type="dxa"/>
          </w:tcPr>
          <w:p>
            <w:r>
              <w:t xml:space="preserve">Static upload serving and file management for question images, event files, room files, briefing files, evidence, and personnel documents.</w:t>
            </w:r>
          </w:p>
        </w:tc>
      </w:tr>
    </w:tbl>
    <w:p>
      <w:pPr>
        <w:pStyle w:val="Heading1"/>
      </w:pPr>
      <w:r>
        <w:t xml:space="preserve">4. Core Functional Requirements</w:t>
      </w:r>
    </w:p>
    <w:p>
      <w:pPr>
        <w:pStyle w:val="Heading2"/>
      </w:pPr>
      <w:r>
        <w:t xml:space="preserve">Authentication</w:t>
      </w:r>
    </w:p>
    <w:p>
      <w:pPr>
        <w:numPr>
          <w:ilvl w:val="0"/>
          <w:numId w:val="1"/>
        </w:numPr>
      </w:pPr>
      <w:r>
        <w:t xml:space="preserve">The system shall authenticate users using NIK and password.</w:t>
      </w:r>
    </w:p>
    <w:p>
      <w:pPr>
        <w:numPr>
          <w:ilvl w:val="0"/>
          <w:numId w:val="1"/>
        </w:numPr>
      </w:pPr>
      <w:r>
        <w:t xml:space="preserve">The system shall issue bearer tokens for protected API access.</w:t>
      </w:r>
    </w:p>
    <w:p>
      <w:pPr>
        <w:numPr>
          <w:ilvl w:val="0"/>
          <w:numId w:val="1"/>
        </w:numPr>
      </w:pPr>
      <w:r>
        <w:t xml:space="preserve">The frontend shall redirect unauthenticated users to the login page.</w:t>
      </w:r>
    </w:p>
    <w:p>
      <w:pPr>
        <w:numPr>
          <w:ilvl w:val="0"/>
          <w:numId w:val="1"/>
        </w:numPr>
      </w:pPr>
      <w:r>
        <w:t xml:space="preserve">The system shall show menus based on user role-menu assignment.</w:t>
      </w:r>
    </w:p>
    <w:p>
      <w:pPr>
        <w:pStyle w:val="Heading2"/>
      </w:pPr>
      <w:r>
        <w:t xml:space="preserve">Administration</w:t>
      </w:r>
    </w:p>
    <w:p>
      <w:pPr>
        <w:numPr>
          <w:ilvl w:val="0"/>
          <w:numId w:val="1"/>
        </w:numPr>
      </w:pPr>
      <w:r>
        <w:t xml:space="preserve">The system shall allow authorized admins to create, update, list, and soft-delete master data.</w:t>
      </w:r>
    </w:p>
    <w:p>
      <w:pPr>
        <w:numPr>
          <w:ilvl w:val="0"/>
          <w:numId w:val="1"/>
        </w:numPr>
      </w:pPr>
      <w:r>
        <w:t xml:space="preserve">The system shall maintain created, updated, and deleted timestamps for auditable records.</w:t>
      </w:r>
    </w:p>
    <w:p>
      <w:pPr>
        <w:numPr>
          <w:ilvl w:val="0"/>
          <w:numId w:val="1"/>
        </w:numPr>
      </w:pPr>
      <w:r>
        <w:t xml:space="preserve">The system shall link users to branch, branch unit, sector, profession, and role.</w:t>
      </w:r>
    </w:p>
    <w:p>
      <w:pPr>
        <w:pStyle w:val="Heading2"/>
      </w:pPr>
      <w:r>
        <w:t xml:space="preserve">Event and Examination</w:t>
      </w:r>
    </w:p>
    <w:p>
      <w:pPr>
        <w:numPr>
          <w:ilvl w:val="0"/>
          <w:numId w:val="1"/>
        </w:numPr>
      </w:pPr>
      <w:r>
        <w:t xml:space="preserve">The system shall allow admins to create examination or competency events.</w:t>
      </w:r>
    </w:p>
    <w:p>
      <w:pPr>
        <w:numPr>
          <w:ilvl w:val="0"/>
          <w:numId w:val="1"/>
        </w:numPr>
      </w:pPr>
      <w:r>
        <w:t xml:space="preserve">The system shall assign participants, group members, PICs, and checkers.</w:t>
      </w:r>
    </w:p>
    <w:p>
      <w:pPr>
        <w:numPr>
          <w:ilvl w:val="0"/>
          <w:numId w:val="1"/>
        </w:numPr>
      </w:pPr>
      <w:r>
        <w:t xml:space="preserve">The system shall deliver configured essay and multiple-choice questions to eligible participants.</w:t>
      </w:r>
    </w:p>
    <w:p>
      <w:pPr>
        <w:numPr>
          <w:ilvl w:val="0"/>
          <w:numId w:val="1"/>
        </w:numPr>
      </w:pPr>
      <w:r>
        <w:t xml:space="preserve">The system shall calculate results using configured scoring and passing-grade rules.</w:t>
      </w:r>
    </w:p>
    <w:p>
      <w:pPr>
        <w:pStyle w:val="Heading2"/>
      </w:pPr>
      <w:r>
        <w:t xml:space="preserve">Documents and Verification</w:t>
      </w:r>
    </w:p>
    <w:p>
      <w:pPr>
        <w:numPr>
          <w:ilvl w:val="0"/>
          <w:numId w:val="1"/>
        </w:numPr>
      </w:pPr>
      <w:r>
        <w:t xml:space="preserve">The system shall allow users/admins to upload and maintain supporting documents.</w:t>
      </w:r>
    </w:p>
    <w:p>
      <w:pPr>
        <w:numPr>
          <w:ilvl w:val="0"/>
          <w:numId w:val="1"/>
        </w:numPr>
      </w:pPr>
      <w:r>
        <w:t xml:space="preserve">The system shall allow users to submit application documents for eligible events.</w:t>
      </w:r>
    </w:p>
    <w:p>
      <w:pPr>
        <w:numPr>
          <w:ilvl w:val="0"/>
          <w:numId w:val="1"/>
        </w:numPr>
      </w:pPr>
      <w:r>
        <w:t xml:space="preserve">The system shall allow verifiers to validate application documents and store verification results.</w:t>
      </w:r>
    </w:p>
    <w:p>
      <w:pPr>
        <w:pStyle w:val="Heading2"/>
      </w:pPr>
      <w:r>
        <w:t xml:space="preserve">Briefing and Medical</w:t>
      </w:r>
    </w:p>
    <w:p>
      <w:pPr>
        <w:numPr>
          <w:ilvl w:val="0"/>
          <w:numId w:val="1"/>
        </w:numPr>
      </w:pPr>
      <w:r>
        <w:t xml:space="preserve">The system shall allow supervisors to publish branch briefings to selected profession destinations.</w:t>
      </w:r>
    </w:p>
    <w:p>
      <w:pPr>
        <w:numPr>
          <w:ilvl w:val="0"/>
          <w:numId w:val="1"/>
        </w:numPr>
      </w:pPr>
      <w:r>
        <w:t xml:space="preserve">The system shall allow users to submit medical check data.</w:t>
      </w:r>
    </w:p>
    <w:p>
      <w:pPr>
        <w:numPr>
          <w:ilvl w:val="0"/>
          <w:numId w:val="1"/>
        </w:numPr>
      </w:pPr>
      <w:r>
        <w:t xml:space="preserve">The system shall allow doctors to verify employee fitness status within their branch.</w:t>
      </w:r>
    </w:p>
    <w:p>
      <w:pPr>
        <w:pStyle w:val="Heading1"/>
      </w:pPr>
      <w:r>
        <w:t xml:space="preserve">5. Non-Functional Requirements</w:t>
      </w:r>
    </w:p>
    <w:p>
      <w:pPr>
        <w:numPr>
          <w:ilvl w:val="0"/>
          <w:numId w:val="1"/>
        </w:numPr>
      </w:pPr>
      <w:r>
        <w:t xml:space="preserve">Security: all non-login API endpoints must require authentication; production must use a strong JWT secret and HTTPS.</w:t>
      </w:r>
    </w:p>
    <w:p>
      <w:pPr>
        <w:numPr>
          <w:ilvl w:val="0"/>
          <w:numId w:val="1"/>
        </w:numPr>
      </w:pPr>
      <w:r>
        <w:t xml:space="preserve">Authorization: menu access and API access must be reviewed against company role policy before production use.</w:t>
      </w:r>
    </w:p>
    <w:p>
      <w:pPr>
        <w:numPr>
          <w:ilvl w:val="0"/>
          <w:numId w:val="1"/>
        </w:numPr>
      </w:pPr>
      <w:r>
        <w:t xml:space="preserve">Data Integrity: the database shall preserve relationships between users, events, documents, ratings, scores, and verifications.</w:t>
      </w:r>
    </w:p>
    <w:p>
      <w:pPr>
        <w:numPr>
          <w:ilvl w:val="0"/>
          <w:numId w:val="1"/>
        </w:numPr>
      </w:pPr>
      <w:r>
        <w:t xml:space="preserve">Auditability: operational records shall retain createdAt, updatedAt, and deletedAt fields where supported by the schema.</w:t>
      </w:r>
    </w:p>
    <w:p>
      <w:pPr>
        <w:numPr>
          <w:ilvl w:val="0"/>
          <w:numId w:val="1"/>
        </w:numPr>
      </w:pPr>
      <w:r>
        <w:t xml:space="preserve">Availability: IT shall deploy backend, frontend, database, and file storage on managed infrastructure with monitoring and restart policy.</w:t>
      </w:r>
    </w:p>
    <w:p>
      <w:pPr>
        <w:numPr>
          <w:ilvl w:val="0"/>
          <w:numId w:val="1"/>
        </w:numPr>
      </w:pPr>
      <w:r>
        <w:t xml:space="preserve">Backup and Recovery: IT shall back up the database and uploaded files regularly and test restoration procedures.</w:t>
      </w:r>
    </w:p>
    <w:p>
      <w:pPr>
        <w:numPr>
          <w:ilvl w:val="0"/>
          <w:numId w:val="1"/>
        </w:numPr>
      </w:pPr>
      <w:r>
        <w:t xml:space="preserve">Performance: application pages and API endpoints should respond within acceptable company SLA for normal operational load.</w:t>
      </w:r>
    </w:p>
    <w:p>
      <w:pPr>
        <w:numPr>
          <w:ilvl w:val="0"/>
          <w:numId w:val="1"/>
        </w:numPr>
      </w:pPr>
      <w:r>
        <w:t xml:space="preserve">Maintainability: source code, environment configuration, deployment notes, and ownership contacts shall be controlled by IT.</w:t>
      </w:r>
    </w:p>
    <w:p>
      <w:pPr>
        <w:pStyle w:val="Heading1"/>
      </w:pPr>
      <w:r>
        <w:t xml:space="preserve">6. Technical Architecture Summary</w:t>
      </w:r>
    </w:p>
    <w:tbl>
      <w:tblPr>
        <w:tblStyle w:val="TableGrid"/>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CellMar>
          <w:top w:w="80" w:type="dxa"/>
          <w:left w:w="120" w:type="dxa"/>
          <w:bottom w:w="80" w:type="dxa"/>
          <w:right w:w="120" w:type="dxa"/>
        </w:tblCellMar>
      </w:tblPr>
      <w:tblGrid>
        <w:gridCol w:w="2400"/>
        <w:gridCol w:w="6960"/>
      </w:tblGrid>
      <w:tr>
        <w:tc>
          <w:tcPr>
            <w:tcW w:w="2400" w:type="dxa"/>
            <w:shd w:fill="F2F4F7"/>
          </w:tcPr>
          <w:p>
            <w:r>
              <w:rPr>
                <w:b/>
              </w:rPr>
              <w:t xml:space="preserve">Frontend</w:t>
            </w:r>
          </w:p>
        </w:tc>
        <w:tc>
          <w:tcPr>
            <w:tcW w:w="6960" w:type="dxa"/>
          </w:tcPr>
          <w:p>
            <w:r>
              <w:t xml:space="preserve">Nuxt 4 / Vue / TypeScript / Nuxt UI. Source folder: simponi.</w:t>
            </w:r>
          </w:p>
        </w:tc>
      </w:tr>
      <w:tr>
        <w:tc>
          <w:tcPr>
            <w:tcW w:w="2400" w:type="dxa"/>
            <w:shd w:fill="F2F4F7"/>
          </w:tcPr>
          <w:p>
            <w:r>
              <w:rPr>
                <w:b/>
              </w:rPr>
              <w:t xml:space="preserve">Backend</w:t>
            </w:r>
          </w:p>
        </w:tc>
        <w:tc>
          <w:tcPr>
            <w:tcW w:w="6960" w:type="dxa"/>
          </w:tcPr>
          <w:p>
            <w:r>
              <w:t xml:space="preserve">Express.js API using ES modules. Source folder: server.</w:t>
            </w:r>
          </w:p>
        </w:tc>
      </w:tr>
      <w:tr>
        <w:tc>
          <w:tcPr>
            <w:tcW w:w="2400" w:type="dxa"/>
            <w:shd w:fill="F2F4F7"/>
          </w:tcPr>
          <w:p>
            <w:r>
              <w:rPr>
                <w:b/>
              </w:rPr>
              <w:t xml:space="preserve">Database</w:t>
            </w:r>
          </w:p>
        </w:tc>
        <w:tc>
          <w:tcPr>
            <w:tcW w:w="6960" w:type="dxa"/>
          </w:tcPr>
          <w:p>
            <w:r>
              <w:t xml:space="preserve">MariaDB/MySQL accessed through Prisma ORM.</w:t>
            </w:r>
          </w:p>
        </w:tc>
      </w:tr>
      <w:tr>
        <w:tc>
          <w:tcPr>
            <w:tcW w:w="2400" w:type="dxa"/>
            <w:shd w:fill="F2F4F7"/>
          </w:tcPr>
          <w:p>
            <w:r>
              <w:rPr>
                <w:b/>
              </w:rPr>
              <w:t xml:space="preserve">Authentication</w:t>
            </w:r>
          </w:p>
        </w:tc>
        <w:tc>
          <w:tcPr>
            <w:tcW w:w="6960" w:type="dxa"/>
          </w:tcPr>
          <w:p>
            <w:r>
              <w:t xml:space="preserve">JWT bearer token stored by frontend cookie/session helpers.</w:t>
            </w:r>
          </w:p>
        </w:tc>
      </w:tr>
      <w:tr>
        <w:tc>
          <w:tcPr>
            <w:tcW w:w="2400" w:type="dxa"/>
            <w:shd w:fill="F2F4F7"/>
          </w:tcPr>
          <w:p>
            <w:r>
              <w:rPr>
                <w:b/>
              </w:rPr>
              <w:t xml:space="preserve">File Storage</w:t>
            </w:r>
          </w:p>
        </w:tc>
        <w:tc>
          <w:tcPr>
            <w:tcW w:w="6960" w:type="dxa"/>
          </w:tcPr>
          <w:p>
            <w:r>
              <w:t xml:space="preserve">Local server uploads directory served statically through /uploads.</w:t>
            </w:r>
          </w:p>
        </w:tc>
      </w:tr>
      <w:tr>
        <w:tc>
          <w:tcPr>
            <w:tcW w:w="2400" w:type="dxa"/>
            <w:shd w:fill="F2F4F7"/>
          </w:tcPr>
          <w:p>
            <w:r>
              <w:rPr>
                <w:b/>
              </w:rPr>
              <w:t xml:space="preserve">Important Backend Paths</w:t>
            </w:r>
          </w:p>
        </w:tc>
        <w:tc>
          <w:tcPr>
            <w:tcW w:w="6960" w:type="dxa"/>
          </w:tcPr>
          <w:p>
            <w:r>
              <w:t xml:space="preserve">app.js, router/api.js, controller/*, prisma/schema.prisma, lib/prisma.js, lib/multer.js.</w:t>
            </w:r>
          </w:p>
        </w:tc>
      </w:tr>
      <w:tr>
        <w:tc>
          <w:tcPr>
            <w:tcW w:w="2400" w:type="dxa"/>
            <w:shd w:fill="F2F4F7"/>
          </w:tcPr>
          <w:p>
            <w:r>
              <w:rPr>
                <w:b/>
              </w:rPr>
              <w:t xml:space="preserve">Important Frontend Paths</w:t>
            </w:r>
          </w:p>
        </w:tc>
        <w:tc>
          <w:tcPr>
            <w:tcW w:w="6960" w:type="dxa"/>
          </w:tcPr>
          <w:p>
            <w:r>
              <w:t xml:space="preserve">app/pages/*, app/components/*, app/config/sidebarModules.ts, app/composables/useAuth.ts, app/composables/useApiFetch.ts.</w:t>
            </w:r>
          </w:p>
        </w:tc>
      </w:tr>
    </w:tbl>
    <w:p>
      <w:pPr>
        <w:pStyle w:val="Heading1"/>
      </w:pPr>
      <w:r>
        <w:t xml:space="preserve">7. IT Deployment Preparation Checklist</w:t>
      </w:r>
    </w:p>
    <w:p>
      <w:pPr>
        <w:numPr>
          <w:ilvl w:val="0"/>
          <w:numId w:val="1"/>
        </w:numPr>
      </w:pPr>
      <w:r>
        <w:t xml:space="preserve">Confirm server operating system, network zone, DNS name, SSL/TLS certificate, and reverse proxy standard.</w:t>
      </w:r>
    </w:p>
    <w:p>
      <w:pPr>
        <w:numPr>
          <w:ilvl w:val="0"/>
          <w:numId w:val="1"/>
        </w:numPr>
      </w:pPr>
      <w:r>
        <w:t xml:space="preserve">Prepare MariaDB/MySQL database instance and database user with least-privilege access.</w:t>
      </w:r>
    </w:p>
    <w:p>
      <w:pPr>
        <w:numPr>
          <w:ilvl w:val="0"/>
          <w:numId w:val="1"/>
        </w:numPr>
      </w:pPr>
      <w:r>
        <w:t xml:space="preserve">Prepare application runtime with supported Node.js, npm, and pnpm versions.</w:t>
      </w:r>
    </w:p>
    <w:p>
      <w:pPr>
        <w:numPr>
          <w:ilvl w:val="0"/>
          <w:numId w:val="1"/>
        </w:numPr>
      </w:pPr>
      <w:r>
        <w:t xml:space="preserve">Confirm production environment variables, especially database connection and JWT secret.</w:t>
      </w:r>
    </w:p>
    <w:p>
      <w:pPr>
        <w:numPr>
          <w:ilvl w:val="0"/>
          <w:numId w:val="1"/>
        </w:numPr>
      </w:pPr>
      <w:r>
        <w:t xml:space="preserve">Confirm storage location and backup policy for uploaded files.</w:t>
      </w:r>
    </w:p>
    <w:p>
      <w:pPr>
        <w:numPr>
          <w:ilvl w:val="0"/>
          <w:numId w:val="1"/>
        </w:numPr>
      </w:pPr>
      <w:r>
        <w:t xml:space="preserve">Review authentication, password validation, CORS, upload limits, and role access before go-live.</w:t>
      </w:r>
    </w:p>
    <w:p>
      <w:pPr>
        <w:pStyle w:val="Heading1"/>
      </w:pPr>
      <w:r>
        <w:t xml:space="preserve">8. Step-by-Step Deployment Guide for IT Team</w:t>
      </w:r>
    </w:p>
    <w:p>
      <w:pPr>
        <w:pStyle w:val="Heading2"/>
      </w:pPr>
      <w:r>
        <w:t xml:space="preserve">1. Receive Source Code</w:t>
      </w:r>
    </w:p>
    <w:p>
      <w:r>
        <w:t xml:space="preserve">Clone or receive both folders: server for backend API and simponi for frontend application. Store them in the company-approved source or deployment directory.</w:t>
      </w:r>
    </w:p>
    <w:p>
      <w:pPr>
        <w:pStyle w:val="Heading2"/>
      </w:pPr>
      <w:r>
        <w:t xml:space="preserve">2. Install Runtime Prerequisites</w:t>
      </w:r>
    </w:p>
    <w:p>
      <w:r>
        <w:t xml:space="preserve">Install Node.js, npm, pnpm, MariaDB/MySQL client tools, and a process manager such as PM2 or the company standard service manager.</w:t>
      </w:r>
    </w:p>
    <w:p>
      <w:pPr>
        <w:pStyle w:val="Heading2"/>
      </w:pPr>
      <w:r>
        <w:t xml:space="preserve">3. Configure Database</w:t>
      </w:r>
    </w:p>
    <w:p>
      <w:r>
        <w:t xml:space="preserve">Create a production database and database user. Apply company password policy and restrict network access to approved application hosts only.</w:t>
      </w:r>
    </w:p>
    <w:p>
      <w:pPr>
        <w:pStyle w:val="Heading2"/>
      </w:pPr>
      <w:r>
        <w:t xml:space="preserve">4. Configure Backend Environment</w:t>
      </w:r>
    </w:p>
    <w:p>
      <w:r>
        <w:t xml:space="preserve">Create server/.env using production values. Include database connection settings, JWT_SECRET, PORT, and any Prisma/MariaDB variables required by lib/prisma.js and prisma.config.ts.</w:t>
      </w:r>
    </w:p>
    <w:p>
      <w:pPr>
        <w:pStyle w:val="Heading2"/>
      </w:pPr>
      <w:r>
        <w:t xml:space="preserve">5. Install Backend Dependencies</w:t>
      </w:r>
    </w:p>
    <w:p>
      <w:r>
        <w:t xml:space="preserve">From the server folder, run npm install. Confirm node_modules is installed on the deployment host or built in the CI/CD artifact.</w:t>
      </w:r>
    </w:p>
    <w:p>
      <w:pPr>
        <w:pStyle w:val="Heading2"/>
      </w:pPr>
      <w:r>
        <w:t xml:space="preserve">6. Generate Prisma Client</w:t>
      </w:r>
    </w:p>
    <w:p>
      <w:r>
        <w:t xml:space="preserve">From the server folder, run npm run generate. This generates the Prisma client into the configured generated/prisma output.</w:t>
      </w:r>
    </w:p>
    <w:p>
      <w:pPr>
        <w:pStyle w:val="Heading2"/>
      </w:pPr>
      <w:r>
        <w:t xml:space="preserve">7. Apply Database Migration</w:t>
      </w:r>
    </w:p>
    <w:p>
      <w:r>
        <w:t xml:space="preserve">Run the approved Prisma migration command for production, normally npx prisma migrate deploy. Confirm all migrations complete successfully before starting the API.</w:t>
      </w:r>
    </w:p>
    <w:p>
      <w:pPr>
        <w:pStyle w:val="Heading2"/>
      </w:pPr>
      <w:r>
        <w:t xml:space="preserve">8. Prepare Upload Storage</w:t>
      </w:r>
    </w:p>
    <w:p>
      <w:r>
        <w:t xml:space="preserve">Create or mount the uploads directory used by the backend. Ensure the application process can read/write it and IT backup jobs include it.</w:t>
      </w:r>
    </w:p>
    <w:p>
      <w:pPr>
        <w:pStyle w:val="Heading2"/>
      </w:pPr>
      <w:r>
        <w:t xml:space="preserve">9. Start Backend API</w:t>
      </w:r>
    </w:p>
    <w:p>
      <w:r>
        <w:t xml:space="preserve">Run the backend using npm run dev only for test environments. For production, start app.js using PM2, systemd, Docker, or the company standard runtime. Confirm /api/auth/login is reachable.</w:t>
      </w:r>
    </w:p>
    <w:p>
      <w:pPr>
        <w:pStyle w:val="Heading2"/>
      </w:pPr>
      <w:r>
        <w:t xml:space="preserve">10. Configure Frontend Environment</w:t>
      </w:r>
    </w:p>
    <w:p>
      <w:r>
        <w:t xml:space="preserve">Update simponi/app/utils/config.json or equivalent runtime configuration so the frontend points to the production backend host and port.</w:t>
      </w:r>
    </w:p>
    <w:p>
      <w:pPr>
        <w:pStyle w:val="Heading2"/>
      </w:pPr>
      <w:r>
        <w:t xml:space="preserve">11. Install Frontend Dependencies</w:t>
      </w:r>
    </w:p>
    <w:p>
      <w:r>
        <w:t xml:space="preserve">From the simponi folder, run pnpm install using the lockfile to keep dependency versions consistent.</w:t>
      </w:r>
    </w:p>
    <w:p>
      <w:pPr>
        <w:pStyle w:val="Heading2"/>
      </w:pPr>
      <w:r>
        <w:t xml:space="preserve">12. Build Frontend</w:t>
      </w:r>
    </w:p>
    <w:p>
      <w:r>
        <w:t xml:space="preserve">From the simponi folder, run pnpm build. Confirm the Nuxt production build completes without errors.</w:t>
      </w:r>
    </w:p>
    <w:p>
      <w:pPr>
        <w:pStyle w:val="Heading2"/>
      </w:pPr>
      <w:r>
        <w:t xml:space="preserve">13. Start Frontend</w:t>
      </w:r>
    </w:p>
    <w:p>
      <w:r>
        <w:t xml:space="preserve">Run pnpm preview for validation or deploy the Nuxt output using the company standard Node/Nitro hosting approach.</w:t>
      </w:r>
    </w:p>
    <w:p>
      <w:pPr>
        <w:pStyle w:val="Heading2"/>
      </w:pPr>
      <w:r>
        <w:t xml:space="preserve">14. Configure Reverse Proxy and HTTPS</w:t>
      </w:r>
    </w:p>
    <w:p>
      <w:r>
        <w:t xml:space="preserve">Expose frontend and backend through approved DNS and HTTPS. Route API traffic to the backend and static/frontend traffic to Nuxt.</w:t>
      </w:r>
    </w:p>
    <w:p>
      <w:pPr>
        <w:pStyle w:val="Heading2"/>
      </w:pPr>
      <w:r>
        <w:t xml:space="preserve">15. Validate Login and Role Menus</w:t>
      </w:r>
    </w:p>
    <w:p>
      <w:r>
        <w:t xml:space="preserve">Login using test accounts for each role and confirm sidebar modules, protected pages, and API access match expected authorization.</w:t>
      </w:r>
    </w:p>
    <w:p>
      <w:pPr>
        <w:pStyle w:val="Heading2"/>
      </w:pPr>
      <w:r>
        <w:t xml:space="preserve">16. Validate Core Workflows</w:t>
      </w:r>
    </w:p>
    <w:p>
      <w:r>
        <w:t xml:space="preserve">Test user management, document upload, application submission, event creation, examination, scoring, briefing creation, and medical check verification.</w:t>
      </w:r>
    </w:p>
    <w:p>
      <w:pPr>
        <w:pStyle w:val="Heading2"/>
      </w:pPr>
      <w:r>
        <w:t xml:space="preserve">17. Configure Monitoring</w:t>
      </w:r>
    </w:p>
    <w:p>
      <w:r>
        <w:t xml:space="preserve">Enable process monitoring, log rotation, uptime checks, disk usage alerts for uploads, database monitoring, and backup status alerts.</w:t>
      </w:r>
    </w:p>
    <w:p>
      <w:pPr>
        <w:pStyle w:val="Heading2"/>
      </w:pPr>
      <w:r>
        <w:t xml:space="preserve">18. Handover and Go-Live</w:t>
      </w:r>
    </w:p>
    <w:p>
      <w:r>
        <w:t xml:space="preserve">Document production URLs, service owners, restart commands, backup location, restore procedure, escalation contacts, and release approval evidence.</w:t>
      </w:r>
    </w:p>
    <w:p>
      <w:pPr>
        <w:pStyle w:val="Heading1"/>
      </w:pPr>
      <w:r>
        <w:t xml:space="preserve">9. Suggested Production Commands</w:t>
      </w:r>
    </w:p>
    <w:p>
      <w:pPr>
        <w:pStyle w:val="Heading2"/>
      </w:pPr>
      <w:r>
        <w:t xml:space="preserve">Backend setup commands:</w:t>
      </w:r>
    </w:p>
    <w:p>
      <w:pPr>
        <w:pStyle w:val="Code"/>
      </w:pPr>
      <w:r>
        <w:t xml:space="preserve">cd server</w:t>
      </w:r>
    </w:p>
    <w:p>
      <w:pPr>
        <w:pStyle w:val="Code"/>
      </w:pPr>
      <w:r>
        <w:t xml:space="preserve">npm install</w:t>
      </w:r>
    </w:p>
    <w:p>
      <w:pPr>
        <w:pStyle w:val="Code"/>
      </w:pPr>
      <w:r>
        <w:t xml:space="preserve">npm run generate</w:t>
      </w:r>
    </w:p>
    <w:p>
      <w:pPr>
        <w:pStyle w:val="Code"/>
      </w:pPr>
      <w:r>
        <w:t xml:space="preserve">npx prisma migrate deploy</w:t>
      </w:r>
    </w:p>
    <w:p>
      <w:pPr>
        <w:pStyle w:val="Code"/>
      </w:pPr>
      <w:r>
        <w:t xml:space="preserve">node app.js  # or run through PM2/systemd/company service manager</w:t>
      </w:r>
    </w:p>
    <w:p>
      <w:pPr>
        <w:pStyle w:val="Heading2"/>
      </w:pPr>
      <w:r>
        <w:t xml:space="preserve">Frontend setup commands:</w:t>
      </w:r>
    </w:p>
    <w:p>
      <w:pPr>
        <w:pStyle w:val="Code"/>
      </w:pPr>
      <w:r>
        <w:t xml:space="preserve">cd simponi</w:t>
      </w:r>
    </w:p>
    <w:p>
      <w:pPr>
        <w:pStyle w:val="Code"/>
      </w:pPr>
      <w:r>
        <w:t xml:space="preserve">pnpm install</w:t>
      </w:r>
    </w:p>
    <w:p>
      <w:pPr>
        <w:pStyle w:val="Code"/>
      </w:pPr>
      <w:r>
        <w:t xml:space="preserve">pnpm build</w:t>
      </w:r>
    </w:p>
    <w:p>
      <w:pPr>
        <w:pStyle w:val="Code"/>
      </w:pPr>
      <w:r>
        <w:t xml:space="preserve">pnpm preview  # or deploy .output using company standard Nuxt/Nitro hosting</w:t>
      </w:r>
    </w:p>
    <w:p>
      <w:pPr>
        <w:pStyle w:val="Heading1"/>
      </w:pPr>
      <w:r>
        <w:t xml:space="preserve">10. Open Items for IT Review</w:t>
      </w:r>
    </w:p>
    <w:p>
      <w:pPr>
        <w:numPr>
          <w:ilvl w:val="0"/>
          <w:numId w:val="1"/>
        </w:numPr>
      </w:pPr>
      <w:r>
        <w:t xml:space="preserve">Confirm final production domain, API base URL, and reverse proxy routing pattern.</w:t>
      </w:r>
    </w:p>
    <w:p>
      <w:pPr>
        <w:numPr>
          <w:ilvl w:val="0"/>
          <w:numId w:val="1"/>
        </w:numPr>
      </w:pPr>
      <w:r>
        <w:t xml:space="preserve">Confirm whether deployment will use VM, Docker, Kubernetes, or an existing internal PaaS.</w:t>
      </w:r>
    </w:p>
    <w:p>
      <w:pPr>
        <w:numPr>
          <w:ilvl w:val="0"/>
          <w:numId w:val="1"/>
        </w:numPr>
      </w:pPr>
      <w:r>
        <w:t xml:space="preserve">Confirm database backup frequency, retention period, and recovery time objective.</w:t>
      </w:r>
    </w:p>
    <w:p>
      <w:pPr>
        <w:numPr>
          <w:ilvl w:val="0"/>
          <w:numId w:val="1"/>
        </w:numPr>
      </w:pPr>
      <w:r>
        <w:t xml:space="preserve">Confirm file upload retention policy and maximum upload size.</w:t>
      </w:r>
    </w:p>
    <w:p>
      <w:pPr>
        <w:numPr>
          <w:ilvl w:val="0"/>
          <w:numId w:val="1"/>
        </w:numPr>
      </w:pPr>
      <w:r>
        <w:t xml:space="preserve">Review password validation and authentication hardening before production release.</w:t>
      </w:r>
    </w:p>
    <w:p>
      <w:pPr>
        <w:numPr>
          <w:ilvl w:val="0"/>
          <w:numId w:val="1"/>
        </w:numPr>
      </w:pPr>
      <w:r>
        <w:t xml:space="preserve">Review role-menu mapping and enforce API-level authorization where required by company policy.</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pPr>
    </w:lvl>
  </w:abstractNum>
  <w:num w:numId="1">
    <w:abstractNumId w:val="1"/>
  </w:num>
</w:numbering>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000000"/>
    </w:rPr>
  </w:style>
  <w:style w:type="paragraph" w:styleId="Title">
    <w:name w:val="Title"/>
    <w:qFormat/>
    <w:pPr>
      <w:spacing w:before="0" w:after="120"/>
      <w:keepNext/>
    </w:pPr>
    <w:rPr>
      <w:rFonts w:ascii="Calibri" w:hAnsi="Calibri"/>
      <w:b/>
      <w:sz w:val="44"/>
      <w:color w:val="0B2545"/>
    </w:rPr>
  </w:style>
  <w:style w:type="paragraph" w:styleId="Subtitle">
    <w:name w:val="Subtitle"/>
    <w:qFormat/>
    <w:pPr>
      <w:spacing w:after="240"/>
    </w:pPr>
    <w:rPr>
      <w:rFonts w:ascii="Calibri" w:hAnsi="Calibri"/>
      <w:sz w:val="24"/>
      <w:color w:val="5B677A"/>
    </w:rPr>
  </w:style>
  <w:style w:type="paragraph" w:styleId="Heading1">
    <w:name w:val="heading 1"/>
    <w:basedOn w:val="Normal"/>
    <w:next w:val="Normal"/>
    <w:qFormat/>
    <w:pPr>
      <w:keepNext/>
      <w:spacing w:before="320" w:after="160"/>
    </w:pPr>
    <w:rPr>
      <w:rFonts w:ascii="Calibri" w:hAnsi="Calibri"/>
      <w:b/>
      <w:sz w:val="32"/>
      <w:color w:val="2E74B5"/>
    </w:rPr>
  </w:style>
  <w:style w:type="paragraph" w:styleId="Heading2">
    <w:name w:val="heading 2"/>
    <w:basedOn w:val="Normal"/>
    <w:next w:val="Normal"/>
    <w:qFormat/>
    <w:pPr>
      <w:keepNext/>
      <w:spacing w:before="240" w:after="120"/>
    </w:pPr>
    <w:rPr>
      <w:rFonts w:ascii="Calibri" w:hAnsi="Calibri"/>
      <w:b/>
      <w:sz w:val="26"/>
      <w:color w:val="2E74B5"/>
    </w:rPr>
  </w:style>
  <w:style w:type="paragraph" w:styleId="Code">
    <w:name w:val="Code"/>
    <w:basedOn w:val="Normal"/>
    <w:pPr>
      <w:spacing w:after="80"/>
      <w:ind w:left="360"/>
    </w:pPr>
    <w:rPr>
      <w:rFonts w:ascii="Consolas" w:hAnsi="Consolas"/>
      <w:sz w:val="20"/>
      <w:color w:val="1F4D78"/>
    </w:r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URS IT Handover</dc:title>
  <dc:creator>Codex</dc:creator>
  <cp:lastModifiedBy>Codex</cp:lastModifiedBy>
  <dcterms:created xsi:type="dcterms:W3CDTF">2026-06-20T00:08:46Z</dcterms:created>
  <dcterms:modified xsi:type="dcterms:W3CDTF">2026-06-20T00:08:46Z</dcterms:modified>
</cp:coreProperties>
</file>