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E745" w14:textId="4DC2A4C8" w:rsidR="00192907" w:rsidRDefault="00192907" w:rsidP="00192907">
      <w:pPr>
        <w:pStyle w:val="serteco1"/>
        <w:jc w:val="center"/>
        <w:rPr>
          <w:rFonts w:ascii="Open Sans" w:hAnsi="Open Sans"/>
          <w:b/>
          <w:sz w:val="28"/>
          <w:szCs w:val="28"/>
        </w:rPr>
      </w:pPr>
      <w:r>
        <w:rPr>
          <w:rFonts w:ascii="Open Sans" w:hAnsi="Open Sans"/>
          <w:b/>
          <w:sz w:val="28"/>
          <w:szCs w:val="28"/>
        </w:rPr>
        <w:t>Friuli Venezia Giulia Energia</w:t>
      </w:r>
    </w:p>
    <w:p w14:paraId="3DCF2910" w14:textId="4F6717D7" w:rsidR="00EF3AD0" w:rsidRPr="00633008" w:rsidRDefault="00EF3AD0" w:rsidP="00192907">
      <w:pPr>
        <w:pStyle w:val="serteco1"/>
        <w:jc w:val="center"/>
        <w:rPr>
          <w:rFonts w:ascii="Open Sans" w:hAnsi="Open Sans"/>
          <w:b/>
          <w:sz w:val="28"/>
          <w:szCs w:val="28"/>
        </w:rPr>
      </w:pPr>
      <w:r>
        <w:rPr>
          <w:noProof/>
        </w:rPr>
        <w:drawing>
          <wp:inline distT="0" distB="0" distL="0" distR="0" wp14:anchorId="410A6274" wp14:editId="466FE3B1">
            <wp:extent cx="3290676" cy="673740"/>
            <wp:effectExtent l="0" t="0" r="5080" b="0"/>
            <wp:docPr id="1003" name="Immagine 2" descr="LOGO REGIONE FVG - A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OGO REGIONE FVG - ADE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6912" cy="677064"/>
                    </a:xfrm>
                    <a:prstGeom prst="rect">
                      <a:avLst/>
                    </a:prstGeom>
                    <a:noFill/>
                    <a:ln>
                      <a:noFill/>
                    </a:ln>
                  </pic:spPr>
                </pic:pic>
              </a:graphicData>
            </a:graphic>
          </wp:inline>
        </w:drawing>
      </w:r>
    </w:p>
    <w:p w14:paraId="6BB3189B" w14:textId="5C54D45A" w:rsidR="00192907" w:rsidRPr="00ED0D6D" w:rsidRDefault="00192907" w:rsidP="00192907">
      <w:pPr>
        <w:pStyle w:val="serteco1"/>
        <w:jc w:val="center"/>
        <w:rPr>
          <w:rFonts w:ascii="Open Sans" w:hAnsi="Open Sans"/>
          <w:b/>
          <w:i/>
          <w:iCs w:val="0"/>
          <w:sz w:val="32"/>
          <w:szCs w:val="32"/>
        </w:rPr>
      </w:pPr>
      <w:r>
        <w:rPr>
          <w:noProof/>
        </w:rPr>
        <w:drawing>
          <wp:inline distT="0" distB="0" distL="0" distR="0" wp14:anchorId="1E0D0C8B" wp14:editId="75A6EC10">
            <wp:extent cx="3284855" cy="687070"/>
            <wp:effectExtent l="0" t="0" r="0" b="0"/>
            <wp:docPr id="723165114" name="Immagine 3" descr="logo_energiaF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65114" name="Immagine 3" descr="logo_energiaF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284855" cy="687070"/>
                    </a:xfrm>
                    <a:prstGeom prst="rect">
                      <a:avLst/>
                    </a:prstGeom>
                    <a:noFill/>
                    <a:ln>
                      <a:noFill/>
                    </a:ln>
                  </pic:spPr>
                </pic:pic>
              </a:graphicData>
            </a:graphic>
          </wp:inline>
        </w:drawing>
      </w:r>
    </w:p>
    <w:p w14:paraId="2D99FDF4" w14:textId="77777777" w:rsidR="00192907" w:rsidRPr="00A0700A" w:rsidRDefault="00192907" w:rsidP="00192907"/>
    <w:p w14:paraId="4A51B442" w14:textId="77777777" w:rsidR="00192907" w:rsidRPr="00192907" w:rsidRDefault="00192907" w:rsidP="00192907">
      <w:pPr>
        <w:pStyle w:val="Copertina"/>
        <w:pBdr>
          <w:top w:val="single" w:sz="4" w:space="1" w:color="auto"/>
          <w:bottom w:val="single" w:sz="4" w:space="1" w:color="auto"/>
        </w:pBdr>
        <w:rPr>
          <w:sz w:val="10"/>
          <w:szCs w:val="10"/>
        </w:rPr>
      </w:pPr>
    </w:p>
    <w:p w14:paraId="5B1512AF" w14:textId="3B8DCF2D" w:rsidR="00192907" w:rsidRDefault="00192907" w:rsidP="00192907">
      <w:pPr>
        <w:pStyle w:val="Copertina"/>
        <w:pBdr>
          <w:top w:val="single" w:sz="4" w:space="1" w:color="auto"/>
          <w:bottom w:val="single" w:sz="4" w:space="1" w:color="auto"/>
        </w:pBdr>
        <w:jc w:val="center"/>
        <w:rPr>
          <w:b/>
          <w:sz w:val="32"/>
          <w:szCs w:val="32"/>
        </w:rPr>
      </w:pPr>
      <w:r w:rsidRPr="00192907">
        <w:rPr>
          <w:b/>
          <w:sz w:val="32"/>
          <w:szCs w:val="32"/>
        </w:rPr>
        <w:t>STUDIO TERRITORIALE REGIONALE PER LA MOBILITA’ SOSTENIBILE</w:t>
      </w:r>
    </w:p>
    <w:p w14:paraId="4BB4F305" w14:textId="77777777" w:rsidR="00192907" w:rsidRPr="00192907" w:rsidRDefault="00192907" w:rsidP="00192907">
      <w:pPr>
        <w:pStyle w:val="Copertina"/>
        <w:pBdr>
          <w:top w:val="single" w:sz="4" w:space="1" w:color="auto"/>
          <w:bottom w:val="single" w:sz="4" w:space="1" w:color="auto"/>
        </w:pBdr>
        <w:rPr>
          <w:sz w:val="10"/>
          <w:szCs w:val="10"/>
        </w:rPr>
      </w:pPr>
    </w:p>
    <w:p w14:paraId="178AFCF4" w14:textId="77777777" w:rsidR="00192907" w:rsidRDefault="00192907" w:rsidP="00923DA6"/>
    <w:p w14:paraId="005D03F5" w14:textId="77777777" w:rsidR="00192907" w:rsidRDefault="00192907" w:rsidP="00923DA6"/>
    <w:p w14:paraId="0141320E" w14:textId="77777777" w:rsidR="00192907" w:rsidRDefault="00192907" w:rsidP="00923DA6"/>
    <w:p w14:paraId="53C90AFB" w14:textId="77777777" w:rsidR="00192907" w:rsidRPr="00192907" w:rsidRDefault="00192907" w:rsidP="00192907">
      <w:pPr>
        <w:pStyle w:val="serteco1"/>
        <w:pBdr>
          <w:top w:val="single" w:sz="4" w:space="1" w:color="auto"/>
          <w:bottom w:val="single" w:sz="4" w:space="1" w:color="auto"/>
        </w:pBdr>
        <w:shd w:val="clear" w:color="auto" w:fill="D9D9D9" w:themeFill="background1" w:themeFillShade="D9"/>
        <w:tabs>
          <w:tab w:val="left" w:pos="5670"/>
        </w:tabs>
        <w:jc w:val="center"/>
        <w:rPr>
          <w:rFonts w:ascii="Open Sans" w:hAnsi="Open Sans"/>
          <w:b/>
          <w:sz w:val="10"/>
          <w:szCs w:val="10"/>
        </w:rPr>
      </w:pPr>
    </w:p>
    <w:p w14:paraId="1CA31271" w14:textId="2028AEDD" w:rsidR="00192907" w:rsidRDefault="00192907" w:rsidP="00192907">
      <w:pPr>
        <w:pStyle w:val="serteco1"/>
        <w:pBdr>
          <w:top w:val="single" w:sz="4" w:space="1" w:color="auto"/>
          <w:bottom w:val="single" w:sz="4" w:space="1" w:color="auto"/>
        </w:pBdr>
        <w:shd w:val="clear" w:color="auto" w:fill="D9D9D9" w:themeFill="background1" w:themeFillShade="D9"/>
        <w:tabs>
          <w:tab w:val="left" w:pos="5670"/>
        </w:tabs>
        <w:jc w:val="center"/>
        <w:rPr>
          <w:rFonts w:ascii="Open Sans" w:hAnsi="Open Sans"/>
          <w:b/>
          <w:sz w:val="32"/>
          <w:szCs w:val="32"/>
        </w:rPr>
      </w:pPr>
      <w:r>
        <w:rPr>
          <w:rFonts w:ascii="Open Sans" w:hAnsi="Open Sans"/>
          <w:b/>
          <w:sz w:val="32"/>
          <w:szCs w:val="32"/>
        </w:rPr>
        <w:t>Relazione Generale</w:t>
      </w:r>
    </w:p>
    <w:p w14:paraId="28B76548" w14:textId="77777777" w:rsidR="00192907" w:rsidRPr="00192907" w:rsidRDefault="00192907" w:rsidP="00192907">
      <w:pPr>
        <w:pStyle w:val="serteco1"/>
        <w:pBdr>
          <w:top w:val="single" w:sz="4" w:space="1" w:color="auto"/>
          <w:bottom w:val="single" w:sz="4" w:space="1" w:color="auto"/>
        </w:pBdr>
        <w:shd w:val="clear" w:color="auto" w:fill="D9D9D9" w:themeFill="background1" w:themeFillShade="D9"/>
        <w:tabs>
          <w:tab w:val="left" w:pos="5670"/>
        </w:tabs>
        <w:rPr>
          <w:rFonts w:ascii="Open Sans" w:hAnsi="Open Sans"/>
          <w:b/>
          <w:sz w:val="10"/>
          <w:szCs w:val="10"/>
        </w:rPr>
      </w:pPr>
    </w:p>
    <w:p w14:paraId="3120A48C" w14:textId="77777777" w:rsidR="00FA6F6A" w:rsidRDefault="00FA6F6A" w:rsidP="00923DA6"/>
    <w:p w14:paraId="7B78090C" w14:textId="77777777" w:rsidR="00192907" w:rsidRDefault="00192907" w:rsidP="00923DA6"/>
    <w:p w14:paraId="69DC6567" w14:textId="77777777" w:rsidR="00192907" w:rsidRDefault="00192907" w:rsidP="00923DA6"/>
    <w:p w14:paraId="5AE2F8B4" w14:textId="77777777" w:rsidR="00192907" w:rsidRDefault="00192907" w:rsidP="00923DA6"/>
    <w:p w14:paraId="5723687E" w14:textId="046C8F88" w:rsidR="00192907" w:rsidRDefault="00192907">
      <w:pPr>
        <w:widowControl/>
        <w:spacing w:before="0" w:after="160" w:line="278" w:lineRule="auto"/>
        <w:jc w:val="left"/>
      </w:pPr>
      <w:r>
        <w:br w:type="page"/>
      </w:r>
    </w:p>
    <w:p w14:paraId="53CAFB25" w14:textId="77777777" w:rsidR="00192907" w:rsidRDefault="00192907" w:rsidP="00923DA6"/>
    <w:p w14:paraId="6567682E" w14:textId="5D0E350A" w:rsidR="0077656D" w:rsidRPr="00192907" w:rsidRDefault="0077656D" w:rsidP="00192907">
      <w:pPr>
        <w:pStyle w:val="Maintitoli"/>
        <w:jc w:val="center"/>
        <w:rPr>
          <w:b/>
          <w:bCs/>
        </w:rPr>
      </w:pPr>
      <w:r w:rsidRPr="00192907">
        <w:rPr>
          <w:b/>
          <w:bCs/>
        </w:rPr>
        <w:t>STUDIO TERRITORIALE REGIONALE PER LA MOBILITA’ SOSTENIBILE</w:t>
      </w:r>
    </w:p>
    <w:p w14:paraId="15EB45E9" w14:textId="77777777" w:rsidR="00192907" w:rsidRDefault="00192907" w:rsidP="00192907">
      <w:pPr>
        <w:pStyle w:val="Maintitoli"/>
        <w:jc w:val="center"/>
        <w:rPr>
          <w:b/>
          <w:bCs/>
        </w:rPr>
      </w:pPr>
    </w:p>
    <w:p w14:paraId="770F98E8" w14:textId="2D1190C3" w:rsidR="007B05F7" w:rsidRPr="00192907" w:rsidRDefault="007502FB" w:rsidP="00192907">
      <w:pPr>
        <w:pStyle w:val="Maintitoli"/>
        <w:jc w:val="center"/>
        <w:rPr>
          <w:b/>
          <w:bCs/>
          <w:u w:val="none"/>
        </w:rPr>
      </w:pPr>
      <w:r w:rsidRPr="00192907">
        <w:rPr>
          <w:b/>
          <w:bCs/>
          <w:u w:val="none"/>
        </w:rPr>
        <w:t>RELAZIONE GENERALE</w:t>
      </w:r>
    </w:p>
    <w:sdt>
      <w:sdtPr>
        <w:rPr>
          <w:rFonts w:ascii="Calibri" w:eastAsia="Times New Roman" w:hAnsi="Calibri" w:cs="Open Sans"/>
          <w:iCs/>
          <w:color w:val="auto"/>
          <w:sz w:val="20"/>
          <w:szCs w:val="20"/>
        </w:rPr>
        <w:id w:val="-1056932033"/>
        <w:docPartObj>
          <w:docPartGallery w:val="Table of Contents"/>
          <w:docPartUnique/>
        </w:docPartObj>
      </w:sdtPr>
      <w:sdtEndPr>
        <w:rPr>
          <w:b/>
          <w:bCs/>
        </w:rPr>
      </w:sdtEndPr>
      <w:sdtContent>
        <w:p w14:paraId="7D4E8DF2" w14:textId="72026243" w:rsidR="006F439E" w:rsidRDefault="006F439E">
          <w:pPr>
            <w:pStyle w:val="Titolosommario"/>
          </w:pPr>
          <w:r>
            <w:t>Sommario</w:t>
          </w:r>
        </w:p>
        <w:p w14:paraId="3FEF444D" w14:textId="7DD70919" w:rsidR="004331C2" w:rsidRDefault="006F439E">
          <w:pPr>
            <w:pStyle w:val="Sommario1"/>
            <w:tabs>
              <w:tab w:val="left" w:pos="400"/>
              <w:tab w:val="right" w:leader="dot" w:pos="9628"/>
            </w:tabs>
            <w:rPr>
              <w:rFonts w:asciiTheme="minorHAnsi" w:eastAsiaTheme="minorEastAsia" w:hAnsiTheme="minorHAnsi" w:cstheme="minorBidi"/>
              <w:iCs w:val="0"/>
              <w:noProof/>
              <w:kern w:val="2"/>
              <w:sz w:val="24"/>
              <w:szCs w:val="24"/>
              <w14:ligatures w14:val="standardContextual"/>
            </w:rPr>
          </w:pPr>
          <w:r>
            <w:fldChar w:fldCharType="begin"/>
          </w:r>
          <w:r>
            <w:instrText xml:space="preserve"> TOC \o "1-3" \h \z \u </w:instrText>
          </w:r>
          <w:r>
            <w:fldChar w:fldCharType="separate"/>
          </w:r>
          <w:hyperlink w:anchor="_Toc241161202" w:history="1">
            <w:r w:rsidR="004331C2" w:rsidRPr="006E261D">
              <w:rPr>
                <w:rStyle w:val="Collegamentoipertestuale"/>
                <w:noProof/>
              </w:rPr>
              <w:t>1.</w:t>
            </w:r>
            <w:r w:rsidR="004331C2">
              <w:rPr>
                <w:rFonts w:asciiTheme="minorHAnsi" w:eastAsiaTheme="minorEastAsia" w:hAnsiTheme="minorHAnsi" w:cstheme="minorBidi"/>
                <w:iCs w:val="0"/>
                <w:noProof/>
                <w:kern w:val="2"/>
                <w:sz w:val="24"/>
                <w:szCs w:val="24"/>
                <w14:ligatures w14:val="standardContextual"/>
              </w:rPr>
              <w:tab/>
            </w:r>
            <w:r w:rsidR="004331C2" w:rsidRPr="006E261D">
              <w:rPr>
                <w:rStyle w:val="Collegamentoipertestuale"/>
                <w:noProof/>
              </w:rPr>
              <w:t>Obiettivi dello studio</w:t>
            </w:r>
            <w:r w:rsidR="004331C2">
              <w:rPr>
                <w:noProof/>
                <w:webHidden/>
              </w:rPr>
              <w:tab/>
            </w:r>
            <w:r w:rsidR="004331C2">
              <w:rPr>
                <w:noProof/>
                <w:webHidden/>
              </w:rPr>
              <w:fldChar w:fldCharType="begin"/>
            </w:r>
            <w:r w:rsidR="004331C2">
              <w:rPr>
                <w:noProof/>
                <w:webHidden/>
              </w:rPr>
              <w:instrText xml:space="preserve"> PAGEREF _Toc241161202 \h </w:instrText>
            </w:r>
            <w:r w:rsidR="004331C2">
              <w:rPr>
                <w:noProof/>
                <w:webHidden/>
              </w:rPr>
            </w:r>
            <w:r w:rsidR="004331C2">
              <w:rPr>
                <w:noProof/>
                <w:webHidden/>
              </w:rPr>
              <w:fldChar w:fldCharType="separate"/>
            </w:r>
            <w:r w:rsidR="004331C2">
              <w:rPr>
                <w:noProof/>
                <w:webHidden/>
              </w:rPr>
              <w:t>4</w:t>
            </w:r>
            <w:r w:rsidR="004331C2">
              <w:rPr>
                <w:noProof/>
                <w:webHidden/>
              </w:rPr>
              <w:fldChar w:fldCharType="end"/>
            </w:r>
          </w:hyperlink>
        </w:p>
        <w:p w14:paraId="591C1C75" w14:textId="32E2979D" w:rsidR="004331C2" w:rsidRDefault="004331C2">
          <w:pPr>
            <w:pStyle w:val="Sommario1"/>
            <w:tabs>
              <w:tab w:val="left" w:pos="4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03" w:history="1">
            <w:r w:rsidRPr="006E261D">
              <w:rPr>
                <w:rStyle w:val="Collegamentoipertestuale"/>
                <w:noProof/>
              </w:rPr>
              <w:t>2.</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Quadro conoscitivo</w:t>
            </w:r>
            <w:r>
              <w:rPr>
                <w:noProof/>
                <w:webHidden/>
              </w:rPr>
              <w:tab/>
            </w:r>
            <w:r>
              <w:rPr>
                <w:noProof/>
                <w:webHidden/>
              </w:rPr>
              <w:fldChar w:fldCharType="begin"/>
            </w:r>
            <w:r>
              <w:rPr>
                <w:noProof/>
                <w:webHidden/>
              </w:rPr>
              <w:instrText xml:space="preserve"> PAGEREF _Toc241161203 \h </w:instrText>
            </w:r>
            <w:r>
              <w:rPr>
                <w:noProof/>
                <w:webHidden/>
              </w:rPr>
            </w:r>
            <w:r>
              <w:rPr>
                <w:noProof/>
                <w:webHidden/>
              </w:rPr>
              <w:fldChar w:fldCharType="separate"/>
            </w:r>
            <w:r>
              <w:rPr>
                <w:noProof/>
                <w:webHidden/>
              </w:rPr>
              <w:t>5</w:t>
            </w:r>
            <w:r>
              <w:rPr>
                <w:noProof/>
                <w:webHidden/>
              </w:rPr>
              <w:fldChar w:fldCharType="end"/>
            </w:r>
          </w:hyperlink>
        </w:p>
        <w:p w14:paraId="267C9038" w14:textId="4502E6CC"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04" w:history="1">
            <w:r w:rsidRPr="006E261D">
              <w:rPr>
                <w:rStyle w:val="Collegamentoipertestuale"/>
                <w:noProof/>
              </w:rPr>
              <w:t>2.1.</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Sistema dei trasporti e della logistica regionale</w:t>
            </w:r>
            <w:r>
              <w:rPr>
                <w:noProof/>
                <w:webHidden/>
              </w:rPr>
              <w:tab/>
            </w:r>
            <w:r>
              <w:rPr>
                <w:noProof/>
                <w:webHidden/>
              </w:rPr>
              <w:fldChar w:fldCharType="begin"/>
            </w:r>
            <w:r>
              <w:rPr>
                <w:noProof/>
                <w:webHidden/>
              </w:rPr>
              <w:instrText xml:space="preserve"> PAGEREF _Toc241161204 \h </w:instrText>
            </w:r>
            <w:r>
              <w:rPr>
                <w:noProof/>
                <w:webHidden/>
              </w:rPr>
            </w:r>
            <w:r>
              <w:rPr>
                <w:noProof/>
                <w:webHidden/>
              </w:rPr>
              <w:fldChar w:fldCharType="separate"/>
            </w:r>
            <w:r>
              <w:rPr>
                <w:noProof/>
                <w:webHidden/>
              </w:rPr>
              <w:t>5</w:t>
            </w:r>
            <w:r>
              <w:rPr>
                <w:noProof/>
                <w:webHidden/>
              </w:rPr>
              <w:fldChar w:fldCharType="end"/>
            </w:r>
          </w:hyperlink>
        </w:p>
        <w:p w14:paraId="13B57469" w14:textId="56DFA89D"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05" w:history="1">
            <w:r w:rsidRPr="006E261D">
              <w:rPr>
                <w:rStyle w:val="Collegamentoipertestuale"/>
                <w:noProof/>
              </w:rPr>
              <w:t>2.2.</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Piano Nazionale Integrato per l'Energia e il Clima e Piano Energetico Regionale del Friuli Venezia Giulia nel settore dei trasporti</w:t>
            </w:r>
            <w:r>
              <w:rPr>
                <w:noProof/>
                <w:webHidden/>
              </w:rPr>
              <w:tab/>
            </w:r>
            <w:r>
              <w:rPr>
                <w:noProof/>
                <w:webHidden/>
              </w:rPr>
              <w:fldChar w:fldCharType="begin"/>
            </w:r>
            <w:r>
              <w:rPr>
                <w:noProof/>
                <w:webHidden/>
              </w:rPr>
              <w:instrText xml:space="preserve"> PAGEREF _Toc241161205 \h </w:instrText>
            </w:r>
            <w:r>
              <w:rPr>
                <w:noProof/>
                <w:webHidden/>
              </w:rPr>
            </w:r>
            <w:r>
              <w:rPr>
                <w:noProof/>
                <w:webHidden/>
              </w:rPr>
              <w:fldChar w:fldCharType="separate"/>
            </w:r>
            <w:r>
              <w:rPr>
                <w:noProof/>
                <w:webHidden/>
              </w:rPr>
              <w:t>7</w:t>
            </w:r>
            <w:r>
              <w:rPr>
                <w:noProof/>
                <w:webHidden/>
              </w:rPr>
              <w:fldChar w:fldCharType="end"/>
            </w:r>
          </w:hyperlink>
        </w:p>
        <w:p w14:paraId="333F9F3C" w14:textId="0DFFA03E"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06" w:history="1">
            <w:r w:rsidRPr="006E261D">
              <w:rPr>
                <w:rStyle w:val="Collegamentoipertestuale"/>
                <w:noProof/>
              </w:rPr>
              <w:t>2.3.</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Strumenti di programmazione dei trasporti;</w:t>
            </w:r>
            <w:r>
              <w:rPr>
                <w:noProof/>
                <w:webHidden/>
              </w:rPr>
              <w:tab/>
            </w:r>
            <w:r>
              <w:rPr>
                <w:noProof/>
                <w:webHidden/>
              </w:rPr>
              <w:fldChar w:fldCharType="begin"/>
            </w:r>
            <w:r>
              <w:rPr>
                <w:noProof/>
                <w:webHidden/>
              </w:rPr>
              <w:instrText xml:space="preserve"> PAGEREF _Toc241161206 \h </w:instrText>
            </w:r>
            <w:r>
              <w:rPr>
                <w:noProof/>
                <w:webHidden/>
              </w:rPr>
            </w:r>
            <w:r>
              <w:rPr>
                <w:noProof/>
                <w:webHidden/>
              </w:rPr>
              <w:fldChar w:fldCharType="separate"/>
            </w:r>
            <w:r>
              <w:rPr>
                <w:noProof/>
                <w:webHidden/>
              </w:rPr>
              <w:t>8</w:t>
            </w:r>
            <w:r>
              <w:rPr>
                <w:noProof/>
                <w:webHidden/>
              </w:rPr>
              <w:fldChar w:fldCharType="end"/>
            </w:r>
          </w:hyperlink>
        </w:p>
        <w:p w14:paraId="2ACC9864" w14:textId="4F0DFB17"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07" w:history="1">
            <w:r w:rsidRPr="006E261D">
              <w:rPr>
                <w:rStyle w:val="Collegamentoipertestuale"/>
                <w:noProof/>
              </w:rPr>
              <w:t>2.4.</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Quadro europeo relativo alle infrastrutture per combustibili alternativi;</w:t>
            </w:r>
            <w:r>
              <w:rPr>
                <w:noProof/>
                <w:webHidden/>
              </w:rPr>
              <w:tab/>
            </w:r>
            <w:r>
              <w:rPr>
                <w:noProof/>
                <w:webHidden/>
              </w:rPr>
              <w:fldChar w:fldCharType="begin"/>
            </w:r>
            <w:r>
              <w:rPr>
                <w:noProof/>
                <w:webHidden/>
              </w:rPr>
              <w:instrText xml:space="preserve"> PAGEREF _Toc241161207 \h </w:instrText>
            </w:r>
            <w:r>
              <w:rPr>
                <w:noProof/>
                <w:webHidden/>
              </w:rPr>
            </w:r>
            <w:r>
              <w:rPr>
                <w:noProof/>
                <w:webHidden/>
              </w:rPr>
              <w:fldChar w:fldCharType="separate"/>
            </w:r>
            <w:r>
              <w:rPr>
                <w:noProof/>
                <w:webHidden/>
              </w:rPr>
              <w:t>9</w:t>
            </w:r>
            <w:r>
              <w:rPr>
                <w:noProof/>
                <w:webHidden/>
              </w:rPr>
              <w:fldChar w:fldCharType="end"/>
            </w:r>
          </w:hyperlink>
        </w:p>
        <w:p w14:paraId="05FEF4C5" w14:textId="05FE0E6A"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08" w:history="1">
            <w:r w:rsidRPr="006E261D">
              <w:rPr>
                <w:rStyle w:val="Collegamentoipertestuale"/>
                <w:noProof/>
              </w:rPr>
              <w:t>2.5.</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L’idrogeno in Italia</w:t>
            </w:r>
            <w:r>
              <w:rPr>
                <w:noProof/>
                <w:webHidden/>
              </w:rPr>
              <w:tab/>
            </w:r>
            <w:r>
              <w:rPr>
                <w:noProof/>
                <w:webHidden/>
              </w:rPr>
              <w:fldChar w:fldCharType="begin"/>
            </w:r>
            <w:r>
              <w:rPr>
                <w:noProof/>
                <w:webHidden/>
              </w:rPr>
              <w:instrText xml:space="preserve"> PAGEREF _Toc241161208 \h </w:instrText>
            </w:r>
            <w:r>
              <w:rPr>
                <w:noProof/>
                <w:webHidden/>
              </w:rPr>
            </w:r>
            <w:r>
              <w:rPr>
                <w:noProof/>
                <w:webHidden/>
              </w:rPr>
              <w:fldChar w:fldCharType="separate"/>
            </w:r>
            <w:r>
              <w:rPr>
                <w:noProof/>
                <w:webHidden/>
              </w:rPr>
              <w:t>10</w:t>
            </w:r>
            <w:r>
              <w:rPr>
                <w:noProof/>
                <w:webHidden/>
              </w:rPr>
              <w:fldChar w:fldCharType="end"/>
            </w:r>
          </w:hyperlink>
        </w:p>
        <w:p w14:paraId="2100E523" w14:textId="6B7E7D53"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09" w:history="1">
            <w:r w:rsidRPr="006E261D">
              <w:rPr>
                <w:rStyle w:val="Collegamentoipertestuale"/>
                <w:noProof/>
              </w:rPr>
              <w:t>2.6.</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Strumenti regionali di governo del territorio;</w:t>
            </w:r>
            <w:r>
              <w:rPr>
                <w:noProof/>
                <w:webHidden/>
              </w:rPr>
              <w:tab/>
            </w:r>
            <w:r>
              <w:rPr>
                <w:noProof/>
                <w:webHidden/>
              </w:rPr>
              <w:fldChar w:fldCharType="begin"/>
            </w:r>
            <w:r>
              <w:rPr>
                <w:noProof/>
                <w:webHidden/>
              </w:rPr>
              <w:instrText xml:space="preserve"> PAGEREF _Toc241161209 \h </w:instrText>
            </w:r>
            <w:r>
              <w:rPr>
                <w:noProof/>
                <w:webHidden/>
              </w:rPr>
            </w:r>
            <w:r>
              <w:rPr>
                <w:noProof/>
                <w:webHidden/>
              </w:rPr>
              <w:fldChar w:fldCharType="separate"/>
            </w:r>
            <w:r>
              <w:rPr>
                <w:noProof/>
                <w:webHidden/>
              </w:rPr>
              <w:t>13</w:t>
            </w:r>
            <w:r>
              <w:rPr>
                <w:noProof/>
                <w:webHidden/>
              </w:rPr>
              <w:fldChar w:fldCharType="end"/>
            </w:r>
          </w:hyperlink>
        </w:p>
        <w:p w14:paraId="3A6332B4" w14:textId="456ECB5B"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0" w:history="1">
            <w:r w:rsidRPr="006E261D">
              <w:rPr>
                <w:rStyle w:val="Collegamentoipertestuale"/>
                <w:noProof/>
              </w:rPr>
              <w:t>2.7.</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Normative tecniche applicabili alle infrastrutture di ricarica e rifornimento.</w:t>
            </w:r>
            <w:r>
              <w:rPr>
                <w:noProof/>
                <w:webHidden/>
              </w:rPr>
              <w:tab/>
            </w:r>
            <w:r>
              <w:rPr>
                <w:noProof/>
                <w:webHidden/>
              </w:rPr>
              <w:fldChar w:fldCharType="begin"/>
            </w:r>
            <w:r>
              <w:rPr>
                <w:noProof/>
                <w:webHidden/>
              </w:rPr>
              <w:instrText xml:space="preserve"> PAGEREF _Toc241161210 \h </w:instrText>
            </w:r>
            <w:r>
              <w:rPr>
                <w:noProof/>
                <w:webHidden/>
              </w:rPr>
            </w:r>
            <w:r>
              <w:rPr>
                <w:noProof/>
                <w:webHidden/>
              </w:rPr>
              <w:fldChar w:fldCharType="separate"/>
            </w:r>
            <w:r>
              <w:rPr>
                <w:noProof/>
                <w:webHidden/>
              </w:rPr>
              <w:t>14</w:t>
            </w:r>
            <w:r>
              <w:rPr>
                <w:noProof/>
                <w:webHidden/>
              </w:rPr>
              <w:fldChar w:fldCharType="end"/>
            </w:r>
          </w:hyperlink>
        </w:p>
        <w:p w14:paraId="0A9CE5B5" w14:textId="29B919B5" w:rsidR="004331C2" w:rsidRDefault="004331C2">
          <w:pPr>
            <w:pStyle w:val="Sommario1"/>
            <w:tabs>
              <w:tab w:val="left" w:pos="4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1" w:history="1">
            <w:r w:rsidRPr="006E261D">
              <w:rPr>
                <w:rStyle w:val="Collegamentoipertestuale"/>
                <w:noProof/>
              </w:rPr>
              <w:t>3.</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Indirizzi strategici per lo sviluppo e la localizzazione delle infrastrutture per la mobilità sostenibile</w:t>
            </w:r>
            <w:r>
              <w:rPr>
                <w:noProof/>
                <w:webHidden/>
              </w:rPr>
              <w:tab/>
            </w:r>
            <w:r>
              <w:rPr>
                <w:noProof/>
                <w:webHidden/>
              </w:rPr>
              <w:fldChar w:fldCharType="begin"/>
            </w:r>
            <w:r>
              <w:rPr>
                <w:noProof/>
                <w:webHidden/>
              </w:rPr>
              <w:instrText xml:space="preserve"> PAGEREF _Toc241161211 \h </w:instrText>
            </w:r>
            <w:r>
              <w:rPr>
                <w:noProof/>
                <w:webHidden/>
              </w:rPr>
            </w:r>
            <w:r>
              <w:rPr>
                <w:noProof/>
                <w:webHidden/>
              </w:rPr>
              <w:fldChar w:fldCharType="separate"/>
            </w:r>
            <w:r>
              <w:rPr>
                <w:noProof/>
                <w:webHidden/>
              </w:rPr>
              <w:t>16</w:t>
            </w:r>
            <w:r>
              <w:rPr>
                <w:noProof/>
                <w:webHidden/>
              </w:rPr>
              <w:fldChar w:fldCharType="end"/>
            </w:r>
          </w:hyperlink>
        </w:p>
        <w:p w14:paraId="4024FAB7" w14:textId="765206F1" w:rsidR="004331C2" w:rsidRDefault="004331C2">
          <w:pPr>
            <w:pStyle w:val="Sommario1"/>
            <w:tabs>
              <w:tab w:val="left" w:pos="4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2" w:history="1">
            <w:r w:rsidRPr="006E261D">
              <w:rPr>
                <w:rStyle w:val="Collegamentoipertestuale"/>
                <w:noProof/>
              </w:rPr>
              <w:t>4.</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Metodologia per la localizzazione delle infrastrutture di ricarica per veicoli leggeri</w:t>
            </w:r>
            <w:r>
              <w:rPr>
                <w:noProof/>
                <w:webHidden/>
              </w:rPr>
              <w:tab/>
            </w:r>
            <w:r>
              <w:rPr>
                <w:noProof/>
                <w:webHidden/>
              </w:rPr>
              <w:fldChar w:fldCharType="begin"/>
            </w:r>
            <w:r>
              <w:rPr>
                <w:noProof/>
                <w:webHidden/>
              </w:rPr>
              <w:instrText xml:space="preserve"> PAGEREF _Toc241161212 \h </w:instrText>
            </w:r>
            <w:r>
              <w:rPr>
                <w:noProof/>
                <w:webHidden/>
              </w:rPr>
            </w:r>
            <w:r>
              <w:rPr>
                <w:noProof/>
                <w:webHidden/>
              </w:rPr>
              <w:fldChar w:fldCharType="separate"/>
            </w:r>
            <w:r>
              <w:rPr>
                <w:noProof/>
                <w:webHidden/>
              </w:rPr>
              <w:t>18</w:t>
            </w:r>
            <w:r>
              <w:rPr>
                <w:noProof/>
                <w:webHidden/>
              </w:rPr>
              <w:fldChar w:fldCharType="end"/>
            </w:r>
          </w:hyperlink>
        </w:p>
        <w:p w14:paraId="65B30D87" w14:textId="34F5FEEE"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3" w:history="1">
            <w:r w:rsidRPr="006E261D">
              <w:rPr>
                <w:rStyle w:val="Collegamentoipertestuale"/>
                <w:noProof/>
              </w:rPr>
              <w:t>4.1.</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Obiettivi e impostazione metodologica</w:t>
            </w:r>
            <w:r>
              <w:rPr>
                <w:noProof/>
                <w:webHidden/>
              </w:rPr>
              <w:tab/>
            </w:r>
            <w:r>
              <w:rPr>
                <w:noProof/>
                <w:webHidden/>
              </w:rPr>
              <w:fldChar w:fldCharType="begin"/>
            </w:r>
            <w:r>
              <w:rPr>
                <w:noProof/>
                <w:webHidden/>
              </w:rPr>
              <w:instrText xml:space="preserve"> PAGEREF _Toc241161213 \h </w:instrText>
            </w:r>
            <w:r>
              <w:rPr>
                <w:noProof/>
                <w:webHidden/>
              </w:rPr>
            </w:r>
            <w:r>
              <w:rPr>
                <w:noProof/>
                <w:webHidden/>
              </w:rPr>
              <w:fldChar w:fldCharType="separate"/>
            </w:r>
            <w:r>
              <w:rPr>
                <w:noProof/>
                <w:webHidden/>
              </w:rPr>
              <w:t>18</w:t>
            </w:r>
            <w:r>
              <w:rPr>
                <w:noProof/>
                <w:webHidden/>
              </w:rPr>
              <w:fldChar w:fldCharType="end"/>
            </w:r>
          </w:hyperlink>
        </w:p>
        <w:p w14:paraId="211AE616" w14:textId="6256E504"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4" w:history="1">
            <w:r w:rsidRPr="006E261D">
              <w:rPr>
                <w:rStyle w:val="Collegamentoipertestuale"/>
                <w:noProof/>
              </w:rPr>
              <w:t>4.2.</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Raccolta e preparazione dei dati</w:t>
            </w:r>
            <w:r>
              <w:rPr>
                <w:noProof/>
                <w:webHidden/>
              </w:rPr>
              <w:tab/>
            </w:r>
            <w:r>
              <w:rPr>
                <w:noProof/>
                <w:webHidden/>
              </w:rPr>
              <w:fldChar w:fldCharType="begin"/>
            </w:r>
            <w:r>
              <w:rPr>
                <w:noProof/>
                <w:webHidden/>
              </w:rPr>
              <w:instrText xml:space="preserve"> PAGEREF _Toc241161214 \h </w:instrText>
            </w:r>
            <w:r>
              <w:rPr>
                <w:noProof/>
                <w:webHidden/>
              </w:rPr>
            </w:r>
            <w:r>
              <w:rPr>
                <w:noProof/>
                <w:webHidden/>
              </w:rPr>
              <w:fldChar w:fldCharType="separate"/>
            </w:r>
            <w:r>
              <w:rPr>
                <w:noProof/>
                <w:webHidden/>
              </w:rPr>
              <w:t>19</w:t>
            </w:r>
            <w:r>
              <w:rPr>
                <w:noProof/>
                <w:webHidden/>
              </w:rPr>
              <w:fldChar w:fldCharType="end"/>
            </w:r>
          </w:hyperlink>
        </w:p>
        <w:p w14:paraId="1FF99F01" w14:textId="26FB7B8C"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5" w:history="1">
            <w:r w:rsidRPr="006E261D">
              <w:rPr>
                <w:rStyle w:val="Collegamentoipertestuale"/>
                <w:noProof/>
              </w:rPr>
              <w:t>4.3.</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Rappresentazione della rete stradale</w:t>
            </w:r>
            <w:r>
              <w:rPr>
                <w:noProof/>
                <w:webHidden/>
              </w:rPr>
              <w:tab/>
            </w:r>
            <w:r>
              <w:rPr>
                <w:noProof/>
                <w:webHidden/>
              </w:rPr>
              <w:fldChar w:fldCharType="begin"/>
            </w:r>
            <w:r>
              <w:rPr>
                <w:noProof/>
                <w:webHidden/>
              </w:rPr>
              <w:instrText xml:space="preserve"> PAGEREF _Toc241161215 \h </w:instrText>
            </w:r>
            <w:r>
              <w:rPr>
                <w:noProof/>
                <w:webHidden/>
              </w:rPr>
            </w:r>
            <w:r>
              <w:rPr>
                <w:noProof/>
                <w:webHidden/>
              </w:rPr>
              <w:fldChar w:fldCharType="separate"/>
            </w:r>
            <w:r>
              <w:rPr>
                <w:noProof/>
                <w:webHidden/>
              </w:rPr>
              <w:t>21</w:t>
            </w:r>
            <w:r>
              <w:rPr>
                <w:noProof/>
                <w:webHidden/>
              </w:rPr>
              <w:fldChar w:fldCharType="end"/>
            </w:r>
          </w:hyperlink>
        </w:p>
        <w:p w14:paraId="4655A801" w14:textId="0565E4A0"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6" w:history="1">
            <w:r w:rsidRPr="006E261D">
              <w:rPr>
                <w:rStyle w:val="Collegamentoipertestuale"/>
                <w:noProof/>
              </w:rPr>
              <w:t>4.4.</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Ricostruzione della domanda di mobilità</w:t>
            </w:r>
            <w:r>
              <w:rPr>
                <w:noProof/>
                <w:webHidden/>
              </w:rPr>
              <w:tab/>
            </w:r>
            <w:r>
              <w:rPr>
                <w:noProof/>
                <w:webHidden/>
              </w:rPr>
              <w:fldChar w:fldCharType="begin"/>
            </w:r>
            <w:r>
              <w:rPr>
                <w:noProof/>
                <w:webHidden/>
              </w:rPr>
              <w:instrText xml:space="preserve"> PAGEREF _Toc241161216 \h </w:instrText>
            </w:r>
            <w:r>
              <w:rPr>
                <w:noProof/>
                <w:webHidden/>
              </w:rPr>
            </w:r>
            <w:r>
              <w:rPr>
                <w:noProof/>
                <w:webHidden/>
              </w:rPr>
              <w:fldChar w:fldCharType="separate"/>
            </w:r>
            <w:r>
              <w:rPr>
                <w:noProof/>
                <w:webHidden/>
              </w:rPr>
              <w:t>23</w:t>
            </w:r>
            <w:r>
              <w:rPr>
                <w:noProof/>
                <w:webHidden/>
              </w:rPr>
              <w:fldChar w:fldCharType="end"/>
            </w:r>
          </w:hyperlink>
        </w:p>
        <w:p w14:paraId="5F1B0282" w14:textId="7DC6081A"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7" w:history="1">
            <w:r w:rsidRPr="006E261D">
              <w:rPr>
                <w:rStyle w:val="Collegamentoipertestuale"/>
                <w:noProof/>
              </w:rPr>
              <w:t>4.5.</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Ricostruzione dei percorsi e assegnazione dei flussi</w:t>
            </w:r>
            <w:r>
              <w:rPr>
                <w:noProof/>
                <w:webHidden/>
              </w:rPr>
              <w:tab/>
            </w:r>
            <w:r>
              <w:rPr>
                <w:noProof/>
                <w:webHidden/>
              </w:rPr>
              <w:fldChar w:fldCharType="begin"/>
            </w:r>
            <w:r>
              <w:rPr>
                <w:noProof/>
                <w:webHidden/>
              </w:rPr>
              <w:instrText xml:space="preserve"> PAGEREF _Toc241161217 \h </w:instrText>
            </w:r>
            <w:r>
              <w:rPr>
                <w:noProof/>
                <w:webHidden/>
              </w:rPr>
            </w:r>
            <w:r>
              <w:rPr>
                <w:noProof/>
                <w:webHidden/>
              </w:rPr>
              <w:fldChar w:fldCharType="separate"/>
            </w:r>
            <w:r>
              <w:rPr>
                <w:noProof/>
                <w:webHidden/>
              </w:rPr>
              <w:t>26</w:t>
            </w:r>
            <w:r>
              <w:rPr>
                <w:noProof/>
                <w:webHidden/>
              </w:rPr>
              <w:fldChar w:fldCharType="end"/>
            </w:r>
          </w:hyperlink>
        </w:p>
        <w:p w14:paraId="2A3C0E65" w14:textId="5E7A4D53"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8" w:history="1">
            <w:r w:rsidRPr="006E261D">
              <w:rPr>
                <w:rStyle w:val="Collegamentoipertestuale"/>
                <w:noProof/>
              </w:rPr>
              <w:t>4.6.</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Dimensionamento dell'infrastruttura di ricarica</w:t>
            </w:r>
            <w:r>
              <w:rPr>
                <w:noProof/>
                <w:webHidden/>
              </w:rPr>
              <w:tab/>
            </w:r>
            <w:r>
              <w:rPr>
                <w:noProof/>
                <w:webHidden/>
              </w:rPr>
              <w:fldChar w:fldCharType="begin"/>
            </w:r>
            <w:r>
              <w:rPr>
                <w:noProof/>
                <w:webHidden/>
              </w:rPr>
              <w:instrText xml:space="preserve"> PAGEREF _Toc241161218 \h </w:instrText>
            </w:r>
            <w:r>
              <w:rPr>
                <w:noProof/>
                <w:webHidden/>
              </w:rPr>
            </w:r>
            <w:r>
              <w:rPr>
                <w:noProof/>
                <w:webHidden/>
              </w:rPr>
              <w:fldChar w:fldCharType="separate"/>
            </w:r>
            <w:r>
              <w:rPr>
                <w:noProof/>
                <w:webHidden/>
              </w:rPr>
              <w:t>29</w:t>
            </w:r>
            <w:r>
              <w:rPr>
                <w:noProof/>
                <w:webHidden/>
              </w:rPr>
              <w:fldChar w:fldCharType="end"/>
            </w:r>
          </w:hyperlink>
        </w:p>
        <w:p w14:paraId="5D00F203" w14:textId="211D702E"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19" w:history="1">
            <w:r w:rsidRPr="006E261D">
              <w:rPr>
                <w:rStyle w:val="Collegamentoipertestuale"/>
                <w:noProof/>
              </w:rPr>
              <w:t>4.7.</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Metodologia di localizzazione</w:t>
            </w:r>
            <w:r>
              <w:rPr>
                <w:noProof/>
                <w:webHidden/>
              </w:rPr>
              <w:tab/>
            </w:r>
            <w:r>
              <w:rPr>
                <w:noProof/>
                <w:webHidden/>
              </w:rPr>
              <w:fldChar w:fldCharType="begin"/>
            </w:r>
            <w:r>
              <w:rPr>
                <w:noProof/>
                <w:webHidden/>
              </w:rPr>
              <w:instrText xml:space="preserve"> PAGEREF _Toc241161219 \h </w:instrText>
            </w:r>
            <w:r>
              <w:rPr>
                <w:noProof/>
                <w:webHidden/>
              </w:rPr>
            </w:r>
            <w:r>
              <w:rPr>
                <w:noProof/>
                <w:webHidden/>
              </w:rPr>
              <w:fldChar w:fldCharType="separate"/>
            </w:r>
            <w:r>
              <w:rPr>
                <w:noProof/>
                <w:webHidden/>
              </w:rPr>
              <w:t>32</w:t>
            </w:r>
            <w:r>
              <w:rPr>
                <w:noProof/>
                <w:webHidden/>
              </w:rPr>
              <w:fldChar w:fldCharType="end"/>
            </w:r>
          </w:hyperlink>
        </w:p>
        <w:p w14:paraId="2E72FD1C" w14:textId="249B5625" w:rsidR="004331C2" w:rsidRDefault="004331C2">
          <w:pPr>
            <w:pStyle w:val="Sommario1"/>
            <w:tabs>
              <w:tab w:val="left" w:pos="4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21" w:history="1">
            <w:r w:rsidRPr="006E261D">
              <w:rPr>
                <w:rStyle w:val="Collegamentoipertestuale"/>
                <w:noProof/>
              </w:rPr>
              <w:t>5.</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Metodologia per la valutazione delle aree candidate a Hub Energetici Green</w:t>
            </w:r>
            <w:r>
              <w:rPr>
                <w:noProof/>
                <w:webHidden/>
              </w:rPr>
              <w:tab/>
            </w:r>
            <w:r>
              <w:rPr>
                <w:noProof/>
                <w:webHidden/>
              </w:rPr>
              <w:fldChar w:fldCharType="begin"/>
            </w:r>
            <w:r>
              <w:rPr>
                <w:noProof/>
                <w:webHidden/>
              </w:rPr>
              <w:instrText xml:space="preserve"> PAGEREF _Toc241161221 \h </w:instrText>
            </w:r>
            <w:r>
              <w:rPr>
                <w:noProof/>
                <w:webHidden/>
              </w:rPr>
            </w:r>
            <w:r>
              <w:rPr>
                <w:noProof/>
                <w:webHidden/>
              </w:rPr>
              <w:fldChar w:fldCharType="separate"/>
            </w:r>
            <w:r>
              <w:rPr>
                <w:noProof/>
                <w:webHidden/>
              </w:rPr>
              <w:t>42</w:t>
            </w:r>
            <w:r>
              <w:rPr>
                <w:noProof/>
                <w:webHidden/>
              </w:rPr>
              <w:fldChar w:fldCharType="end"/>
            </w:r>
          </w:hyperlink>
        </w:p>
        <w:p w14:paraId="0C64E042" w14:textId="3C8A5444"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22" w:history="1">
            <w:r w:rsidRPr="006E261D">
              <w:rPr>
                <w:rStyle w:val="Collegamentoipertestuale"/>
                <w:noProof/>
              </w:rPr>
              <w:t>5.1.</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Approccio metodologico generale</w:t>
            </w:r>
            <w:r>
              <w:rPr>
                <w:noProof/>
                <w:webHidden/>
              </w:rPr>
              <w:tab/>
            </w:r>
            <w:r>
              <w:rPr>
                <w:noProof/>
                <w:webHidden/>
              </w:rPr>
              <w:fldChar w:fldCharType="begin"/>
            </w:r>
            <w:r>
              <w:rPr>
                <w:noProof/>
                <w:webHidden/>
              </w:rPr>
              <w:instrText xml:space="preserve"> PAGEREF _Toc241161222 \h </w:instrText>
            </w:r>
            <w:r>
              <w:rPr>
                <w:noProof/>
                <w:webHidden/>
              </w:rPr>
            </w:r>
            <w:r>
              <w:rPr>
                <w:noProof/>
                <w:webHidden/>
              </w:rPr>
              <w:fldChar w:fldCharType="separate"/>
            </w:r>
            <w:r>
              <w:rPr>
                <w:noProof/>
                <w:webHidden/>
              </w:rPr>
              <w:t>42</w:t>
            </w:r>
            <w:r>
              <w:rPr>
                <w:noProof/>
                <w:webHidden/>
              </w:rPr>
              <w:fldChar w:fldCharType="end"/>
            </w:r>
          </w:hyperlink>
        </w:p>
        <w:p w14:paraId="14FC0997" w14:textId="34962568"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23" w:history="1">
            <w:r w:rsidRPr="006E261D">
              <w:rPr>
                <w:rStyle w:val="Collegamentoipertestuale"/>
                <w:noProof/>
              </w:rPr>
              <w:t>5.2.</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Relazione con la rete TEN-T e requisiti AFIR</w:t>
            </w:r>
            <w:r>
              <w:rPr>
                <w:noProof/>
                <w:webHidden/>
              </w:rPr>
              <w:tab/>
            </w:r>
            <w:r>
              <w:rPr>
                <w:noProof/>
                <w:webHidden/>
              </w:rPr>
              <w:fldChar w:fldCharType="begin"/>
            </w:r>
            <w:r>
              <w:rPr>
                <w:noProof/>
                <w:webHidden/>
              </w:rPr>
              <w:instrText xml:space="preserve"> PAGEREF _Toc241161223 \h </w:instrText>
            </w:r>
            <w:r>
              <w:rPr>
                <w:noProof/>
                <w:webHidden/>
              </w:rPr>
            </w:r>
            <w:r>
              <w:rPr>
                <w:noProof/>
                <w:webHidden/>
              </w:rPr>
              <w:fldChar w:fldCharType="separate"/>
            </w:r>
            <w:r>
              <w:rPr>
                <w:noProof/>
                <w:webHidden/>
              </w:rPr>
              <w:t>43</w:t>
            </w:r>
            <w:r>
              <w:rPr>
                <w:noProof/>
                <w:webHidden/>
              </w:rPr>
              <w:fldChar w:fldCharType="end"/>
            </w:r>
          </w:hyperlink>
        </w:p>
        <w:p w14:paraId="24088F85" w14:textId="6B9FC000"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24" w:history="1">
            <w:r w:rsidRPr="006E261D">
              <w:rPr>
                <w:rStyle w:val="Collegamentoipertestuale"/>
                <w:noProof/>
              </w:rPr>
              <w:t>5.3.</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Dati di input</w:t>
            </w:r>
            <w:r>
              <w:rPr>
                <w:noProof/>
                <w:webHidden/>
              </w:rPr>
              <w:tab/>
            </w:r>
            <w:r>
              <w:rPr>
                <w:noProof/>
                <w:webHidden/>
              </w:rPr>
              <w:fldChar w:fldCharType="begin"/>
            </w:r>
            <w:r>
              <w:rPr>
                <w:noProof/>
                <w:webHidden/>
              </w:rPr>
              <w:instrText xml:space="preserve"> PAGEREF _Toc241161224 \h </w:instrText>
            </w:r>
            <w:r>
              <w:rPr>
                <w:noProof/>
                <w:webHidden/>
              </w:rPr>
            </w:r>
            <w:r>
              <w:rPr>
                <w:noProof/>
                <w:webHidden/>
              </w:rPr>
              <w:fldChar w:fldCharType="separate"/>
            </w:r>
            <w:r>
              <w:rPr>
                <w:noProof/>
                <w:webHidden/>
              </w:rPr>
              <w:t>44</w:t>
            </w:r>
            <w:r>
              <w:rPr>
                <w:noProof/>
                <w:webHidden/>
              </w:rPr>
              <w:fldChar w:fldCharType="end"/>
            </w:r>
          </w:hyperlink>
        </w:p>
        <w:p w14:paraId="7776947D" w14:textId="0AF8FF4D"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25" w:history="1">
            <w:r w:rsidRPr="006E261D">
              <w:rPr>
                <w:rStyle w:val="Collegamentoipertestuale"/>
                <w:noProof/>
              </w:rPr>
              <w:t>5.4.</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Universo delle aree candidate e requisiti di ammissibilità</w:t>
            </w:r>
            <w:r>
              <w:rPr>
                <w:noProof/>
                <w:webHidden/>
              </w:rPr>
              <w:tab/>
            </w:r>
            <w:r>
              <w:rPr>
                <w:noProof/>
                <w:webHidden/>
              </w:rPr>
              <w:fldChar w:fldCharType="begin"/>
            </w:r>
            <w:r>
              <w:rPr>
                <w:noProof/>
                <w:webHidden/>
              </w:rPr>
              <w:instrText xml:space="preserve"> PAGEREF _Toc241161225 \h </w:instrText>
            </w:r>
            <w:r>
              <w:rPr>
                <w:noProof/>
                <w:webHidden/>
              </w:rPr>
            </w:r>
            <w:r>
              <w:rPr>
                <w:noProof/>
                <w:webHidden/>
              </w:rPr>
              <w:fldChar w:fldCharType="separate"/>
            </w:r>
            <w:r>
              <w:rPr>
                <w:noProof/>
                <w:webHidden/>
              </w:rPr>
              <w:t>45</w:t>
            </w:r>
            <w:r>
              <w:rPr>
                <w:noProof/>
                <w:webHidden/>
              </w:rPr>
              <w:fldChar w:fldCharType="end"/>
            </w:r>
          </w:hyperlink>
        </w:p>
        <w:p w14:paraId="1B2B81F0" w14:textId="3E81102A"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26" w:history="1">
            <w:r w:rsidRPr="006E261D">
              <w:rPr>
                <w:rStyle w:val="Collegamentoipertestuale"/>
                <w:noProof/>
              </w:rPr>
              <w:t>5.5.</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Criteri di valutazione e punteggio dei candidati</w:t>
            </w:r>
            <w:r>
              <w:rPr>
                <w:noProof/>
                <w:webHidden/>
              </w:rPr>
              <w:tab/>
            </w:r>
            <w:r>
              <w:rPr>
                <w:noProof/>
                <w:webHidden/>
              </w:rPr>
              <w:fldChar w:fldCharType="begin"/>
            </w:r>
            <w:r>
              <w:rPr>
                <w:noProof/>
                <w:webHidden/>
              </w:rPr>
              <w:instrText xml:space="preserve"> PAGEREF _Toc241161226 \h </w:instrText>
            </w:r>
            <w:r>
              <w:rPr>
                <w:noProof/>
                <w:webHidden/>
              </w:rPr>
            </w:r>
            <w:r>
              <w:rPr>
                <w:noProof/>
                <w:webHidden/>
              </w:rPr>
              <w:fldChar w:fldCharType="separate"/>
            </w:r>
            <w:r>
              <w:rPr>
                <w:noProof/>
                <w:webHidden/>
              </w:rPr>
              <w:t>46</w:t>
            </w:r>
            <w:r>
              <w:rPr>
                <w:noProof/>
                <w:webHidden/>
              </w:rPr>
              <w:fldChar w:fldCharType="end"/>
            </w:r>
          </w:hyperlink>
        </w:p>
        <w:p w14:paraId="6F2497D8" w14:textId="160FE197"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27" w:history="1">
            <w:r w:rsidRPr="006E261D">
              <w:rPr>
                <w:rStyle w:val="Collegamentoipertestuale"/>
                <w:noProof/>
              </w:rPr>
              <w:t>5.6.</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Ranking regionale e lettura territoriale dei risultati</w:t>
            </w:r>
            <w:r>
              <w:rPr>
                <w:noProof/>
                <w:webHidden/>
              </w:rPr>
              <w:tab/>
            </w:r>
            <w:r>
              <w:rPr>
                <w:noProof/>
                <w:webHidden/>
              </w:rPr>
              <w:fldChar w:fldCharType="begin"/>
            </w:r>
            <w:r>
              <w:rPr>
                <w:noProof/>
                <w:webHidden/>
              </w:rPr>
              <w:instrText xml:space="preserve"> PAGEREF _Toc241161227 \h </w:instrText>
            </w:r>
            <w:r>
              <w:rPr>
                <w:noProof/>
                <w:webHidden/>
              </w:rPr>
            </w:r>
            <w:r>
              <w:rPr>
                <w:noProof/>
                <w:webHidden/>
              </w:rPr>
              <w:fldChar w:fldCharType="separate"/>
            </w:r>
            <w:r>
              <w:rPr>
                <w:noProof/>
                <w:webHidden/>
              </w:rPr>
              <w:t>50</w:t>
            </w:r>
            <w:r>
              <w:rPr>
                <w:noProof/>
                <w:webHidden/>
              </w:rPr>
              <w:fldChar w:fldCharType="end"/>
            </w:r>
          </w:hyperlink>
        </w:p>
        <w:p w14:paraId="69E23A7E" w14:textId="2337964F"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28" w:history="1">
            <w:r w:rsidRPr="006E261D">
              <w:rPr>
                <w:rStyle w:val="Collegamentoipertestuale"/>
                <w:noProof/>
              </w:rPr>
              <w:t>5.7.</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Valutazione economica</w:t>
            </w:r>
            <w:r>
              <w:rPr>
                <w:noProof/>
                <w:webHidden/>
              </w:rPr>
              <w:tab/>
            </w:r>
            <w:r>
              <w:rPr>
                <w:noProof/>
                <w:webHidden/>
              </w:rPr>
              <w:fldChar w:fldCharType="begin"/>
            </w:r>
            <w:r>
              <w:rPr>
                <w:noProof/>
                <w:webHidden/>
              </w:rPr>
              <w:instrText xml:space="preserve"> PAGEREF _Toc241161228 \h </w:instrText>
            </w:r>
            <w:r>
              <w:rPr>
                <w:noProof/>
                <w:webHidden/>
              </w:rPr>
            </w:r>
            <w:r>
              <w:rPr>
                <w:noProof/>
                <w:webHidden/>
              </w:rPr>
              <w:fldChar w:fldCharType="separate"/>
            </w:r>
            <w:r>
              <w:rPr>
                <w:noProof/>
                <w:webHidden/>
              </w:rPr>
              <w:t>51</w:t>
            </w:r>
            <w:r>
              <w:rPr>
                <w:noProof/>
                <w:webHidden/>
              </w:rPr>
              <w:fldChar w:fldCharType="end"/>
            </w:r>
          </w:hyperlink>
        </w:p>
        <w:p w14:paraId="26EAEBE3" w14:textId="322CF466" w:rsidR="004331C2" w:rsidRDefault="004331C2">
          <w:pPr>
            <w:pStyle w:val="Sommario1"/>
            <w:tabs>
              <w:tab w:val="left" w:pos="4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29" w:history="1">
            <w:r w:rsidRPr="006E261D">
              <w:rPr>
                <w:rStyle w:val="Collegamentoipertestuale"/>
                <w:noProof/>
              </w:rPr>
              <w:t>6.</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Risultati e conclusioni</w:t>
            </w:r>
            <w:r>
              <w:rPr>
                <w:noProof/>
                <w:webHidden/>
              </w:rPr>
              <w:tab/>
            </w:r>
            <w:r>
              <w:rPr>
                <w:noProof/>
                <w:webHidden/>
              </w:rPr>
              <w:fldChar w:fldCharType="begin"/>
            </w:r>
            <w:r>
              <w:rPr>
                <w:noProof/>
                <w:webHidden/>
              </w:rPr>
              <w:instrText xml:space="preserve"> PAGEREF _Toc241161229 \h </w:instrText>
            </w:r>
            <w:r>
              <w:rPr>
                <w:noProof/>
                <w:webHidden/>
              </w:rPr>
            </w:r>
            <w:r>
              <w:rPr>
                <w:noProof/>
                <w:webHidden/>
              </w:rPr>
              <w:fldChar w:fldCharType="separate"/>
            </w:r>
            <w:r>
              <w:rPr>
                <w:noProof/>
                <w:webHidden/>
              </w:rPr>
              <w:t>53</w:t>
            </w:r>
            <w:r>
              <w:rPr>
                <w:noProof/>
                <w:webHidden/>
              </w:rPr>
              <w:fldChar w:fldCharType="end"/>
            </w:r>
          </w:hyperlink>
        </w:p>
        <w:p w14:paraId="1D681D76" w14:textId="42C65228"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30" w:history="1">
            <w:r w:rsidRPr="006E261D">
              <w:rPr>
                <w:rStyle w:val="Collegamentoipertestuale"/>
                <w:noProof/>
              </w:rPr>
              <w:t>6.1.</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Risultati della localizzazione delle infrastrutture di ricarica</w:t>
            </w:r>
            <w:r>
              <w:rPr>
                <w:noProof/>
                <w:webHidden/>
              </w:rPr>
              <w:tab/>
            </w:r>
            <w:r>
              <w:rPr>
                <w:noProof/>
                <w:webHidden/>
              </w:rPr>
              <w:fldChar w:fldCharType="begin"/>
            </w:r>
            <w:r>
              <w:rPr>
                <w:noProof/>
                <w:webHidden/>
              </w:rPr>
              <w:instrText xml:space="preserve"> PAGEREF _Toc241161230 \h </w:instrText>
            </w:r>
            <w:r>
              <w:rPr>
                <w:noProof/>
                <w:webHidden/>
              </w:rPr>
            </w:r>
            <w:r>
              <w:rPr>
                <w:noProof/>
                <w:webHidden/>
              </w:rPr>
              <w:fldChar w:fldCharType="separate"/>
            </w:r>
            <w:r>
              <w:rPr>
                <w:noProof/>
                <w:webHidden/>
              </w:rPr>
              <w:t>53</w:t>
            </w:r>
            <w:r>
              <w:rPr>
                <w:noProof/>
                <w:webHidden/>
              </w:rPr>
              <w:fldChar w:fldCharType="end"/>
            </w:r>
          </w:hyperlink>
        </w:p>
        <w:p w14:paraId="3E3F01F9" w14:textId="439FEF82"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31" w:history="1">
            <w:r w:rsidRPr="006E261D">
              <w:rPr>
                <w:rStyle w:val="Collegamentoipertestuale"/>
                <w:noProof/>
              </w:rPr>
              <w:t>6.2.</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Risultati della localizzazione degli Hub Energetici Green</w:t>
            </w:r>
            <w:r>
              <w:rPr>
                <w:noProof/>
                <w:webHidden/>
              </w:rPr>
              <w:tab/>
            </w:r>
            <w:r>
              <w:rPr>
                <w:noProof/>
                <w:webHidden/>
              </w:rPr>
              <w:fldChar w:fldCharType="begin"/>
            </w:r>
            <w:r>
              <w:rPr>
                <w:noProof/>
                <w:webHidden/>
              </w:rPr>
              <w:instrText xml:space="preserve"> PAGEREF _Toc241161231 \h </w:instrText>
            </w:r>
            <w:r>
              <w:rPr>
                <w:noProof/>
                <w:webHidden/>
              </w:rPr>
            </w:r>
            <w:r>
              <w:rPr>
                <w:noProof/>
                <w:webHidden/>
              </w:rPr>
              <w:fldChar w:fldCharType="separate"/>
            </w:r>
            <w:r>
              <w:rPr>
                <w:noProof/>
                <w:webHidden/>
              </w:rPr>
              <w:t>53</w:t>
            </w:r>
            <w:r>
              <w:rPr>
                <w:noProof/>
                <w:webHidden/>
              </w:rPr>
              <w:fldChar w:fldCharType="end"/>
            </w:r>
          </w:hyperlink>
        </w:p>
        <w:p w14:paraId="123B7996" w14:textId="4168EF37"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32" w:history="1">
            <w:r w:rsidRPr="006E261D">
              <w:rPr>
                <w:rStyle w:val="Collegamentoipertestuale"/>
                <w:noProof/>
              </w:rPr>
              <w:t>6.3.</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Quadro complessivo delle localizzazioni e priorità di intervento</w:t>
            </w:r>
            <w:r>
              <w:rPr>
                <w:noProof/>
                <w:webHidden/>
              </w:rPr>
              <w:tab/>
            </w:r>
            <w:r>
              <w:rPr>
                <w:noProof/>
                <w:webHidden/>
              </w:rPr>
              <w:fldChar w:fldCharType="begin"/>
            </w:r>
            <w:r>
              <w:rPr>
                <w:noProof/>
                <w:webHidden/>
              </w:rPr>
              <w:instrText xml:space="preserve"> PAGEREF _Toc241161232 \h </w:instrText>
            </w:r>
            <w:r>
              <w:rPr>
                <w:noProof/>
                <w:webHidden/>
              </w:rPr>
            </w:r>
            <w:r>
              <w:rPr>
                <w:noProof/>
                <w:webHidden/>
              </w:rPr>
              <w:fldChar w:fldCharType="separate"/>
            </w:r>
            <w:r>
              <w:rPr>
                <w:noProof/>
                <w:webHidden/>
              </w:rPr>
              <w:t>53</w:t>
            </w:r>
            <w:r>
              <w:rPr>
                <w:noProof/>
                <w:webHidden/>
              </w:rPr>
              <w:fldChar w:fldCharType="end"/>
            </w:r>
          </w:hyperlink>
        </w:p>
        <w:p w14:paraId="0EB437F4" w14:textId="392D1F6B" w:rsidR="004331C2" w:rsidRDefault="004331C2">
          <w:pPr>
            <w:pStyle w:val="Sommario2"/>
            <w:tabs>
              <w:tab w:val="left" w:pos="8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33" w:history="1">
            <w:r w:rsidRPr="006E261D">
              <w:rPr>
                <w:rStyle w:val="Collegamentoipertestuale"/>
                <w:noProof/>
              </w:rPr>
              <w:t>6.4.</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Conclusioni e sviluppi successivi</w:t>
            </w:r>
            <w:r>
              <w:rPr>
                <w:noProof/>
                <w:webHidden/>
              </w:rPr>
              <w:tab/>
            </w:r>
            <w:r>
              <w:rPr>
                <w:noProof/>
                <w:webHidden/>
              </w:rPr>
              <w:fldChar w:fldCharType="begin"/>
            </w:r>
            <w:r>
              <w:rPr>
                <w:noProof/>
                <w:webHidden/>
              </w:rPr>
              <w:instrText xml:space="preserve"> PAGEREF _Toc241161233 \h </w:instrText>
            </w:r>
            <w:r>
              <w:rPr>
                <w:noProof/>
                <w:webHidden/>
              </w:rPr>
            </w:r>
            <w:r>
              <w:rPr>
                <w:noProof/>
                <w:webHidden/>
              </w:rPr>
              <w:fldChar w:fldCharType="separate"/>
            </w:r>
            <w:r>
              <w:rPr>
                <w:noProof/>
                <w:webHidden/>
              </w:rPr>
              <w:t>54</w:t>
            </w:r>
            <w:r>
              <w:rPr>
                <w:noProof/>
                <w:webHidden/>
              </w:rPr>
              <w:fldChar w:fldCharType="end"/>
            </w:r>
          </w:hyperlink>
        </w:p>
        <w:p w14:paraId="32D3318E" w14:textId="110A253E" w:rsidR="004331C2" w:rsidRDefault="004331C2">
          <w:pPr>
            <w:pStyle w:val="Sommario1"/>
            <w:tabs>
              <w:tab w:val="left" w:pos="400"/>
              <w:tab w:val="right" w:leader="dot" w:pos="9628"/>
            </w:tabs>
            <w:rPr>
              <w:rFonts w:asciiTheme="minorHAnsi" w:eastAsiaTheme="minorEastAsia" w:hAnsiTheme="minorHAnsi" w:cstheme="minorBidi"/>
              <w:iCs w:val="0"/>
              <w:noProof/>
              <w:kern w:val="2"/>
              <w:sz w:val="24"/>
              <w:szCs w:val="24"/>
              <w14:ligatures w14:val="standardContextual"/>
            </w:rPr>
          </w:pPr>
          <w:hyperlink w:anchor="_Toc241161234" w:history="1">
            <w:r w:rsidRPr="006E261D">
              <w:rPr>
                <w:rStyle w:val="Collegamentoipertestuale"/>
                <w:noProof/>
              </w:rPr>
              <w:t>7.</w:t>
            </w:r>
            <w:r>
              <w:rPr>
                <w:rFonts w:asciiTheme="minorHAnsi" w:eastAsiaTheme="minorEastAsia" w:hAnsiTheme="minorHAnsi" w:cstheme="minorBidi"/>
                <w:iCs w:val="0"/>
                <w:noProof/>
                <w:kern w:val="2"/>
                <w:sz w:val="24"/>
                <w:szCs w:val="24"/>
                <w14:ligatures w14:val="standardContextual"/>
              </w:rPr>
              <w:tab/>
            </w:r>
            <w:r w:rsidRPr="006E261D">
              <w:rPr>
                <w:rStyle w:val="Collegamentoipertestuale"/>
                <w:noProof/>
              </w:rPr>
              <w:t>Riferimenti</w:t>
            </w:r>
            <w:r>
              <w:rPr>
                <w:noProof/>
                <w:webHidden/>
              </w:rPr>
              <w:tab/>
            </w:r>
            <w:r>
              <w:rPr>
                <w:noProof/>
                <w:webHidden/>
              </w:rPr>
              <w:fldChar w:fldCharType="begin"/>
            </w:r>
            <w:r>
              <w:rPr>
                <w:noProof/>
                <w:webHidden/>
              </w:rPr>
              <w:instrText xml:space="preserve"> PAGEREF _Toc241161234 \h </w:instrText>
            </w:r>
            <w:r>
              <w:rPr>
                <w:noProof/>
                <w:webHidden/>
              </w:rPr>
            </w:r>
            <w:r>
              <w:rPr>
                <w:noProof/>
                <w:webHidden/>
              </w:rPr>
              <w:fldChar w:fldCharType="separate"/>
            </w:r>
            <w:r>
              <w:rPr>
                <w:noProof/>
                <w:webHidden/>
              </w:rPr>
              <w:t>54</w:t>
            </w:r>
            <w:r>
              <w:rPr>
                <w:noProof/>
                <w:webHidden/>
              </w:rPr>
              <w:fldChar w:fldCharType="end"/>
            </w:r>
          </w:hyperlink>
        </w:p>
        <w:p w14:paraId="49A885F5" w14:textId="6B20EAFA" w:rsidR="006F439E" w:rsidRDefault="006F439E">
          <w:r>
            <w:rPr>
              <w:b/>
              <w:bCs/>
            </w:rPr>
            <w:fldChar w:fldCharType="end"/>
          </w:r>
        </w:p>
      </w:sdtContent>
    </w:sdt>
    <w:p w14:paraId="37D304D8" w14:textId="77777777" w:rsidR="00AB5E8E" w:rsidRPr="00AB5E8E" w:rsidRDefault="00AB5E8E" w:rsidP="00923DA6"/>
    <w:p w14:paraId="49058090" w14:textId="77777777" w:rsidR="00AB5E8E" w:rsidRPr="00AB5E8E" w:rsidRDefault="00AB5E8E" w:rsidP="00923DA6"/>
    <w:p w14:paraId="0DD13423" w14:textId="77777777" w:rsidR="00AB5E8E" w:rsidRPr="00AB5E8E" w:rsidRDefault="00AB5E8E" w:rsidP="00923DA6"/>
    <w:p w14:paraId="3475789A" w14:textId="77777777" w:rsidR="00AB5E8E" w:rsidRPr="00AB5E8E" w:rsidRDefault="00AB5E8E" w:rsidP="00923DA6"/>
    <w:p w14:paraId="3C1FB9E0" w14:textId="77777777" w:rsidR="00AB5E8E" w:rsidRDefault="00AB5E8E" w:rsidP="00923DA6"/>
    <w:p w14:paraId="06C14A9D" w14:textId="77777777" w:rsidR="00AB5E8E" w:rsidRDefault="00AB5E8E" w:rsidP="00923DA6"/>
    <w:p w14:paraId="342EB8D7" w14:textId="77777777" w:rsidR="00923DA6" w:rsidRDefault="00923DA6" w:rsidP="00923DA6"/>
    <w:p w14:paraId="65BFFE13" w14:textId="77777777" w:rsidR="00923DA6" w:rsidRDefault="00923DA6" w:rsidP="00923DA6"/>
    <w:p w14:paraId="6C9DF3E0" w14:textId="77777777" w:rsidR="00923DA6" w:rsidRDefault="00923DA6" w:rsidP="00923DA6"/>
    <w:p w14:paraId="1693F0CA" w14:textId="77777777" w:rsidR="00923DA6" w:rsidRDefault="00923DA6" w:rsidP="00923DA6"/>
    <w:p w14:paraId="604CE1ED" w14:textId="77777777" w:rsidR="00923DA6" w:rsidRDefault="00923DA6" w:rsidP="00923DA6"/>
    <w:p w14:paraId="6AAD90F5" w14:textId="77777777" w:rsidR="00923DA6" w:rsidRDefault="00923DA6" w:rsidP="00923DA6"/>
    <w:p w14:paraId="2E32CF73" w14:textId="77777777" w:rsidR="00923DA6" w:rsidRDefault="00923DA6" w:rsidP="00923DA6"/>
    <w:p w14:paraId="24131C27" w14:textId="77777777" w:rsidR="00923DA6" w:rsidRDefault="00923DA6" w:rsidP="00923DA6"/>
    <w:p w14:paraId="0710E582" w14:textId="77777777" w:rsidR="00923DA6" w:rsidRDefault="00923DA6" w:rsidP="00923DA6"/>
    <w:p w14:paraId="4D03B81A" w14:textId="77777777" w:rsidR="00923DA6" w:rsidRDefault="00923DA6" w:rsidP="00923DA6"/>
    <w:p w14:paraId="009B659A" w14:textId="78A17FE7" w:rsidR="000B27D2" w:rsidRDefault="00C86202" w:rsidP="00472BDE">
      <w:pPr>
        <w:pStyle w:val="Titolo1"/>
      </w:pPr>
      <w:bookmarkStart w:id="0" w:name="_Toc241161202"/>
      <w:r w:rsidRPr="00C86202">
        <w:t>Obiettivi dello studio</w:t>
      </w:r>
      <w:bookmarkEnd w:id="0"/>
      <w:r w:rsidR="00EF3AD0">
        <w:t xml:space="preserve"> </w:t>
      </w:r>
    </w:p>
    <w:p w14:paraId="69EC0A8E" w14:textId="77777777" w:rsidR="00DC7207" w:rsidRDefault="00DC7207" w:rsidP="00923DA6">
      <w:r w:rsidRPr="00DC7207">
        <w:t xml:space="preserve">Lo studio è redatto da Serteco Servizi Tecnici Coordinati Srl per FVG Energia S.p.A., società in house della Regione Autonoma Friuli Venezia Giulia ai sensi dell'art. 2, comma 2, della L.R. FVG 29.11.2022, n. 18, le cui funzioni sono definite dall'art. 3 della medesima legge, da ultimo modificato dall'art. 4, comma 6, della L.R. FVG 6.08.2026, n. 9, e ha per oggetto la definizione di una </w:t>
      </w:r>
      <w:r w:rsidRPr="00DC7207">
        <w:rPr>
          <w:b/>
          <w:bCs/>
        </w:rPr>
        <w:t>metodologia oggettiva per la valutazione delle alternative localizzative e la costruzione di un quadro comparativo delle alternative localizzative a supporto delle successive scelte infrastrutturali</w:t>
      </w:r>
      <w:r w:rsidRPr="00DC7207">
        <w:t xml:space="preserve">. Lo studio si articola, in particolare, su due direttrici complementari: da un lato, la localizzazione delle </w:t>
      </w:r>
      <w:r w:rsidRPr="00DC7207">
        <w:rPr>
          <w:b/>
          <w:bCs/>
        </w:rPr>
        <w:t>infrastrutture di ricarica per veicoli elettrici</w:t>
      </w:r>
      <w:r w:rsidRPr="00DC7207">
        <w:t xml:space="preserve">; dall’altro, la valutazione delle aree candidate a Hub Energetici Green, concepiti come nodi strategici</w:t>
      </w:r>
      <w:r w:rsidRPr="00DC7207">
        <w:rPr>
          <w:b/>
          <w:bCs/>
        </w:rPr>
        <w:t/>
      </w:r>
      <w:r w:rsidRPr="00DC7207">
        <w:t xml:space="preserve"> in grado di integrare servizi energetici, produzione da fonti rinnovabili, sistemi di accumulo e applicazioni legate all’idrogeno e agli altri vettori energetici sostenibili. A tal fine, saranno analizzati i fabbisogni territoriali e funzionali connessi allo sviluppo della mobilità elettrica, a idrogeno e ad altri vettori energetici sostenibili, individuando le principali direttrici di trasporto, i poli di domanda potenziale e le condizioni territoriali, logistiche ed energetiche maggiormente favorevoli alla localizzazione delle nuove infrastrutture. </w:t>
      </w:r>
    </w:p>
    <w:p w14:paraId="32D3A0E1" w14:textId="77777777" w:rsidR="00DC7207" w:rsidRDefault="00DC7207" w:rsidP="00923DA6">
      <w:r w:rsidRPr="00DC7207">
        <w:t xml:space="preserve">Il Friuli Venezia Giulia riveste un ruolo strategico nel sistema logistico europeo grazie alla propria posizione geografica. Questo elemento, insieme alle politiche europee e nazionali orientate alla decarbonizzazione, rende </w:t>
      </w:r>
      <w:r w:rsidRPr="00DC7207">
        <w:rPr>
          <w:b/>
          <w:bCs/>
        </w:rPr>
        <w:t>necessaria una rapida diffusione delle infrastrutture di ricarica e lo sviluppo di nuovi hub energetici</w:t>
      </w:r>
      <w:r w:rsidRPr="00DC7207">
        <w:t>, in grado di garantire un’adeguata copertura del territorio e di supportare progressivamente l’impiego di vettori energetici alternativi nei diversi segmenti della mobilità. La proposta attribuisce infatti agli Hub un ruolo più ampio rispetto alla sola erogazione di energia per la mobilità, configurandoli come piattaforme integrate con i principali assi logistici e con il sistema energetico regionale.</w:t>
      </w:r>
    </w:p>
    <w:p w14:paraId="17096B5F" w14:textId="77777777" w:rsidR="00DC7207" w:rsidRPr="00DC7207" w:rsidRDefault="00DC7207" w:rsidP="00DC7207">
      <w:r w:rsidRPr="00DC7207">
        <w:t xml:space="preserve">La pianificazione di una rete di ricarica non può basarsi esclusivamente sulla popolazione residente o sulla distribuzione geografica dei comuni. Una stazione di ricarica risulta efficace quando è in grado di intercettare una domanda reale o potenziale lungo percorsi effettivamente utilizzati. La pianificazione deve quindi essere affrontata come un problema di mobilità su rete: </w:t>
      </w:r>
      <w:r w:rsidRPr="00DC7207">
        <w:rPr>
          <w:b/>
          <w:bCs/>
        </w:rPr>
        <w:t>occorre innanzitutto ricostruire i flussi di traffico e, successivamente, individuare i punti in cui tali flussi possono essere serviti</w:t>
      </w:r>
      <w:r w:rsidRPr="00DC7207">
        <w:t>.</w:t>
      </w:r>
    </w:p>
    <w:p w14:paraId="5F68D402" w14:textId="77777777" w:rsidR="00DC7207" w:rsidRPr="00DC7207" w:rsidRDefault="00DC7207" w:rsidP="00DC7207">
      <w:r w:rsidRPr="00DC7207">
        <w:t xml:space="preserve">Il Friuli Venezia Giulia rappresenta un caso particolarmente significativo, poiché combina mobilità intercomunale, corridoi autostradali e stradali, poli turistici e commerciali e tre principali fronti di connessione esterna: Veneto, Austria e Slovenia. I conteggi stradali rilevano inoltre flussi di traffico che non hanno necessariamente sia origine sia destinazione all’interno della regione. È pertanto necessario analizzare separatamente la domanda interna e quella esterna, per poi integrarle all’interno del modello. </w:t>
      </w:r>
      <w:r w:rsidRPr="00DC7207">
        <w:rPr>
          <w:b/>
          <w:bCs/>
        </w:rPr>
        <w:t>La localizzazione dei nuovi impianti richiede quindi una visione sistemica, capace di mettere in relazione domanda energetica, reti, mobilità e sviluppo economico</w:t>
      </w:r>
      <w:r w:rsidRPr="00DC7207">
        <w:t>. Tale impostazione risulta particolarmente rilevante anche per gli Hub Energetici Green, la cui localizzazione dovrà essere valutata in relazione ai nodi logistici, alle reti energetiche, alla presenza di fonti rinnovabili e alle possibili applicazioni dell’idrogeno.</w:t>
      </w:r>
    </w:p>
    <w:p w14:paraId="761F9A1E" w14:textId="7773F369" w:rsidR="006F439E" w:rsidRDefault="00DC7207" w:rsidP="00DC7207">
      <w:pPr>
        <w:rPr>
          <w:rFonts w:eastAsiaTheme="majorEastAsia" w:cstheme="majorBidi"/>
          <w:b/>
          <w:color w:val="153D63" w:themeColor="text2" w:themeTint="E6"/>
          <w:sz w:val="24"/>
          <w:szCs w:val="24"/>
        </w:rPr>
      </w:pPr>
      <w:r w:rsidRPr="00DC7207">
        <w:t>Il Piano Regionale della Mobilità Elettrica del Friuli Venezia Giulia aveva già individuato residenti, turisti, pendolari e utenti delle attività commerciali come categorie rilevanti per la domanda di ricarica. Il presente studio sviluppa una rappresentazione maggiormente orientata ai percorsi stradali, con l’obiettivo di fornire al modello di localizzazione una domanda associata ai flussi che attraversano la rete. Parallelamente, per gli Hub Energetici Green, lo studio sviluppa una valutazione multicriteriale delle condizioni territoriali, trasportistiche ed energetiche, dalla quale deriva il ranking regionale delle 4.112 aree candidate. Tale graduatoria costituisce una base per successivi approfondimenti localizzativi e non individua impianti già selezionati o realizzabili.</w:t>
      </w:r>
      <w:r w:rsidR="006F439E">
        <w:br w:type="page"/>
      </w:r>
    </w:p>
    <w:p w14:paraId="0011AC5B" w14:textId="27BB6A2A" w:rsidR="00EA194C" w:rsidRDefault="00905DD8" w:rsidP="00EA194C">
      <w:pPr>
        <w:pStyle w:val="Titolo1"/>
      </w:pPr>
      <w:bookmarkStart w:id="1" w:name="_Toc241161203"/>
      <w:r>
        <w:lastRenderedPageBreak/>
        <w:t>Quadro conoscitivo</w:t>
      </w:r>
      <w:bookmarkEnd w:id="1"/>
    </w:p>
    <w:p w14:paraId="4955AED3" w14:textId="2C809B59" w:rsidR="00EA194C" w:rsidRPr="00ED18F1" w:rsidRDefault="00EA194C" w:rsidP="00324810">
      <w:pPr>
        <w:pStyle w:val="Titolo2"/>
      </w:pPr>
      <w:bookmarkStart w:id="2" w:name="_Toc241161204"/>
      <w:r w:rsidRPr="00ED18F1">
        <w:t>Sistema dei trasporti e della logistica regionale</w:t>
      </w:r>
      <w:bookmarkEnd w:id="2"/>
    </w:p>
    <w:p w14:paraId="5BE3B1E7" w14:textId="5F5D6718" w:rsidR="00EA194C" w:rsidRDefault="00DA1262" w:rsidP="00EA194C">
      <w:r w:rsidRPr="00DA1262">
        <w:t>La definizione di una metodologia per la localizzazione delle infrastrutture dedicate alla mobilità sostenibile richiede, come primo passaggio, la conoscenza del sistema dei trasporti sul quale tali infrastrutture sono chiamate a operare. La domanda di ricarica elettrica o di rifornimento mediante vettori alternativi non dipende infatti esclusivamente dalla distribuzione della popolazione residente, ma dalla localizzazione e dall'intensità dei flussi di mobilità, dalle principali direttrici stradali, dalla presenza di poli attrattori e, soprattutto nel caso del trasporto merci, dalla relazione tra rete stradale, porti, ferrovia e terminali intermodali. L'analisi del sistema regionale dei trasporti e della logistica costituisce pertanto la base conoscitiva per individuare localizzazioni capaci non soltanto di intercettare la domanda stradale, ma anche di favorire, ove possibile, l'integrazione con altri modi di trasporto.</w:t>
      </w:r>
      <w:r>
        <w:t xml:space="preserve"> </w:t>
      </w:r>
    </w:p>
    <w:p w14:paraId="10C738D9" w14:textId="18889334" w:rsidR="00DA1262" w:rsidRPr="00EA194C" w:rsidRDefault="00DA1262" w:rsidP="00EA194C">
      <w:r w:rsidRPr="00DA1262">
        <w:t xml:space="preserve">In questo quadro, il Friuli Venezia Giulia presenta caratteristiche particolarmente significative. La posizione all'estremità nord-orientale del territorio italiano, al confine con Austria e Slovenia e con accesso diretto all'Adriatico, attribuisce alla Regione una funzione di collegamento tra il sistema italiano, l'Europa centro-orientale e l'area balcanica. Tale ruolo trova riscontro nell'assetto della </w:t>
      </w:r>
      <w:r w:rsidRPr="00DA1262">
        <w:rPr>
          <w:b/>
          <w:bCs/>
        </w:rPr>
        <w:t>rete transeuropea dei trasporti TEN-T</w:t>
      </w:r>
      <w:r w:rsidRPr="00DA1262">
        <w:t xml:space="preserve">, che interessa il territorio regionale attraverso tre Corridoi europei: il </w:t>
      </w:r>
      <w:r w:rsidRPr="00DA1262">
        <w:rPr>
          <w:b/>
          <w:bCs/>
        </w:rPr>
        <w:t>Mediterraneo</w:t>
      </w:r>
      <w:r w:rsidRPr="00DA1262">
        <w:t xml:space="preserve">, sviluppato prevalentemente lungo la direttrice est-ovest; il </w:t>
      </w:r>
      <w:r w:rsidRPr="00DA1262">
        <w:rPr>
          <w:b/>
          <w:bCs/>
        </w:rPr>
        <w:t>Baltico-Adriatico</w:t>
      </w:r>
      <w:r w:rsidRPr="00DA1262">
        <w:t xml:space="preserve">, che realizza la connessione nord-sud tra l'Adriatico e l'Europa centrale e settentrionale; e, a seguito della revisione della TEN-T introdotta dal Regolamento (UE) 2024/1679, il </w:t>
      </w:r>
      <w:r w:rsidRPr="00DA1262">
        <w:rPr>
          <w:b/>
          <w:bCs/>
        </w:rPr>
        <w:t>Balcani occidentali–Mediterraneo orientale</w:t>
      </w:r>
      <w:r w:rsidRPr="00DA1262">
        <w:t>, che interessa l'area di Trieste e rafforza le connessioni verso Slovenia, Croazia e Balcani. La stessa Regione individua nella presenza di questi corridoi un elemento funzionale allo sviluppo del trasporto di lungo raggio e al rafforzamento dell'integrazione intermodale delle catene logistiche</w:t>
      </w:r>
      <w:r>
        <w:t xml:space="preserve"> </w:t>
      </w:r>
      <w:sdt>
        <w:sdtPr>
          <w:id w:val="846521342"/>
          <w:citation/>
        </w:sdtPr>
        <w:sdtContent>
          <w:r>
            <w:fldChar w:fldCharType="begin"/>
          </w:r>
          <w:r>
            <w:instrText xml:space="preserve"> CITATION Reg262 \l 1040 </w:instrText>
          </w:r>
          <w:r>
            <w:fldChar w:fldCharType="separate"/>
          </w:r>
          <w:r w:rsidR="008D7904">
            <w:rPr>
              <w:noProof/>
            </w:rPr>
            <w:t>[1]</w:t>
          </w:r>
          <w:r>
            <w:fldChar w:fldCharType="end"/>
          </w:r>
        </w:sdtContent>
      </w:sdt>
      <w:r w:rsidRPr="00DA1262">
        <w:t>.</w:t>
      </w:r>
    </w:p>
    <w:p w14:paraId="3528B5EC" w14:textId="2D9FE897" w:rsidR="00EA194C" w:rsidRDefault="00B12DA4" w:rsidP="00EA194C">
      <w:r w:rsidRPr="00B12DA4">
        <w:t xml:space="preserve">Alla dimensione sovraregionale si affianca una rete stradale fortemente condizionata dalla configurazione geografica e insediativa del territorio. Il sistema autostradale si articola principalmente lungo la </w:t>
      </w:r>
      <w:r w:rsidRPr="00B12DA4">
        <w:rPr>
          <w:b/>
          <w:bCs/>
        </w:rPr>
        <w:t>A4</w:t>
      </w:r>
      <w:r w:rsidRPr="00B12DA4">
        <w:t xml:space="preserve">, che attraversa la fascia meridionale della Regione lungo la direttrice est-ovest, la </w:t>
      </w:r>
      <w:r w:rsidRPr="00B12DA4">
        <w:rPr>
          <w:b/>
          <w:bCs/>
        </w:rPr>
        <w:t>A23</w:t>
      </w:r>
      <w:r w:rsidRPr="00B12DA4">
        <w:t xml:space="preserve">, che collega l’area di Palmanova e Udine con Tarvisio e il confine austriaco, e la </w:t>
      </w:r>
      <w:r w:rsidRPr="00B12DA4">
        <w:rPr>
          <w:b/>
          <w:bCs/>
        </w:rPr>
        <w:t>A28</w:t>
      </w:r>
      <w:r w:rsidRPr="00B12DA4">
        <w:t>, a servizio del settore occidentale e dell’area pordenonese.</w:t>
      </w:r>
      <w:r>
        <w:t xml:space="preserve"> </w:t>
      </w:r>
      <w:r w:rsidR="003C0951" w:rsidRPr="003C0951">
        <w:rPr>
          <w:b/>
          <w:bCs/>
        </w:rPr>
        <w:t>I principali assi stradali TEN-T regionali si sovrappongono inoltre a tratti della rete stradale europea E70 ed E55 e comprendono il raccordo autostradale A34 Villesse–Gorizia, che collega la A4 con il confine sloveno e costituisce una delle principali direttrici orientali del sistema regionale.</w:t>
      </w:r>
      <w:r w:rsidR="003C0951" w:rsidRPr="003C0951">
        <w:t xml:space="preserve"> In particolare, l’A4 Venezia–Trieste appartiene alla </w:t>
      </w:r>
      <w:r w:rsidR="003C0951" w:rsidRPr="003C0951">
        <w:rPr>
          <w:b/>
          <w:bCs/>
        </w:rPr>
        <w:t>E70</w:t>
      </w:r>
      <w:r w:rsidR="003C0951" w:rsidRPr="003C0951">
        <w:t xml:space="preserve"> e, nel tratto fino a Palmanova, anche alla </w:t>
      </w:r>
      <w:r w:rsidR="003C0951" w:rsidRPr="003C0951">
        <w:rPr>
          <w:b/>
          <w:bCs/>
        </w:rPr>
        <w:t>E55</w:t>
      </w:r>
      <w:r w:rsidR="003C0951" w:rsidRPr="003C0951">
        <w:t xml:space="preserve">, mentre l’A23 prosegue lungo l’itinerario </w:t>
      </w:r>
      <w:r w:rsidR="003C0951" w:rsidRPr="003C0951">
        <w:rPr>
          <w:b/>
          <w:bCs/>
        </w:rPr>
        <w:t>E55</w:t>
      </w:r>
      <w:r w:rsidR="003C0951" w:rsidRPr="003C0951">
        <w:t xml:space="preserve"> verso il confine austriaco.</w:t>
      </w:r>
      <w:r w:rsidR="007C0367">
        <w:t xml:space="preserve"> </w:t>
      </w:r>
      <w:r w:rsidR="00DA1262" w:rsidRPr="00DA1262">
        <w:t>A queste si affiancano i raccordi autostradali e una rete di viabilità ordinaria costituita da strade statali e regionali, tra cui assumono particolare rilievo la SS13 Pontebbana, la SS14 della Venezia Giulia e gli assi di collegamento con i principali centri regionali e i valichi</w:t>
      </w:r>
      <w:r w:rsidR="00DA1262">
        <w:t xml:space="preserve"> </w:t>
      </w:r>
      <w:sdt>
        <w:sdtPr>
          <w:id w:val="2019578813"/>
          <w:citation/>
        </w:sdtPr>
        <w:sdtContent>
          <w:r w:rsidR="00DA1262">
            <w:fldChar w:fldCharType="begin"/>
          </w:r>
          <w:r w:rsidR="00DA1262">
            <w:instrText xml:space="preserve"> CITATION Reg251 \l 1040 </w:instrText>
          </w:r>
          <w:r w:rsidR="00DA1262">
            <w:fldChar w:fldCharType="separate"/>
          </w:r>
          <w:r w:rsidR="008D7904">
            <w:rPr>
              <w:noProof/>
            </w:rPr>
            <w:t>[2]</w:t>
          </w:r>
          <w:r w:rsidR="00DA1262">
            <w:fldChar w:fldCharType="end"/>
          </w:r>
        </w:sdtContent>
      </w:sdt>
      <w:r w:rsidR="00DA1262" w:rsidRPr="00DA1262">
        <w:t>. Questa configurazione consente di leggere il territorio attraverso direttrici con funzioni differenti: i collegamenti longitudinali della pianura e della fascia costiera, dove si concentrano i principali centri urbani, produttivi e logistici; le connessioni settentrionali verso l'area montana e l'Austria; e le direttrici orientali verso Slovenia e Centro-Est Europa.</w:t>
      </w:r>
    </w:p>
    <w:p w14:paraId="1BF4640E" w14:textId="68FA0A9C" w:rsidR="00DA1262" w:rsidRPr="00050F22" w:rsidRDefault="00DA1262" w:rsidP="00DA1262">
      <w:r w:rsidRPr="00050F22">
        <w:t xml:space="preserve">Questa struttura assume particolare rilevanza per il </w:t>
      </w:r>
      <w:r w:rsidRPr="00050F22">
        <w:rPr>
          <w:b/>
          <w:bCs/>
        </w:rPr>
        <w:t>trasporto delle merci</w:t>
      </w:r>
      <w:r w:rsidRPr="00050F22">
        <w:t xml:space="preserve">. I flussi che attraversano il Friuli Venezia Giulia non sono infatti riconducibili alla sola domanda regionale, ma comprendono traffici di attraversamento e traffici generati o attratti dal sistema portuale e produttivo. Le direttrici principali mettono in relazione i valichi orientali e settentrionali e i porti dell'Alto Adriatico con il Nord Italia e con i mercati dell'Europa centrale e orientale. A supporto di tali flussi opera un sistema articolato di nodi logistici e intermodali. La piattaforma regionale comprende i porti di </w:t>
      </w:r>
      <w:r w:rsidRPr="00050F22">
        <w:rPr>
          <w:b/>
          <w:bCs/>
        </w:rPr>
        <w:t>Trieste, Monfalcone e Porto Nogaro</w:t>
      </w:r>
      <w:r w:rsidRPr="00050F22">
        <w:t xml:space="preserve"> e gli interporti di </w:t>
      </w:r>
      <w:r w:rsidRPr="00050F22">
        <w:rPr>
          <w:b/>
          <w:bCs/>
        </w:rPr>
        <w:t>Trieste-Fernetti, Cervignano del Friuli, Pordenone e Gorizia/SDAG</w:t>
      </w:r>
      <w:r w:rsidRPr="00050F22">
        <w:t xml:space="preserve">, con specializzazioni e funzioni complementari. Il Porto di Trieste costituisce un nodo </w:t>
      </w:r>
      <w:r w:rsidRPr="00050F22">
        <w:rPr>
          <w:i/>
        </w:rPr>
        <w:t>core</w:t>
      </w:r>
      <w:r w:rsidRPr="00050F22">
        <w:t xml:space="preserve"> della TEN-T, mentre Monfalcone e Porto Nogaro appartengono alla rete </w:t>
      </w:r>
      <w:r w:rsidRPr="00050F22">
        <w:rPr>
          <w:i/>
        </w:rPr>
        <w:t>comprehensive</w:t>
      </w:r>
      <w:r w:rsidRPr="00050F22">
        <w:t xml:space="preserve">; gli interporti consentono invece l'interscambio e il consolidamento dei flussi tra strada, ferrovia e sistema portuale. In particolare, Cervignano si colloca all'intersezione delle direttrici Mediterranea e Baltico-Adriatica ed esercita anche una funzione di </w:t>
      </w:r>
      <w:r w:rsidRPr="00050F22">
        <w:rPr>
          <w:i/>
        </w:rPr>
        <w:t>inland terminal</w:t>
      </w:r>
      <w:r w:rsidRPr="00050F22">
        <w:t xml:space="preserve"> del Porto di Trieste</w:t>
      </w:r>
      <w:r w:rsidR="00050F22" w:rsidRPr="00050F22">
        <w:t xml:space="preserve"> </w:t>
      </w:r>
      <w:sdt>
        <w:sdtPr>
          <w:id w:val="-164553057"/>
          <w:citation/>
        </w:sdtPr>
        <w:sdtContent>
          <w:r w:rsidR="00050F22" w:rsidRPr="00050F22">
            <w:fldChar w:fldCharType="begin"/>
          </w:r>
          <w:r w:rsidR="00050F22" w:rsidRPr="00050F22">
            <w:instrText xml:space="preserve"> CITATION Reg262 \l 1040 </w:instrText>
          </w:r>
          <w:r w:rsidR="00050F22" w:rsidRPr="00050F22">
            <w:fldChar w:fldCharType="separate"/>
          </w:r>
          <w:r w:rsidR="008D7904">
            <w:rPr>
              <w:noProof/>
            </w:rPr>
            <w:t>[1]</w:t>
          </w:r>
          <w:r w:rsidR="00050F22" w:rsidRPr="00050F22">
            <w:fldChar w:fldCharType="end"/>
          </w:r>
        </w:sdtContent>
      </w:sdt>
      <w:r w:rsidRPr="00050F22">
        <w:t xml:space="preserve">. </w:t>
      </w:r>
    </w:p>
    <w:p w14:paraId="09AF3326" w14:textId="2CDDF4F2" w:rsidR="00DA1262" w:rsidRPr="00857FA8" w:rsidRDefault="00DA1262" w:rsidP="00DA1262">
      <w:r w:rsidRPr="00857FA8">
        <w:t xml:space="preserve">La rilevanza di tali nodi è particolarmente evidente in una prospettiva di sviluppo degli </w:t>
      </w:r>
      <w:r w:rsidRPr="00857FA8">
        <w:rPr>
          <w:b/>
          <w:bCs/>
        </w:rPr>
        <w:t>Hub Energetici Green</w:t>
      </w:r>
      <w:r w:rsidRPr="00857FA8">
        <w:t xml:space="preserve">: la localizzazione presso nodi intermodali può infatti consentire di associare alla domanda stradale quella generata da attività logistiche, trasporto pesante e, prospetticamente, altri modi di trasporto. Il tema non riguarda quindi soltanto la distribuzione territoriale delle stazioni, ma la possibilità di collocare infrastrutture energetiche in corrispondenza dei </w:t>
      </w:r>
      <w:r w:rsidRPr="00857FA8">
        <w:lastRenderedPageBreak/>
        <w:t xml:space="preserve">punti nei quali si concentrano e si scambiano flussi di persone e merci. Il peso del sistema logistico regionale è confermato anche dai traffici portuali: nel 2025 i porti di Trieste e Monfalcone hanno movimentato complessivamente oltre </w:t>
      </w:r>
      <w:r w:rsidRPr="00857FA8">
        <w:rPr>
          <w:b/>
          <w:bCs/>
        </w:rPr>
        <w:t>64 milioni di tonnellate di merci</w:t>
      </w:r>
      <w:r w:rsidRPr="00857FA8">
        <w:t>, con circa 60 milioni di tonnellate riferibili al solo Porto di Trieste</w:t>
      </w:r>
      <w:r w:rsidR="00857FA8" w:rsidRPr="00857FA8">
        <w:t xml:space="preserve"> </w:t>
      </w:r>
      <w:sdt>
        <w:sdtPr>
          <w:id w:val="-1330900585"/>
          <w:citation/>
        </w:sdtPr>
        <w:sdtContent>
          <w:r w:rsidR="00857FA8" w:rsidRPr="00857FA8">
            <w:fldChar w:fldCharType="begin"/>
          </w:r>
          <w:r w:rsidR="00857FA8" w:rsidRPr="00857FA8">
            <w:instrText xml:space="preserve"> CITATION Aut25 \l 1040 </w:instrText>
          </w:r>
          <w:r w:rsidR="00857FA8" w:rsidRPr="00857FA8">
            <w:fldChar w:fldCharType="separate"/>
          </w:r>
          <w:r w:rsidR="008D7904">
            <w:rPr>
              <w:noProof/>
            </w:rPr>
            <w:t>[3]</w:t>
          </w:r>
          <w:r w:rsidR="00857FA8" w:rsidRPr="00857FA8">
            <w:fldChar w:fldCharType="end"/>
          </w:r>
        </w:sdtContent>
      </w:sdt>
      <w:r w:rsidRPr="00857FA8">
        <w:t xml:space="preserve">. </w:t>
      </w:r>
    </w:p>
    <w:p w14:paraId="2149E5EA" w14:textId="2CA458CB" w:rsidR="00DA1262" w:rsidRPr="00857FA8" w:rsidRDefault="00DA1262" w:rsidP="00DA1262">
      <w:r w:rsidRPr="00857FA8">
        <w:t xml:space="preserve">Parallelamente alla struttura fisica della rete, è necessario considerare l'evoluzione delle </w:t>
      </w:r>
      <w:r w:rsidRPr="00857FA8">
        <w:rPr>
          <w:b/>
          <w:bCs/>
        </w:rPr>
        <w:t>tecnologie di alimentazione dei veicoli</w:t>
      </w:r>
      <w:r w:rsidRPr="00857FA8">
        <w:t xml:space="preserve">, poiché essa determina la natura e la distribuzione della futura domanda energetica. Nel Friuli Venezia Giulia il parco veicolare contava nel 2024 circa </w:t>
      </w:r>
      <w:r w:rsidRPr="00857FA8">
        <w:rPr>
          <w:b/>
          <w:bCs/>
        </w:rPr>
        <w:t>1,116 milioni di mezzi</w:t>
      </w:r>
      <w:r w:rsidRPr="00857FA8">
        <w:t>, costituiti per il 74,3% da autovetture e per il 7,6% da autocarri per trasporto merci. Tra le 23.846 prime iscrizioni di autovetture nuove registrate nell'anno, 9.464 riguardavano veicoli ibrido-benzina, mentre le nuove autovetture elettriche erano 953, in crescita del 42% rispetto al 2020. Il dato evidenzia una transizione già visibile nelle nuove immatricolazioni, ma ancora inserita in un parco complessivo caratterizzato da tempi di rinnovo relativamente lunghi</w:t>
      </w:r>
      <w:r w:rsidR="00857FA8" w:rsidRPr="00857FA8">
        <w:t xml:space="preserve"> </w:t>
      </w:r>
      <w:sdt>
        <w:sdtPr>
          <w:id w:val="647013164"/>
          <w:citation/>
        </w:sdtPr>
        <w:sdtContent>
          <w:r w:rsidR="00857FA8" w:rsidRPr="00857FA8">
            <w:fldChar w:fldCharType="begin"/>
          </w:r>
          <w:r w:rsidR="00857FA8" w:rsidRPr="00857FA8">
            <w:instrText xml:space="preserve"> CITATION SIS25 \l 1040 </w:instrText>
          </w:r>
          <w:r w:rsidR="00857FA8" w:rsidRPr="00857FA8">
            <w:fldChar w:fldCharType="separate"/>
          </w:r>
          <w:r w:rsidR="008D7904">
            <w:rPr>
              <w:noProof/>
            </w:rPr>
            <w:t>[4]</w:t>
          </w:r>
          <w:r w:rsidR="00857FA8" w:rsidRPr="00857FA8">
            <w:fldChar w:fldCharType="end"/>
          </w:r>
        </w:sdtContent>
      </w:sdt>
      <w:r w:rsidRPr="00857FA8">
        <w:t xml:space="preserve">. </w:t>
      </w:r>
    </w:p>
    <w:p w14:paraId="2B0602D3" w14:textId="11B782EE" w:rsidR="00DA1262" w:rsidRPr="00857FA8" w:rsidRDefault="00DA1262" w:rsidP="00DA1262">
      <w:r w:rsidRPr="00857FA8">
        <w:t>La situazione è differente per l'</w:t>
      </w:r>
      <w:r w:rsidRPr="00857FA8">
        <w:rPr>
          <w:b/>
          <w:bCs/>
        </w:rPr>
        <w:t>idrogeno</w:t>
      </w:r>
      <w:r w:rsidRPr="00857FA8">
        <w:t>, la cui diffusione nel trasporto stradale leggero rimane allo stato attuale estremamente limitata rispetto alla mobilità elettrica. La pianificazione dell'infrastruttura a idrogeno assume tuttavia una rilevanza specifica soprattutto in relazione ai segmenti caratterizzati da percorrenze elevate, esigenze operative e concentrazione della domanda, tra cui il trasporto pesante e alcune flotte. A livello nazionale, il PNRR ha finanziato 36 progetti di stazioni di rifornimento di idrogeno rinnovabile, per oltre 103 milioni di euro</w:t>
      </w:r>
      <w:r w:rsidR="00857FA8" w:rsidRPr="00857FA8">
        <w:t xml:space="preserve"> </w:t>
      </w:r>
      <w:sdt>
        <w:sdtPr>
          <w:id w:val="1420300985"/>
          <w:citation/>
        </w:sdtPr>
        <w:sdtContent>
          <w:r w:rsidR="00857FA8" w:rsidRPr="00857FA8">
            <w:fldChar w:fldCharType="begin"/>
          </w:r>
          <w:r w:rsidR="00857FA8" w:rsidRPr="00857FA8">
            <w:instrText xml:space="preserve"> CITATION Min23 \l 1040 </w:instrText>
          </w:r>
          <w:r w:rsidR="00857FA8" w:rsidRPr="00857FA8">
            <w:fldChar w:fldCharType="separate"/>
          </w:r>
          <w:r w:rsidR="008D7904">
            <w:rPr>
              <w:noProof/>
            </w:rPr>
            <w:t>[5]</w:t>
          </w:r>
          <w:r w:rsidR="00857FA8" w:rsidRPr="00857FA8">
            <w:fldChar w:fldCharType="end"/>
          </w:r>
        </w:sdtContent>
      </w:sdt>
      <w:r w:rsidRPr="00857FA8">
        <w:t>. Anche il trasporto pubblico regionale sta sperimentando più tecnologie: accanto agli investimenti regionali per autobus elettrici e relative infrastrutture di ricarica, APT ha previsto l'impiego di autobus a idrogeno per il servizio urbano di Monfalcone, associandoli a un impianto locale di produzione, stoccaggio e rifornimento di idrogeno verde</w:t>
      </w:r>
      <w:r w:rsidR="00857FA8" w:rsidRPr="00857FA8">
        <w:t xml:space="preserve"> </w:t>
      </w:r>
      <w:sdt>
        <w:sdtPr>
          <w:id w:val="294346179"/>
          <w:citation/>
        </w:sdtPr>
        <w:sdtContent>
          <w:r w:rsidR="00857FA8" w:rsidRPr="00857FA8">
            <w:fldChar w:fldCharType="begin"/>
          </w:r>
          <w:r w:rsidR="00857FA8" w:rsidRPr="00857FA8">
            <w:instrText xml:space="preserve"> CITATION Reg252 \l 1040 </w:instrText>
          </w:r>
          <w:r w:rsidR="00857FA8" w:rsidRPr="00857FA8">
            <w:fldChar w:fldCharType="separate"/>
          </w:r>
          <w:r w:rsidR="008D7904">
            <w:rPr>
              <w:noProof/>
            </w:rPr>
            <w:t>[6]</w:t>
          </w:r>
          <w:r w:rsidR="00857FA8" w:rsidRPr="00857FA8">
            <w:fldChar w:fldCharType="end"/>
          </w:r>
        </w:sdtContent>
      </w:sdt>
      <w:r w:rsidRPr="00857FA8">
        <w:t xml:space="preserve">. </w:t>
      </w:r>
    </w:p>
    <w:p w14:paraId="20A710B3" w14:textId="4BA49E1D" w:rsidR="00DA1262" w:rsidRPr="00857FA8" w:rsidRDefault="00DA1262" w:rsidP="00DA1262">
      <w:r w:rsidRPr="00857FA8">
        <w:t xml:space="preserve">Per la mobilità elettrica, alla crescita del parco deve corrispondere una progressiva diffusione e una corretta distribuzione territoriale delle infrastrutture di ricarica. A livello nazionale, la </w:t>
      </w:r>
      <w:r w:rsidRPr="00857FA8">
        <w:rPr>
          <w:b/>
          <w:bCs/>
        </w:rPr>
        <w:t>Piattaforma Unica Nazionale (PUN)</w:t>
      </w:r>
      <w:r w:rsidRPr="00857FA8">
        <w:t>, prevista dal D.Lgs. 199/2021 e disciplinata dal D.M. 16 marzo 2023, costituisce il riferimento informativo pubblico per i punti di ricarica accessibili al pubblico. La piattaforma consente di localizzare le infrastrutture presenti sul territorio nazionale e di consultarne caratteristiche tecniche, gestore e, ove disponibili, stato di disponibilità e tariffa; per le Pubbliche Amministrazioni mette inoltre a disposizione informazioni e indicatori territoriali utili alla pianificazione</w:t>
      </w:r>
      <w:r w:rsidR="00857FA8" w:rsidRPr="00857FA8">
        <w:t xml:space="preserve"> </w:t>
      </w:r>
      <w:sdt>
        <w:sdtPr>
          <w:id w:val="1434326654"/>
          <w:citation/>
        </w:sdtPr>
        <w:sdtContent>
          <w:r w:rsidR="00857FA8" w:rsidRPr="00857FA8">
            <w:fldChar w:fldCharType="begin"/>
          </w:r>
          <w:r w:rsidR="00857FA8" w:rsidRPr="00857FA8">
            <w:instrText xml:space="preserve"> CITATION MIN23 \l 1040 </w:instrText>
          </w:r>
          <w:r w:rsidR="00857FA8" w:rsidRPr="00857FA8">
            <w:fldChar w:fldCharType="separate"/>
          </w:r>
          <w:r w:rsidR="008D7904">
            <w:rPr>
              <w:noProof/>
            </w:rPr>
            <w:t>[7]</w:t>
          </w:r>
          <w:r w:rsidR="00857FA8" w:rsidRPr="00857FA8">
            <w:fldChar w:fldCharType="end"/>
          </w:r>
        </w:sdtContent>
      </w:sdt>
      <w:r w:rsidRPr="00857FA8">
        <w:t>. La PUN costituisce pertanto una base conoscitiva particolarmente rilevante per ricostruire l'offerta esistente e confrontarla con la domanda territoriale e di traffico che il modello di localizzazione intende rappresentare.</w:t>
      </w:r>
    </w:p>
    <w:p w14:paraId="443877C5" w14:textId="5B0258E2" w:rsidR="00DA1262" w:rsidRPr="00857FA8" w:rsidRDefault="00DA1262" w:rsidP="00DA1262">
      <w:r w:rsidRPr="00857FA8">
        <w:t xml:space="preserve">Lo sviluppo di tali infrastrutture si inserisce, infine, nel più ampio processo di </w:t>
      </w:r>
      <w:r w:rsidRPr="00857FA8">
        <w:rPr>
          <w:b/>
          <w:bCs/>
        </w:rPr>
        <w:t>decarbonizzazione del settore dei trasporti</w:t>
      </w:r>
      <w:r w:rsidRPr="00857FA8">
        <w:t>. Nell'Unione europea i trasporti rappresentano circa un quarto delle emissioni complessive di gas a effetto serra; nel 2023 i soli veicoli pesanti hanno generato circa il 20% delle emissioni del settore dei trasporti. La politica europea ha pertanto definito un percorso di progressiva riduzione delle emissioni, inserito nell'obiettivo generale di riduzione delle emissioni nette dell'UE di almeno il 55% entro il 2030 rispetto al 1990 e della neutralità climatica al 2050; per i trasporti, la Commissione indica come traiettoria una riduzione del 90% delle emissioni di gas a effetto serra entro il 2050</w:t>
      </w:r>
      <w:r w:rsidR="00857FA8" w:rsidRPr="00857FA8">
        <w:t xml:space="preserve"> </w:t>
      </w:r>
      <w:sdt>
        <w:sdtPr>
          <w:id w:val="-455014007"/>
          <w:citation/>
        </w:sdtPr>
        <w:sdtContent>
          <w:r w:rsidR="00857FA8" w:rsidRPr="00857FA8">
            <w:fldChar w:fldCharType="begin"/>
          </w:r>
          <w:r w:rsidR="00857FA8" w:rsidRPr="00857FA8">
            <w:instrText xml:space="preserve"> CITATION Eur21 \l 1040 </w:instrText>
          </w:r>
          <w:r w:rsidR="00857FA8" w:rsidRPr="00857FA8">
            <w:fldChar w:fldCharType="separate"/>
          </w:r>
          <w:r w:rsidR="008D7904">
            <w:rPr>
              <w:noProof/>
            </w:rPr>
            <w:t>[8]</w:t>
          </w:r>
          <w:r w:rsidR="00857FA8" w:rsidRPr="00857FA8">
            <w:fldChar w:fldCharType="end"/>
          </w:r>
        </w:sdtContent>
      </w:sdt>
      <w:r w:rsidRPr="00857FA8">
        <w:t xml:space="preserve">. </w:t>
      </w:r>
    </w:p>
    <w:p w14:paraId="4557AB1D" w14:textId="644DB8A5" w:rsidR="00DA1262" w:rsidRPr="00857FA8" w:rsidRDefault="00DA1262" w:rsidP="00DA1262">
      <w:r w:rsidRPr="00857FA8">
        <w:t xml:space="preserve">In tale contesto, elettrificazione, combustibili rinnovabili e idrogeno assumono ruoli differenziati nei diversi segmenti della mobilità e richiedono infrastrutture coerenti con le caratteristiche della domanda che devono servire. Il </w:t>
      </w:r>
      <w:r w:rsidRPr="00857FA8">
        <w:rPr>
          <w:b/>
          <w:bCs/>
        </w:rPr>
        <w:t>PNIEC 2024</w:t>
      </w:r>
      <w:r w:rsidRPr="00857FA8">
        <w:t xml:space="preserve"> prevede, tra l'altro, una diffusione al 2030 di circa 6,5 milioni di veicoli ad alimentazione elettrica in Italia, dei quali circa 4,3 milioni elettrici puri, inserendo lo sviluppo della mobilità elettrica e degli altri vettori a basse emissioni nel più ampio percorso nazionale di decarbonizzazione dei trasporti</w:t>
      </w:r>
      <w:r w:rsidR="00857FA8" w:rsidRPr="00857FA8">
        <w:t xml:space="preserve"> </w:t>
      </w:r>
      <w:sdt>
        <w:sdtPr>
          <w:id w:val="1089273057"/>
          <w:citation/>
        </w:sdtPr>
        <w:sdtContent>
          <w:r w:rsidR="00857FA8" w:rsidRPr="00857FA8">
            <w:fldChar w:fldCharType="begin"/>
          </w:r>
          <w:r w:rsidR="00857FA8" w:rsidRPr="00857FA8">
            <w:instrText xml:space="preserve"> CITATION MAS241 \l 1040 </w:instrText>
          </w:r>
          <w:r w:rsidR="00857FA8" w:rsidRPr="00857FA8">
            <w:fldChar w:fldCharType="separate"/>
          </w:r>
          <w:r w:rsidR="008D7904">
            <w:rPr>
              <w:noProof/>
            </w:rPr>
            <w:t>[9]</w:t>
          </w:r>
          <w:r w:rsidR="00857FA8" w:rsidRPr="00857FA8">
            <w:fldChar w:fldCharType="end"/>
          </w:r>
        </w:sdtContent>
      </w:sdt>
      <w:r w:rsidRPr="00857FA8">
        <w:t xml:space="preserve">. </w:t>
      </w:r>
    </w:p>
    <w:p w14:paraId="4F4C5C9D" w14:textId="77777777" w:rsidR="00DA1262" w:rsidRDefault="00DA1262" w:rsidP="00DA1262">
      <w:r w:rsidRPr="00857FA8">
        <w:t xml:space="preserve">La lettura congiunta della struttura territoriale, delle direttrici di traffico, dei nodi logistici e intermodali e dell'evoluzione tecnologica della mobilità costituisce quindi il presupposto per passare dalla semplice distribuzione geografica delle infrastrutture a una </w:t>
      </w:r>
      <w:r w:rsidRPr="00857FA8">
        <w:rPr>
          <w:b/>
          <w:bCs/>
        </w:rPr>
        <w:t>valutazione localizzativa fondata sulla domanda effettivamente espressa dalla rete</w:t>
      </w:r>
      <w:r w:rsidRPr="00857FA8">
        <w:t>. È su questa base che possono essere individuati, da un lato, i punti nei quali la ricarica elettrica è in grado di intercettare efficacemente i flussi di mobilità e, dall'altro, le localizzazioni nelle quali la concentrazione di funzioni logistiche, energetiche e trasportistiche può giustificare lo sviluppo di Hub Energetici Green.</w:t>
      </w:r>
    </w:p>
    <w:p w14:paraId="283920BF" w14:textId="3B2FC58D" w:rsidR="001F5664" w:rsidRPr="00DA1262" w:rsidRDefault="001F5664" w:rsidP="00DA1262">
      <w:r w:rsidRPr="001F5664">
        <w:t xml:space="preserve">La configurazione della rete, la distribuzione dei flussi e il ruolo dei nodi logistici consentono quindi di definire il contesto fisico e funzionale nel quale dovranno inserirsi le nuove infrastrutture. Per comprenderne le prospettive di sviluppo è tuttavia necessario affiancare a tale lettura gli indirizzi della pianificazione energetica nazionale e regionale, che </w:t>
      </w:r>
      <w:r w:rsidRPr="001F5664">
        <w:lastRenderedPageBreak/>
        <w:t>definiscono gli obiettivi di decarbonizzazione e l’evoluzione attesa dei diversi vettori nel settore dei trasporti.</w:t>
      </w:r>
    </w:p>
    <w:p w14:paraId="5F763E86" w14:textId="709A6145" w:rsidR="00ED18F1" w:rsidRPr="00ED18F1" w:rsidRDefault="00ED18F1" w:rsidP="00324810">
      <w:pPr>
        <w:pStyle w:val="Titolo2"/>
      </w:pPr>
      <w:bookmarkStart w:id="3" w:name="_Toc241161205"/>
      <w:r w:rsidRPr="00781C33">
        <w:rPr>
          <w:rStyle w:val="Enfasigrassetto"/>
          <w:b w:val="0"/>
          <w:bCs w:val="0"/>
        </w:rPr>
        <w:t>Piano Nazionale Integrato per l'Energia e il Clima</w:t>
      </w:r>
      <w:r w:rsidRPr="00ED18F1">
        <w:t xml:space="preserve"> </w:t>
      </w:r>
      <w:r>
        <w:t xml:space="preserve">e </w:t>
      </w:r>
      <w:r w:rsidRPr="00ED18F1">
        <w:t xml:space="preserve">Piano Energetico Regionale del Friuli Venezia Giulia </w:t>
      </w:r>
      <w:r>
        <w:t>nel settore dei trasporti</w:t>
      </w:r>
      <w:bookmarkEnd w:id="3"/>
    </w:p>
    <w:p w14:paraId="56497DA9" w14:textId="264FCCE1" w:rsidR="00ED18F1" w:rsidRDefault="00ED18F1" w:rsidP="00ED18F1">
      <w:pPr>
        <w:rPr>
          <w:rFonts w:ascii="Times New Roman" w:hAnsi="Times New Roman" w:cs="Times New Roman"/>
        </w:rPr>
      </w:pPr>
      <w:r>
        <w:t xml:space="preserve">Il riferimento nazionale per la pianificazione energetica e climatica è costituito dal </w:t>
      </w:r>
      <w:r>
        <w:rPr>
          <w:rStyle w:val="Enfasigrassetto"/>
        </w:rPr>
        <w:t>Piano Nazionale Integrato per l'Energia e il Clima (PNIEC 2024)</w:t>
      </w:r>
      <w:r>
        <w:t xml:space="preserve">, che definisce gli obiettivi e le principali misure attraverso cui l'Italia concorre al raggiungimento dei target europei di decarbonizzazione, efficienza energetica e sviluppo delle fonti rinnovabili </w:t>
      </w:r>
      <w:sdt>
        <w:sdtPr>
          <w:id w:val="-1279868825"/>
          <w:citation/>
        </w:sdtPr>
        <w:sdtContent>
          <w:r>
            <w:fldChar w:fldCharType="begin"/>
          </w:r>
          <w:r>
            <w:instrText xml:space="preserve">CITATION MAS241 \l 1040 </w:instrText>
          </w:r>
          <w:r>
            <w:fldChar w:fldCharType="separate"/>
          </w:r>
          <w:r w:rsidR="008D7904">
            <w:rPr>
              <w:noProof/>
            </w:rPr>
            <w:t>[9]</w:t>
          </w:r>
          <w:r>
            <w:fldChar w:fldCharType="end"/>
          </w:r>
        </w:sdtContent>
      </w:sdt>
      <w:r>
        <w:t>. Il settore dei trasporti costituisce uno degli ambiti prioritari di intervento, attraverso una strategia che combina riduzione dei consumi, trasferimento modale, progressiva elettrificazione della mobilità e diffusione dei combustibili rinnovabili.</w:t>
      </w:r>
    </w:p>
    <w:p w14:paraId="5C669436" w14:textId="77777777" w:rsidR="00ED18F1" w:rsidRDefault="00ED18F1" w:rsidP="00ED18F1">
      <w:r>
        <w:t xml:space="preserve">Con riferimento alla mobilità elettrica stradale, il PNIEC prevede al 2030 una diffusione complessiva di circa </w:t>
      </w:r>
      <w:r>
        <w:rPr>
          <w:rStyle w:val="Enfasigrassetto"/>
        </w:rPr>
        <w:t>6,5 milioni di veicoli elettrificati</w:t>
      </w:r>
      <w:r>
        <w:t xml:space="preserve">, di cui circa </w:t>
      </w:r>
      <w:r>
        <w:rPr>
          <w:rStyle w:val="Enfasigrassetto"/>
        </w:rPr>
        <w:t>4,3 milioni di veicoli elettrici a batteria (BEV)</w:t>
      </w:r>
      <w:r>
        <w:t xml:space="preserve">, accompagnata dallo sviluppo delle relative infrastrutture di ricarica. Per il trasporto pubblico è inoltre prevista la progressiva introduzione di quote di veicoli elettrici. Il Piano attribuisce un ruolo anche ai </w:t>
      </w:r>
      <w:r>
        <w:rPr>
          <w:rStyle w:val="Enfasigrassetto"/>
        </w:rPr>
        <w:t>carburanti rinnovabili di origine non biologica (RFNBO)</w:t>
      </w:r>
      <w:r>
        <w:t xml:space="preserve"> e, in particolare, all'idrogeno rinnovabile, prevedendone l'impiego diretto nei veicoli, negli autobus, nel trasporto pesante e nei treni alimentati a idrogeno e, nel medio-lungo periodo, anche nei settori marittimo e aereo.</w:t>
      </w:r>
    </w:p>
    <w:p w14:paraId="6650B0F5" w14:textId="1D9A5A5C" w:rsidR="00ED18F1" w:rsidRDefault="00ED18F1" w:rsidP="00ED18F1">
      <w:r>
        <w:t xml:space="preserve">A livello regionale, tali indirizzi sono recepiti e declinati dal </w:t>
      </w:r>
      <w:r>
        <w:rPr>
          <w:rStyle w:val="Enfasigrassetto"/>
        </w:rPr>
        <w:t>Piano Energetico Regionale del Friuli Venezia Giulia (PER)</w:t>
      </w:r>
      <w:r>
        <w:t xml:space="preserve">, approvato nel dicembre 2024, che costituisce lo strumento strategico di riferimento per lo sviluppo del sistema energetico regionale e individua </w:t>
      </w:r>
      <w:r>
        <w:rPr>
          <w:rStyle w:val="Enfasigrassetto"/>
        </w:rPr>
        <w:t>42 azioni di Piano</w:t>
      </w:r>
      <w:r>
        <w:t xml:space="preserve"> finalizzate, tra l'altro, alla riduzione dei consumi, all'incremento della produzione da fonti rinnovabili e alla progressiva decarbonizzazione degli usi energetici </w:t>
      </w:r>
      <w:sdt>
        <w:sdtPr>
          <w:id w:val="-766537608"/>
          <w:citation/>
        </w:sdtPr>
        <w:sdtContent>
          <w:r>
            <w:fldChar w:fldCharType="begin"/>
          </w:r>
          <w:r>
            <w:instrText xml:space="preserve"> CITATION Reg25 \l 1040 </w:instrText>
          </w:r>
          <w:r>
            <w:fldChar w:fldCharType="separate"/>
          </w:r>
          <w:r w:rsidR="008D7904">
            <w:rPr>
              <w:noProof/>
            </w:rPr>
            <w:t>[10]</w:t>
          </w:r>
          <w:r>
            <w:fldChar w:fldCharType="end"/>
          </w:r>
        </w:sdtContent>
      </w:sdt>
      <w:r>
        <w:t>.</w:t>
      </w:r>
    </w:p>
    <w:p w14:paraId="40A1A2F0" w14:textId="77777777" w:rsidR="00ED18F1" w:rsidRDefault="00ED18F1" w:rsidP="00ED18F1">
      <w:r>
        <w:t xml:space="preserve">Il </w:t>
      </w:r>
      <w:r>
        <w:rPr>
          <w:rStyle w:val="Enfasigrassetto"/>
        </w:rPr>
        <w:t>capitolo 8.3 del PER</w:t>
      </w:r>
      <w:r>
        <w:t xml:space="preserve"> approfondisce specificamente le opportunità di efficientamento e decarbonizzazione del settore dei trasporti, analizzando separatamente la mobilità dei passeggeri e quella delle merci. Per la prima sono considerati la mobilità privata, il trasporto pubblico locale su gomma, il trasporto ferroviario regionale e il trasporto aereo; per la seconda sono analizzati il trasporto merci su gomma, quello ferroviario e il trasporto marittimo interno. Tale articolazione consente di valutare le differenti possibilità di intervento in funzione delle caratteristiche energetiche e operative dei singoli segmenti di mobilità.</w:t>
      </w:r>
    </w:p>
    <w:p w14:paraId="13F4954D" w14:textId="77777777" w:rsidR="00ED18F1" w:rsidRDefault="00ED18F1" w:rsidP="00ED18F1">
      <w:r>
        <w:t xml:space="preserve">Per la </w:t>
      </w:r>
      <w:r>
        <w:rPr>
          <w:rStyle w:val="Enfasigrassetto"/>
        </w:rPr>
        <w:t>mobilità privata</w:t>
      </w:r>
      <w:r>
        <w:t xml:space="preserve">, il PER individua nell'elettrificazione del parco veicolare una delle principali opportunità di riduzione dei consumi e delle emissioni, da accompagnare con lo sviluppo delle infrastrutture necessarie alla ricarica. Nel trasporto collettivo, la transizione interessa invece il progressivo rinnovo delle flotte del </w:t>
      </w:r>
      <w:r>
        <w:rPr>
          <w:rStyle w:val="Enfasigrassetto"/>
        </w:rPr>
        <w:t>Trasporto Pubblico Locale</w:t>
      </w:r>
      <w:r>
        <w:t>, con l'introduzione di mezzi a basse o nulle emissioni e il conseguente adeguamento delle relative infrastrutture energetiche.</w:t>
      </w:r>
    </w:p>
    <w:p w14:paraId="291062B9" w14:textId="77777777" w:rsidR="00ED18F1" w:rsidRDefault="00ED18F1" w:rsidP="00ED18F1">
      <w:r>
        <w:t xml:space="preserve">Per il </w:t>
      </w:r>
      <w:r>
        <w:rPr>
          <w:rStyle w:val="Enfasigrassetto"/>
        </w:rPr>
        <w:t>trasporto delle merci</w:t>
      </w:r>
      <w:r>
        <w:t>, particolare rilevanza assume il segmento stradale, per il quale la decarbonizzazione richiede la progressiva introduzione di alimentazioni alternative e la disponibilità di infrastrutture energetiche adeguate lungo le principali direttrici logistiche. A questo si affianca il ruolo del trasporto ferroviario e marittimo, la cui valorizzazione contribuisce alla riduzione dell'intensità energetica complessiva della mobilità delle merci.</w:t>
      </w:r>
    </w:p>
    <w:p w14:paraId="74A80C13" w14:textId="77777777" w:rsidR="00ED18F1" w:rsidRDefault="00ED18F1" w:rsidP="00ED18F1">
      <w:r>
        <w:t xml:space="preserve">Le indicazioni del PNIEC e del PER risultano direttamente rilevanti ai fini del presente studio. La diffusione prevista della mobilità elettrica determina infatti una crescente domanda di </w:t>
      </w:r>
      <w:r>
        <w:rPr>
          <w:rStyle w:val="Enfasigrassetto"/>
        </w:rPr>
        <w:t>potenza elettrica e infrastrutture di ricarica</w:t>
      </w:r>
      <w:r>
        <w:t>, mentre lo sviluppo dell'idrogeno e degli altri combustibili rinnovabili, soprattutto nei segmenti del trasporto pesante e della logistica, richiede la progressiva costruzione delle relative filiere di produzione, distribuzione e rifornimento. La localizzazione degli Hub Energetici Green dovrà pertanto essere valutata in relazione non soltanto ai flussi di traffico, ma anche alla disponibilità delle reti energetiche, alla produzione da fonti rinnovabili e alla possibilità di integrare differenti vettori energetici all'interno dei principali nodi della mobilità regionale.</w:t>
      </w:r>
    </w:p>
    <w:p w14:paraId="6DE42FEF" w14:textId="77777777" w:rsidR="00ED18F1" w:rsidRDefault="00ED18F1" w:rsidP="00ED18F1">
      <w:pPr>
        <w:spacing w:after="240"/>
      </w:pPr>
      <w:r w:rsidRPr="000D1503">
        <w:t>A partire dagli indirizzi definiti dal PNIEC e dalle opportunità di decarbonizzazione individuate dal capitolo 8.3 del PER FVG, è stato ricostruito lo stato di attuazione delle principali misure relative al settore dei trasporti sul territorio regionale. La tabella seguente mette in relazione i principali ambiti di intervento con le iniziative già avviate o programmate in Friuli Venezia Giulia, evidenziandone il relativo livello di attuazione.</w:t>
      </w:r>
    </w:p>
    <w:tbl>
      <w:tblPr>
        <w:tblStyle w:val="Tabellagriglia1chiara-colore4"/>
        <w:tblW w:w="0" w:type="auto"/>
        <w:tblLook w:val="04A0" w:firstRow="1" w:lastRow="0" w:firstColumn="1" w:lastColumn="0" w:noHBand="0" w:noVBand="1"/>
      </w:tblPr>
      <w:tblGrid>
        <w:gridCol w:w="1976"/>
        <w:gridCol w:w="5817"/>
        <w:gridCol w:w="1835"/>
      </w:tblGrid>
      <w:tr w:rsidR="00ED18F1" w:rsidRPr="00087DDE" w14:paraId="0D668494" w14:textId="77777777" w:rsidTr="00F03874">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0FC78D" w14:textId="77777777" w:rsidR="00ED18F1" w:rsidRPr="001F2398" w:rsidRDefault="00ED18F1" w:rsidP="00F03874">
            <w:pPr>
              <w:spacing w:before="0"/>
              <w:jc w:val="left"/>
              <w:rPr>
                <w:sz w:val="18"/>
                <w:szCs w:val="18"/>
              </w:rPr>
            </w:pPr>
            <w:r w:rsidRPr="00087DDE">
              <w:rPr>
                <w:sz w:val="18"/>
                <w:szCs w:val="18"/>
              </w:rPr>
              <w:lastRenderedPageBreak/>
              <w:t>Ambito PNIEC / PER 8.3</w:t>
            </w:r>
          </w:p>
        </w:tc>
        <w:tc>
          <w:tcPr>
            <w:tcW w:w="0" w:type="auto"/>
            <w:vAlign w:val="center"/>
            <w:hideMark/>
          </w:tcPr>
          <w:p w14:paraId="06676370" w14:textId="77777777" w:rsidR="00ED18F1" w:rsidRPr="001F2398" w:rsidRDefault="00ED18F1" w:rsidP="00F03874">
            <w:pPr>
              <w:spacing w:before="0"/>
              <w:jc w:val="left"/>
              <w:cnfStyle w:val="100000000000" w:firstRow="1" w:lastRow="0" w:firstColumn="0" w:lastColumn="0" w:oddVBand="0" w:evenVBand="0" w:oddHBand="0" w:evenHBand="0" w:firstRowFirstColumn="0" w:firstRowLastColumn="0" w:lastRowFirstColumn="0" w:lastRowLastColumn="0"/>
              <w:rPr>
                <w:sz w:val="18"/>
                <w:szCs w:val="18"/>
              </w:rPr>
            </w:pPr>
            <w:r w:rsidRPr="00087DDE">
              <w:rPr>
                <w:sz w:val="18"/>
                <w:szCs w:val="18"/>
              </w:rPr>
              <w:t>Attuazione in Friuli Venezia Giulia</w:t>
            </w:r>
          </w:p>
        </w:tc>
        <w:tc>
          <w:tcPr>
            <w:tcW w:w="0" w:type="auto"/>
            <w:vAlign w:val="center"/>
            <w:hideMark/>
          </w:tcPr>
          <w:p w14:paraId="475E72CA" w14:textId="77777777" w:rsidR="00ED18F1" w:rsidRPr="001F2398" w:rsidRDefault="00ED18F1" w:rsidP="00F03874">
            <w:pPr>
              <w:spacing w:before="0"/>
              <w:jc w:val="left"/>
              <w:cnfStyle w:val="100000000000" w:firstRow="1" w:lastRow="0" w:firstColumn="0" w:lastColumn="0" w:oddVBand="0" w:evenVBand="0" w:oddHBand="0" w:evenHBand="0" w:firstRowFirstColumn="0" w:firstRowLastColumn="0" w:lastRowFirstColumn="0" w:lastRowLastColumn="0"/>
              <w:rPr>
                <w:sz w:val="18"/>
                <w:szCs w:val="18"/>
              </w:rPr>
            </w:pPr>
            <w:r w:rsidRPr="00087DDE">
              <w:rPr>
                <w:sz w:val="18"/>
                <w:szCs w:val="18"/>
              </w:rPr>
              <w:t>Stato</w:t>
            </w:r>
          </w:p>
        </w:tc>
      </w:tr>
      <w:tr w:rsidR="00ED18F1" w:rsidRPr="00087DDE" w14:paraId="52EC1C5B" w14:textId="77777777" w:rsidTr="00F03874">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F8E966" w14:textId="77777777" w:rsidR="00ED18F1" w:rsidRPr="00087DDE" w:rsidRDefault="00ED18F1" w:rsidP="00F03874">
            <w:pPr>
              <w:spacing w:before="0"/>
              <w:jc w:val="left"/>
              <w:rPr>
                <w:sz w:val="18"/>
                <w:szCs w:val="18"/>
              </w:rPr>
            </w:pPr>
            <w:r w:rsidRPr="00087DDE">
              <w:rPr>
                <w:sz w:val="18"/>
                <w:szCs w:val="18"/>
              </w:rPr>
              <w:t>Elettrificazione del TPL</w:t>
            </w:r>
          </w:p>
        </w:tc>
        <w:tc>
          <w:tcPr>
            <w:tcW w:w="0" w:type="auto"/>
            <w:vAlign w:val="center"/>
            <w:hideMark/>
          </w:tcPr>
          <w:p w14:paraId="581EBA68"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sz w:val="18"/>
                <w:szCs w:val="18"/>
              </w:rPr>
              <w:t>È operativo il programma regionale PREPM-TPL per il rinnovo del parco autobus. A Gorizia sono stati acquistati e messi in servizio 8 autobus elettrici, con relative infrastrutture di ricarica, attraverso 3,9 milioni di euro del PR FESR 2021-2027. (</w:t>
            </w:r>
            <w:hyperlink r:id="rId10" w:tooltip="Regione Autonoma Friuli Venezia Giulia - Acquisto di autobus elettrici per i servizi TPL urbani anche transfrontalieri e dotazione/realizzazione di eventuali sistemi di ricarica" w:history="1">
              <w:r w:rsidRPr="001F2398">
                <w:t>Regione Friuli Venezia Giulia</w:t>
              </w:r>
            </w:hyperlink>
            <w:r w:rsidRPr="00087DDE">
              <w:rPr>
                <w:sz w:val="18"/>
                <w:szCs w:val="18"/>
              </w:rPr>
              <w:t>)</w:t>
            </w:r>
          </w:p>
        </w:tc>
        <w:tc>
          <w:tcPr>
            <w:tcW w:w="0" w:type="auto"/>
            <w:vAlign w:val="center"/>
            <w:hideMark/>
          </w:tcPr>
          <w:p w14:paraId="2DE20525"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b/>
                <w:bCs/>
                <w:sz w:val="18"/>
                <w:szCs w:val="18"/>
              </w:rPr>
              <w:t>In attuazione</w:t>
            </w:r>
          </w:p>
        </w:tc>
      </w:tr>
      <w:tr w:rsidR="00ED18F1" w:rsidRPr="00087DDE" w14:paraId="14A081CF" w14:textId="77777777" w:rsidTr="00F03874">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08A693" w14:textId="77777777" w:rsidR="00ED18F1" w:rsidRPr="00087DDE" w:rsidRDefault="00ED18F1" w:rsidP="00F03874">
            <w:pPr>
              <w:spacing w:before="0"/>
              <w:jc w:val="left"/>
              <w:rPr>
                <w:sz w:val="18"/>
                <w:szCs w:val="18"/>
              </w:rPr>
            </w:pPr>
            <w:r w:rsidRPr="00087DDE">
              <w:rPr>
                <w:sz w:val="18"/>
                <w:szCs w:val="18"/>
              </w:rPr>
              <w:t>Progressiva sostituzione dei mezzi diesel</w:t>
            </w:r>
          </w:p>
        </w:tc>
        <w:tc>
          <w:tcPr>
            <w:tcW w:w="0" w:type="auto"/>
            <w:vAlign w:val="center"/>
            <w:hideMark/>
          </w:tcPr>
          <w:p w14:paraId="31EB353D"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sz w:val="18"/>
                <w:szCs w:val="18"/>
              </w:rPr>
              <w:t>Il PREPM-TPL prevede entro il 2030 la sostituzione di almeno il 50% del parco autobus diesel con mezzi elettrici, a idrogeno o CNG/LNG e comprende anche le relative infrastrutture energetiche. (</w:t>
            </w:r>
            <w:hyperlink r:id="rId11" w:tooltip="Lexview - Dettaglio Legge regionale 29 dicembre 2021, n. 23" w:history="1">
              <w:r w:rsidRPr="001F2398">
                <w:t>Leggi Regionali</w:t>
              </w:r>
            </w:hyperlink>
            <w:r w:rsidRPr="00087DDE">
              <w:rPr>
                <w:sz w:val="18"/>
                <w:szCs w:val="18"/>
              </w:rPr>
              <w:t>)</w:t>
            </w:r>
          </w:p>
        </w:tc>
        <w:tc>
          <w:tcPr>
            <w:tcW w:w="0" w:type="auto"/>
            <w:vAlign w:val="center"/>
            <w:hideMark/>
          </w:tcPr>
          <w:p w14:paraId="276624DA"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b/>
                <w:bCs/>
                <w:sz w:val="18"/>
                <w:szCs w:val="18"/>
              </w:rPr>
              <w:t>In attuazione / programmato al 2030</w:t>
            </w:r>
          </w:p>
        </w:tc>
      </w:tr>
      <w:tr w:rsidR="00ED18F1" w:rsidRPr="00087DDE" w14:paraId="0BE1F188" w14:textId="77777777" w:rsidTr="00F03874">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A0A808" w14:textId="77777777" w:rsidR="00ED18F1" w:rsidRPr="00087DDE" w:rsidRDefault="00ED18F1" w:rsidP="00F03874">
            <w:pPr>
              <w:spacing w:before="0"/>
              <w:jc w:val="left"/>
              <w:rPr>
                <w:sz w:val="18"/>
                <w:szCs w:val="18"/>
              </w:rPr>
            </w:pPr>
            <w:r w:rsidRPr="00087DDE">
              <w:rPr>
                <w:sz w:val="18"/>
                <w:szCs w:val="18"/>
              </w:rPr>
              <w:t>Diffusione degli autobus elettrici</w:t>
            </w:r>
          </w:p>
        </w:tc>
        <w:tc>
          <w:tcPr>
            <w:tcW w:w="0" w:type="auto"/>
            <w:vAlign w:val="center"/>
            <w:hideMark/>
          </w:tcPr>
          <w:p w14:paraId="6A5B1FD5"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sz w:val="18"/>
                <w:szCs w:val="18"/>
              </w:rPr>
              <w:t>A Udine risultano già operativi 5 autobus elettrici; la programmazione prevede ulteriori mezzi entro il 2030. Sono già operative anche colonnine rapide da 150 kW presso il deposito. (</w:t>
            </w:r>
            <w:hyperlink r:id="rId12" w:tooltip="Regione Autonoma Friuli Venezia Giulia - ricerca" w:history="1">
              <w:r w:rsidRPr="001F2398">
                <w:t>Regione Friuli Venezia Giulia</w:t>
              </w:r>
            </w:hyperlink>
            <w:r w:rsidRPr="00087DDE">
              <w:rPr>
                <w:sz w:val="18"/>
                <w:szCs w:val="18"/>
              </w:rPr>
              <w:t>)</w:t>
            </w:r>
          </w:p>
        </w:tc>
        <w:tc>
          <w:tcPr>
            <w:tcW w:w="0" w:type="auto"/>
            <w:vAlign w:val="center"/>
            <w:hideMark/>
          </w:tcPr>
          <w:p w14:paraId="44E121FE"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b/>
                <w:bCs/>
                <w:sz w:val="18"/>
                <w:szCs w:val="18"/>
              </w:rPr>
              <w:t>In attuazione</w:t>
            </w:r>
          </w:p>
        </w:tc>
      </w:tr>
      <w:tr w:rsidR="00ED18F1" w:rsidRPr="00087DDE" w14:paraId="7B3398A9" w14:textId="77777777" w:rsidTr="00F03874">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FBA33A" w14:textId="77777777" w:rsidR="00ED18F1" w:rsidRPr="00087DDE" w:rsidRDefault="00ED18F1" w:rsidP="00F03874">
            <w:pPr>
              <w:spacing w:before="0"/>
              <w:jc w:val="left"/>
              <w:rPr>
                <w:sz w:val="18"/>
                <w:szCs w:val="18"/>
              </w:rPr>
            </w:pPr>
            <w:r w:rsidRPr="00087DDE">
              <w:rPr>
                <w:sz w:val="18"/>
                <w:szCs w:val="18"/>
              </w:rPr>
              <w:t>Idrogeno nel TPL</w:t>
            </w:r>
          </w:p>
        </w:tc>
        <w:tc>
          <w:tcPr>
            <w:tcW w:w="0" w:type="auto"/>
            <w:vAlign w:val="center"/>
            <w:hideMark/>
          </w:tcPr>
          <w:p w14:paraId="51B1EA72"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sz w:val="18"/>
                <w:szCs w:val="18"/>
              </w:rPr>
              <w:t>Il PER prevede espressamente 25 mezzi a idrogeno. La programmazione regionale del TPL contempla 25 autobus a idrogeno al 2030; 15 sono destinati all’ambito di Gorizia e ulteriori 10 sono previsti nella sperimentazione di Trieste. (</w:t>
            </w:r>
            <w:hyperlink r:id="rId13" w:tooltip="Valutazione ambientale Strategica" w:history="1">
              <w:r w:rsidRPr="001F2398">
                <w:t>Decreti Regione Friuli Venezia Giulia</w:t>
              </w:r>
            </w:hyperlink>
            <w:r w:rsidRPr="00087DDE">
              <w:rPr>
                <w:sz w:val="18"/>
                <w:szCs w:val="18"/>
              </w:rPr>
              <w:t>)</w:t>
            </w:r>
          </w:p>
        </w:tc>
        <w:tc>
          <w:tcPr>
            <w:tcW w:w="0" w:type="auto"/>
            <w:vAlign w:val="center"/>
            <w:hideMark/>
          </w:tcPr>
          <w:p w14:paraId="317BF35A"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b/>
                <w:bCs/>
                <w:sz w:val="18"/>
                <w:szCs w:val="18"/>
              </w:rPr>
              <w:t>In attuazione / sperimentazione</w:t>
            </w:r>
          </w:p>
        </w:tc>
      </w:tr>
      <w:tr w:rsidR="00ED18F1" w:rsidRPr="00087DDE" w14:paraId="06E9C575" w14:textId="77777777" w:rsidTr="00F03874">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748ADA" w14:textId="77777777" w:rsidR="00ED18F1" w:rsidRPr="00087DDE" w:rsidRDefault="00ED18F1" w:rsidP="00F03874">
            <w:pPr>
              <w:spacing w:before="0"/>
              <w:jc w:val="left"/>
              <w:rPr>
                <w:sz w:val="18"/>
                <w:szCs w:val="18"/>
              </w:rPr>
            </w:pPr>
            <w:r w:rsidRPr="00087DDE">
              <w:rPr>
                <w:sz w:val="18"/>
                <w:szCs w:val="18"/>
              </w:rPr>
              <w:t>Infrastrutture per alimentazioni alternative</w:t>
            </w:r>
          </w:p>
        </w:tc>
        <w:tc>
          <w:tcPr>
            <w:tcW w:w="0" w:type="auto"/>
            <w:vAlign w:val="center"/>
            <w:hideMark/>
          </w:tcPr>
          <w:p w14:paraId="62FF7F9F"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sz w:val="18"/>
                <w:szCs w:val="18"/>
              </w:rPr>
              <w:t>Il PREPM-TPL comprende non solo i mezzi ma anche gli impianti necessari al loro esercizio; il rinnovo della flotta regionale prevede investimenti specifici per infrastrutture di alimentazione e ricarica. (</w:t>
            </w:r>
            <w:hyperlink r:id="rId14" w:tooltip="Regione Autonoma Friuli Venezia Giulia - mappa" w:history="1">
              <w:r w:rsidRPr="001F2398">
                <w:t>Regione Friuli Venezia Giulia</w:t>
              </w:r>
            </w:hyperlink>
            <w:r w:rsidRPr="00087DDE">
              <w:rPr>
                <w:sz w:val="18"/>
                <w:szCs w:val="18"/>
              </w:rPr>
              <w:t>)</w:t>
            </w:r>
          </w:p>
        </w:tc>
        <w:tc>
          <w:tcPr>
            <w:tcW w:w="0" w:type="auto"/>
            <w:vAlign w:val="center"/>
            <w:hideMark/>
          </w:tcPr>
          <w:p w14:paraId="7ECFD9F7"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b/>
                <w:bCs/>
                <w:sz w:val="18"/>
                <w:szCs w:val="18"/>
              </w:rPr>
              <w:t>In attuazione</w:t>
            </w:r>
          </w:p>
        </w:tc>
      </w:tr>
      <w:tr w:rsidR="00ED18F1" w:rsidRPr="00087DDE" w14:paraId="20D82729" w14:textId="77777777" w:rsidTr="00F03874">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48BC32" w14:textId="77777777" w:rsidR="00ED18F1" w:rsidRPr="00087DDE" w:rsidRDefault="00ED18F1" w:rsidP="00F03874">
            <w:pPr>
              <w:spacing w:before="0"/>
              <w:jc w:val="left"/>
              <w:rPr>
                <w:sz w:val="18"/>
                <w:szCs w:val="18"/>
              </w:rPr>
            </w:pPr>
            <w:r w:rsidRPr="00087DDE">
              <w:rPr>
                <w:sz w:val="18"/>
                <w:szCs w:val="18"/>
              </w:rPr>
              <w:t>Elettrificazione del trasporto marittimo</w:t>
            </w:r>
          </w:p>
        </w:tc>
        <w:tc>
          <w:tcPr>
            <w:tcW w:w="0" w:type="auto"/>
            <w:vAlign w:val="center"/>
            <w:hideMark/>
          </w:tcPr>
          <w:p w14:paraId="6E68A7D2"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sz w:val="18"/>
                <w:szCs w:val="18"/>
              </w:rPr>
              <w:t>Nel Porto di Monfalcone è finanziato con 7 milioni di euro PNRR un intervento di cold ironing per l’elettrificazione delle banchine e la connessione alla rete elettrica nazionale; il termine previsto è luglio 2026. (</w:t>
            </w:r>
            <w:hyperlink r:id="rId15" w:tooltip="Cold Ironing Porto Monfalcone — Autorità di Sistema Portuale del Mare Adriatico Orientale" w:history="1">
              <w:r w:rsidRPr="001F2398">
                <w:t>Porti Adriatici Orientali</w:t>
              </w:r>
            </w:hyperlink>
            <w:r w:rsidRPr="00087DDE">
              <w:rPr>
                <w:sz w:val="18"/>
                <w:szCs w:val="18"/>
              </w:rPr>
              <w:t>)</w:t>
            </w:r>
          </w:p>
        </w:tc>
        <w:tc>
          <w:tcPr>
            <w:tcW w:w="0" w:type="auto"/>
            <w:vAlign w:val="center"/>
            <w:hideMark/>
          </w:tcPr>
          <w:p w14:paraId="3FFB2571"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b/>
                <w:bCs/>
                <w:sz w:val="18"/>
                <w:szCs w:val="18"/>
              </w:rPr>
              <w:t>In realizzazione</w:t>
            </w:r>
          </w:p>
        </w:tc>
      </w:tr>
      <w:tr w:rsidR="00ED18F1" w:rsidRPr="00087DDE" w14:paraId="0593FB98" w14:textId="77777777" w:rsidTr="00F03874">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6311D5" w14:textId="77777777" w:rsidR="00ED18F1" w:rsidRPr="00087DDE" w:rsidRDefault="00ED18F1" w:rsidP="00F03874">
            <w:pPr>
              <w:spacing w:before="0"/>
              <w:jc w:val="left"/>
              <w:rPr>
                <w:sz w:val="18"/>
                <w:szCs w:val="18"/>
              </w:rPr>
            </w:pPr>
            <w:r w:rsidRPr="00087DDE">
              <w:rPr>
                <w:sz w:val="18"/>
                <w:szCs w:val="18"/>
              </w:rPr>
              <w:t>Cold ironing nei porti regionali</w:t>
            </w:r>
          </w:p>
        </w:tc>
        <w:tc>
          <w:tcPr>
            <w:tcW w:w="0" w:type="auto"/>
            <w:vAlign w:val="center"/>
            <w:hideMark/>
          </w:tcPr>
          <w:p w14:paraId="36AFEC39"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sz w:val="18"/>
                <w:szCs w:val="18"/>
              </w:rPr>
              <w:t>Interventi analoghi interessano anche Trieste e Porto Nogaro; il PER collega inoltre il cold ironing alla produzione FER dedicata attraverso l’Azione 09.3. (</w:t>
            </w:r>
            <w:hyperlink r:id="rId16" w:tooltip="Missione 3 - Europa FVG" w:history="1">
              <w:r w:rsidRPr="001F2398">
                <w:t>Regione FVG</w:t>
              </w:r>
            </w:hyperlink>
            <w:r w:rsidRPr="00087DDE">
              <w:rPr>
                <w:sz w:val="18"/>
                <w:szCs w:val="18"/>
              </w:rPr>
              <w:t>)</w:t>
            </w:r>
          </w:p>
        </w:tc>
        <w:tc>
          <w:tcPr>
            <w:tcW w:w="0" w:type="auto"/>
            <w:vAlign w:val="center"/>
            <w:hideMark/>
          </w:tcPr>
          <w:p w14:paraId="16062A5D"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b/>
                <w:bCs/>
                <w:sz w:val="18"/>
                <w:szCs w:val="18"/>
              </w:rPr>
              <w:t>In attuazione</w:t>
            </w:r>
          </w:p>
        </w:tc>
      </w:tr>
      <w:tr w:rsidR="00ED18F1" w:rsidRPr="00087DDE" w14:paraId="786B235B" w14:textId="77777777" w:rsidTr="00F03874">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27A67A" w14:textId="77777777" w:rsidR="00ED18F1" w:rsidRPr="00087DDE" w:rsidRDefault="00ED18F1" w:rsidP="00F03874">
            <w:pPr>
              <w:spacing w:before="0"/>
              <w:jc w:val="left"/>
              <w:rPr>
                <w:sz w:val="18"/>
                <w:szCs w:val="18"/>
              </w:rPr>
            </w:pPr>
            <w:r w:rsidRPr="00087DDE">
              <w:rPr>
                <w:sz w:val="18"/>
                <w:szCs w:val="18"/>
              </w:rPr>
              <w:t>Mobilità privata elettrica</w:t>
            </w:r>
          </w:p>
        </w:tc>
        <w:tc>
          <w:tcPr>
            <w:tcW w:w="0" w:type="auto"/>
            <w:vAlign w:val="center"/>
            <w:hideMark/>
          </w:tcPr>
          <w:p w14:paraId="212A48E6"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sz w:val="18"/>
                <w:szCs w:val="18"/>
              </w:rPr>
              <w:t>Il PER riconosce l’elettrificazione della mobilità privata come una delle principali leve di riduzione dei consumi; tuttavia, dagli atti PER analizzati non emerge un indicatore regionale unico che consenta di definire direttamente il grado di attuazione della rete pubblica di ricarica.</w:t>
            </w:r>
          </w:p>
        </w:tc>
        <w:tc>
          <w:tcPr>
            <w:tcW w:w="0" w:type="auto"/>
            <w:vAlign w:val="center"/>
            <w:hideMark/>
          </w:tcPr>
          <w:p w14:paraId="6E3B6A55"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b/>
                <w:bCs/>
                <w:sz w:val="18"/>
                <w:szCs w:val="18"/>
              </w:rPr>
              <w:t>Da quantificare separatamente</w:t>
            </w:r>
          </w:p>
        </w:tc>
      </w:tr>
      <w:tr w:rsidR="00ED18F1" w:rsidRPr="00087DDE" w14:paraId="587FB568" w14:textId="77777777" w:rsidTr="00F03874">
        <w:trPr>
          <w:trHeight w:val="9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384A3A" w14:textId="77777777" w:rsidR="00ED18F1" w:rsidRPr="00087DDE" w:rsidRDefault="00ED18F1" w:rsidP="00F03874">
            <w:pPr>
              <w:spacing w:before="0"/>
              <w:jc w:val="left"/>
              <w:rPr>
                <w:sz w:val="18"/>
                <w:szCs w:val="18"/>
              </w:rPr>
            </w:pPr>
            <w:r w:rsidRPr="00087DDE">
              <w:rPr>
                <w:sz w:val="18"/>
                <w:szCs w:val="18"/>
              </w:rPr>
              <w:t>Trasporto merci su gomma / combustibili alternativi</w:t>
            </w:r>
          </w:p>
        </w:tc>
        <w:tc>
          <w:tcPr>
            <w:tcW w:w="0" w:type="auto"/>
            <w:vAlign w:val="center"/>
            <w:hideMark/>
          </w:tcPr>
          <w:p w14:paraId="278469C4"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sz w:val="18"/>
                <w:szCs w:val="18"/>
              </w:rPr>
              <w:t>PNIEC e PER riconoscono la necessità di decarbonizzare il trasporto pesante tramite vettori alternativi; per questo ambito, però, non emerge dal solo PER un programma regionale unitario già attuato paragonabile al PREPM-TPL.</w:t>
            </w:r>
          </w:p>
        </w:tc>
        <w:tc>
          <w:tcPr>
            <w:tcW w:w="0" w:type="auto"/>
            <w:vAlign w:val="center"/>
            <w:hideMark/>
          </w:tcPr>
          <w:p w14:paraId="1DDA3DC0" w14:textId="77777777" w:rsidR="00ED18F1" w:rsidRPr="00087DDE" w:rsidRDefault="00ED18F1"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087DDE">
              <w:rPr>
                <w:b/>
                <w:bCs/>
                <w:sz w:val="18"/>
                <w:szCs w:val="18"/>
              </w:rPr>
              <w:t>Programmazione / sviluppo iniziale</w:t>
            </w:r>
          </w:p>
        </w:tc>
      </w:tr>
    </w:tbl>
    <w:p w14:paraId="365F3BA3" w14:textId="77777777" w:rsidR="00ED18F1" w:rsidRDefault="00ED18F1" w:rsidP="00ED18F1">
      <w:r w:rsidRPr="000D1503">
        <w:t>Lo stato di attuazione regionale evidenzia un avanzamento differenziato delle misure previste dal PNIEC. Gli interventi risultano maggiormente strutturati nel settore del trasporto pubblico locale, attraverso il rinnovo delle flotte elettriche e la programmata introduzione dell’idrogeno, e nel settore portuale, attraverso i progetti di elettrificazione delle banchine. Per la mobilità privata e il trasporto pesante permane invece la necessità di sviluppare una rete infrastrutturale maggiormente coordinata e coerente con la crescita attesa della domanda. In tale contesto, la pianificazione di nuovi Hub Energetici Green e delle relative infrastrutture di ricarica e rifornimento può contribuire a tradurre gli indirizzi del PNIEC e del PER in una rete territoriale integrata, capace di accompagnare la progressiva decarbonizzazione dei diversi segmenti della mobilità regionale.</w:t>
      </w:r>
    </w:p>
    <w:p w14:paraId="5EF968EC" w14:textId="1A35567B" w:rsidR="001F5664" w:rsidRPr="009A0611" w:rsidRDefault="001F5664" w:rsidP="00ED18F1">
      <w:r w:rsidRPr="001F5664">
        <w:t>Gli indirizzi energetici e lo stato di attuazione delle relative misure devono essere letti congiuntamente agli strumenti di programmazione dei trasporti, che individuano le direttrici, i nodi e le priorità infrastrutturali entro cui tali obiettivi possono essere concretamente sviluppati sul territorio.</w:t>
      </w:r>
    </w:p>
    <w:p w14:paraId="3B9463ED" w14:textId="77777777" w:rsidR="00ED18F1" w:rsidRDefault="00ED18F1" w:rsidP="00324810">
      <w:pPr>
        <w:pStyle w:val="Titolo2"/>
      </w:pPr>
      <w:bookmarkStart w:id="4" w:name="_Toc241161206"/>
      <w:r>
        <w:t xml:space="preserve">Strumenti di </w:t>
      </w:r>
      <w:r w:rsidRPr="00571598">
        <w:t>programmazione dei trasporti;</w:t>
      </w:r>
      <w:bookmarkEnd w:id="4"/>
    </w:p>
    <w:p w14:paraId="46CA4EB8" w14:textId="77777777" w:rsidR="00ED18F1" w:rsidRPr="009A0DC7" w:rsidRDefault="00ED18F1" w:rsidP="00ED18F1">
      <w:r w:rsidRPr="009A0DC7">
        <w:t xml:space="preserve">La programmazione dei trasporti si articola attraverso strumenti di livello nazionale e regionale, che definiscono gli indirizzi per lo sviluppo delle infrastrutture, della mobilità delle persone e delle merci e dei sistemi di trasporto </w:t>
      </w:r>
      <w:r w:rsidRPr="009A0DC7">
        <w:lastRenderedPageBreak/>
        <w:t>sostenibile. Tali strumenti costituiscono un riferimento per l'individuazione delle direttrici e dei nodi strategici rispetto ai quali valutare lo sviluppo delle infrastrutture energetiche dedicate alla mobilità.</w:t>
      </w:r>
    </w:p>
    <w:p w14:paraId="5A3AB798" w14:textId="77777777" w:rsidR="00ED18F1" w:rsidRDefault="00ED18F1" w:rsidP="00ED18F1">
      <w:pPr>
        <w:pStyle w:val="Paragrafo"/>
      </w:pPr>
      <w:r>
        <w:t>Livello nazionale</w:t>
      </w:r>
    </w:p>
    <w:p w14:paraId="19A21864" w14:textId="39FB3B6C" w:rsidR="00ED18F1" w:rsidRPr="009A0DC7" w:rsidRDefault="00ED18F1" w:rsidP="00ED18F1">
      <w:pPr>
        <w:spacing w:before="0"/>
      </w:pPr>
      <w:r w:rsidRPr="009A0DC7">
        <w:t xml:space="preserve">A livello nazionale, un riferimento specificamente rivolto alla decarbonizzazione del trasporto pubblico è rappresentato dal </w:t>
      </w:r>
      <w:r w:rsidRPr="009A0DC7">
        <w:rPr>
          <w:b/>
          <w:bCs/>
        </w:rPr>
        <w:t>Piano Strategico Nazionale della Mobilità Sostenibile (PSNMS)</w:t>
      </w:r>
      <w:r w:rsidRPr="009A0DC7">
        <w:t>, a</w:t>
      </w:r>
      <w:r>
        <w:t>pprovato</w:t>
      </w:r>
      <w:r w:rsidRPr="009A0DC7">
        <w:t xml:space="preserve"> con DPCM del </w:t>
      </w:r>
      <w:r>
        <w:t>30</w:t>
      </w:r>
      <w:r w:rsidRPr="009A0DC7">
        <w:t xml:space="preserve"> aprile 2019</w:t>
      </w:r>
      <w:r>
        <w:t xml:space="preserve"> </w:t>
      </w:r>
      <w:sdt>
        <w:sdtPr>
          <w:id w:val="1272044765"/>
          <w:citation/>
        </w:sdtPr>
        <w:sdtContent>
          <w:r>
            <w:fldChar w:fldCharType="begin"/>
          </w:r>
          <w:r>
            <w:instrText xml:space="preserve"> CITATION MAS221 \l 1040 </w:instrText>
          </w:r>
          <w:r>
            <w:fldChar w:fldCharType="separate"/>
          </w:r>
          <w:r w:rsidR="008D7904">
            <w:rPr>
              <w:noProof/>
            </w:rPr>
            <w:t>[11]</w:t>
          </w:r>
          <w:r>
            <w:fldChar w:fldCharType="end"/>
          </w:r>
        </w:sdtContent>
      </w:sdt>
      <w:r w:rsidRPr="009A0DC7">
        <w:t>. Il Piano è finalizzato al rinnovo del parco autobus destinato ai servizi di trasporto pubblico locale e regionale attraverso mezzi a minore impatto ambientale e tecnologie innovative, prevedendo risorse statali per l'acquisto di autobus ad alimentazione alternativa e delle relative infrastrutture. Il PSNMS assume pertanto rilevanza per lo sviluppo della mobilità elettrica e degli altri sistemi di alimentazione alternativa applicati al trasporto collettivo.</w:t>
      </w:r>
    </w:p>
    <w:p w14:paraId="7A8E6374" w14:textId="0F3C4951" w:rsidR="00ED18F1" w:rsidRPr="009A0DC7" w:rsidRDefault="00ED18F1" w:rsidP="00ED18F1">
      <w:r w:rsidRPr="009A0DC7">
        <w:t>Per la programmazione delle infrastrutture e della logistica, un riferimento più generale è costituito dall'</w:t>
      </w:r>
      <w:r w:rsidRPr="009A0DC7">
        <w:rPr>
          <w:b/>
          <w:bCs/>
        </w:rPr>
        <w:t>Allegato “Strategie per le infrastrutture, la mobilità e la logistica” al Documento di Finanza Pubblica</w:t>
      </w:r>
      <w:r w:rsidRPr="009A0DC7">
        <w:t xml:space="preserve">, attraverso il quale </w:t>
      </w:r>
      <w:r>
        <w:t xml:space="preserve">nel 2025 </w:t>
      </w:r>
      <w:r w:rsidRPr="009A0DC7">
        <w:t>vengono definite le linee programmatiche nazionali per lo sviluppo delle infrastrutture e l'efficientamento del sistema dei trasporti e della logistica</w:t>
      </w:r>
      <w:r>
        <w:t xml:space="preserve"> </w:t>
      </w:r>
      <w:sdt>
        <w:sdtPr>
          <w:id w:val="1575243964"/>
          <w:citation/>
        </w:sdtPr>
        <w:sdtContent>
          <w:r>
            <w:fldChar w:fldCharType="begin"/>
          </w:r>
          <w:r>
            <w:instrText xml:space="preserve"> CITATION Min25 \l 1040 </w:instrText>
          </w:r>
          <w:r>
            <w:fldChar w:fldCharType="separate"/>
          </w:r>
          <w:r w:rsidR="008D7904">
            <w:rPr>
              <w:noProof/>
            </w:rPr>
            <w:t>[12]</w:t>
          </w:r>
          <w:r>
            <w:fldChar w:fldCharType="end"/>
          </w:r>
        </w:sdtContent>
      </w:sdt>
      <w:r w:rsidRPr="009A0DC7">
        <w:t>. Il documento consente di inquadrare gli interventi infrastrutturali all'interno delle principali direttrici nazionali ed europee e assume particolare interesse per il Friuli Venezia Giulia in relazione alla funzione della Regione quale nodo di connessione con le reti TEN-T e con i sistemi logistici dell'Europa centrale e orientale.</w:t>
      </w:r>
    </w:p>
    <w:p w14:paraId="438A6302" w14:textId="77777777" w:rsidR="00ED18F1" w:rsidRDefault="00ED18F1" w:rsidP="00ED18F1">
      <w:pPr>
        <w:pStyle w:val="Paragrafo"/>
      </w:pPr>
      <w:r>
        <w:t>Livello regionale</w:t>
      </w:r>
    </w:p>
    <w:p w14:paraId="2F0525F5" w14:textId="2E56A1CA" w:rsidR="00ED18F1" w:rsidRPr="009A0DC7" w:rsidRDefault="00ED18F1" w:rsidP="00ED18F1">
      <w:pPr>
        <w:spacing w:before="0"/>
      </w:pPr>
      <w:r w:rsidRPr="009A0DC7">
        <w:t xml:space="preserve">A livello regionale, il principale riferimento è il </w:t>
      </w:r>
      <w:r w:rsidRPr="009A0DC7">
        <w:rPr>
          <w:b/>
          <w:bCs/>
        </w:rPr>
        <w:t>Piano Regionale delle Infrastrutture di Trasporto, della Mobilità delle Merci e della Logistica (PRITMML)</w:t>
      </w:r>
      <w:r w:rsidRPr="009A0DC7">
        <w:t>, approvato con DPReg n. 300/2011. Il Piano mette a sistema le infrastrutture lineari e puntuali e i relativi servizi, con l'obiettivo di sviluppare una piattaforma logistica regionale integrata e connessa alle reti sovraregionali</w:t>
      </w:r>
      <w:r>
        <w:t xml:space="preserve"> </w:t>
      </w:r>
      <w:sdt>
        <w:sdtPr>
          <w:id w:val="1269496952"/>
          <w:citation/>
        </w:sdtPr>
        <w:sdtContent>
          <w:r>
            <w:fldChar w:fldCharType="begin"/>
          </w:r>
          <w:r>
            <w:instrText xml:space="preserve">CITATION Reg24 \l 1040 </w:instrText>
          </w:r>
          <w:r>
            <w:fldChar w:fldCharType="separate"/>
          </w:r>
          <w:r w:rsidR="008D7904">
            <w:rPr>
              <w:noProof/>
            </w:rPr>
            <w:t>[13]</w:t>
          </w:r>
          <w:r>
            <w:fldChar w:fldCharType="end"/>
          </w:r>
        </w:sdtContent>
      </w:sdt>
      <w:r w:rsidRPr="009A0DC7">
        <w:t>. Tra gli indirizzi principali rientrano lo sviluppo dell'intermodalità, il riequilibrio modale, l'integrazione tra porti e nodi logistici, la razionalizzazione della rete stradale e la gestione dei flussi di traffico pesante.</w:t>
      </w:r>
    </w:p>
    <w:p w14:paraId="738E06DC" w14:textId="7933D7AD" w:rsidR="00ED18F1" w:rsidRPr="009A0DC7" w:rsidRDefault="00ED18F1" w:rsidP="00ED18F1">
      <w:r w:rsidRPr="009A0DC7">
        <w:t xml:space="preserve">Per la mobilità delle persone, il </w:t>
      </w:r>
      <w:r w:rsidRPr="009A0DC7">
        <w:rPr>
          <w:b/>
          <w:bCs/>
        </w:rPr>
        <w:t>Piano Regionale del Trasporto Pubblico Locale (PRTPL)</w:t>
      </w:r>
      <w:r w:rsidRPr="009A0DC7">
        <w:t>, approvato con DPReg n. 80/2013, definisce l'organizzazione del sistema regionale dei servizi di trasporto pubblico e delle infrastrutture di interscambio</w:t>
      </w:r>
      <w:r>
        <w:t xml:space="preserve"> </w:t>
      </w:r>
      <w:sdt>
        <w:sdtPr>
          <w:id w:val="-1020771180"/>
          <w:citation/>
        </w:sdtPr>
        <w:sdtContent>
          <w:r>
            <w:fldChar w:fldCharType="begin"/>
          </w:r>
          <w:r>
            <w:instrText xml:space="preserve"> CITATION Reg241 \l 1040 </w:instrText>
          </w:r>
          <w:r>
            <w:fldChar w:fldCharType="separate"/>
          </w:r>
          <w:r w:rsidR="008D7904">
            <w:rPr>
              <w:noProof/>
            </w:rPr>
            <w:t>[14]</w:t>
          </w:r>
          <w:r>
            <w:fldChar w:fldCharType="end"/>
          </w:r>
        </w:sdtContent>
      </w:sdt>
      <w:r w:rsidRPr="009A0DC7">
        <w:t>. Il Piano consente di individuare i principali nodi e le direttrici del trasporto collettivo regionale, rilevanti anche in relazione alla progressiva introduzione di mezzi alimentati mediante vettori energetici alternativi.</w:t>
      </w:r>
    </w:p>
    <w:p w14:paraId="2AAA247A" w14:textId="5B700D79" w:rsidR="00ED18F1" w:rsidRPr="009A0DC7" w:rsidRDefault="00ED18F1" w:rsidP="00ED18F1">
      <w:r w:rsidRPr="009A0DC7">
        <w:t xml:space="preserve">Un riferimento specifico per la mobilità elettrica è infine rappresentato dal </w:t>
      </w:r>
      <w:r w:rsidRPr="009A0DC7">
        <w:rPr>
          <w:b/>
          <w:bCs/>
        </w:rPr>
        <w:t>Piano Regionale della Mobilità Elettrica del Friuli Venezia Giulia (PReME_FVG)</w:t>
      </w:r>
      <w:r w:rsidRPr="009A0DC7">
        <w:t>, approvato con DGR n. 2674/2017</w:t>
      </w:r>
      <w:r>
        <w:t xml:space="preserve"> </w:t>
      </w:r>
      <w:sdt>
        <w:sdtPr>
          <w:id w:val="-803162703"/>
          <w:citation/>
        </w:sdtPr>
        <w:sdtContent>
          <w:r>
            <w:fldChar w:fldCharType="begin"/>
          </w:r>
          <w:r>
            <w:instrText xml:space="preserve"> CITATION Reg23 \l 1040 </w:instrText>
          </w:r>
          <w:r>
            <w:fldChar w:fldCharType="separate"/>
          </w:r>
          <w:r w:rsidR="008D7904">
            <w:rPr>
              <w:noProof/>
            </w:rPr>
            <w:t>[15]</w:t>
          </w:r>
          <w:r>
            <w:fldChar w:fldCharType="end"/>
          </w:r>
        </w:sdtContent>
      </w:sdt>
      <w:r w:rsidRPr="009A0DC7">
        <w:t>. Il Piano è finalizzato a promuovere lo sviluppo di una rete di ricarica in grado di favorire la diffusione dei veicoli elettrici e ibridi plug-in e considera complementari le infrastrutture di ricarica ad accesso privato e quelle accessibili al pubblico.</w:t>
      </w:r>
    </w:p>
    <w:p w14:paraId="1A13B07D" w14:textId="70A449B9" w:rsidR="00EA194C" w:rsidRDefault="00ED18F1" w:rsidP="00ED18F1">
      <w:pPr>
        <w:spacing w:after="240"/>
      </w:pPr>
      <w:r w:rsidRPr="009A0DC7">
        <w:t xml:space="preserve">Nel complesso, l'analisi coordinata degli strumenti nazionali e regionali consente di ricostruire l'assetto programmato del sistema della mobilità e di identificare </w:t>
      </w:r>
      <w:r w:rsidRPr="009A0DC7">
        <w:rPr>
          <w:b/>
          <w:bCs/>
        </w:rPr>
        <w:t>principali direttrici infrastrutturali, corridoi di lunga percorrenza, nodi logistici e intermodali, porti e interporti, poli del trasporto pubblico e aree prioritarie per la mobilità elettrica e alternativa</w:t>
      </w:r>
      <w:r w:rsidRPr="009A0DC7">
        <w:t>. Tali elementi costituiscono una componente del quadro conoscitivo da integrare con l'analisi dei flussi effettivi di persone e merci, della rete TEN-T e della domanda energetica associata ai trasporti.</w:t>
      </w:r>
    </w:p>
    <w:p w14:paraId="549E5AAA" w14:textId="62684E28" w:rsidR="001F5664" w:rsidRPr="00EA194C" w:rsidRDefault="001F5664" w:rsidP="00ED18F1">
      <w:pPr>
        <w:spacing w:after="240"/>
      </w:pPr>
      <w:r w:rsidRPr="001F5664">
        <w:t>La pianificazione nazionale e regionale consente pertanto di individuare le principali direttrici e i nodi sui quali concentrare l’attenzione. A tale quadro programmatorio si sovrappone il sistema di obblighi e requisiti introdotto a livello europeo per le infrastrutture dedicate ai combustibili alternativi, che condiziona direttamente la successiva valutazione delle possibili localizzazioni.</w:t>
      </w:r>
    </w:p>
    <w:p w14:paraId="58B8FB48" w14:textId="0957C2C1" w:rsidR="004A15A0" w:rsidRDefault="004A15A0" w:rsidP="00324810">
      <w:pPr>
        <w:pStyle w:val="Titolo2"/>
      </w:pPr>
      <w:bookmarkStart w:id="5" w:name="_Toc241161207"/>
      <w:r>
        <w:t xml:space="preserve">Quadro europeo relativo alle </w:t>
      </w:r>
      <w:r w:rsidRPr="00571598">
        <w:t>infrastrutture per combustibili alternativi;</w:t>
      </w:r>
      <w:bookmarkEnd w:id="5"/>
    </w:p>
    <w:p w14:paraId="254810A6" w14:textId="541CE6C4" w:rsidR="00325978" w:rsidRDefault="00325978" w:rsidP="00325978">
      <w:pPr>
        <w:rPr>
          <w:rFonts w:ascii="Times New Roman" w:hAnsi="Times New Roman" w:cs="Times New Roman"/>
        </w:rPr>
      </w:pPr>
      <w:r>
        <w:t xml:space="preserve">Il </w:t>
      </w:r>
      <w:r w:rsidRPr="00805B25">
        <w:rPr>
          <w:b/>
          <w:bCs/>
        </w:rPr>
        <w:t>Regolamento (UE) 2023/1804 (AFIR – Alternative Fuels Infrastructure Regulation)</w:t>
      </w:r>
      <w:r>
        <w:t xml:space="preserve"> definisce il quadro europeo per lo sviluppo di un’infrastruttura adeguata e omogenea per i combustibili alternativi, con particolare riferimento alla ricarica elettrica e al rifornimento di idrogeno nel settore dei trasporti. Il Regolamento stabilisce obiettivi nazionali obbligatori di diffusione delle infrastrutture, requisiti tecnici comuni e disposizioni relative all’accessibilità, ai sistemi di pagamento e alla disponibilità dei dati</w:t>
      </w:r>
      <w:r w:rsidR="006F439E">
        <w:t xml:space="preserve"> </w:t>
      </w:r>
      <w:sdt>
        <w:sdtPr>
          <w:id w:val="-1647496270"/>
          <w:citation/>
        </w:sdtPr>
        <w:sdtContent>
          <w:r w:rsidR="00B8462C">
            <w:fldChar w:fldCharType="begin"/>
          </w:r>
          <w:r w:rsidR="002C44BF">
            <w:instrText xml:space="preserve">CITATION Par231 \l 1040 </w:instrText>
          </w:r>
          <w:r w:rsidR="00B8462C">
            <w:fldChar w:fldCharType="separate"/>
          </w:r>
          <w:r w:rsidR="008D7904">
            <w:rPr>
              <w:noProof/>
            </w:rPr>
            <w:t>[16]</w:t>
          </w:r>
          <w:r w:rsidR="00B8462C">
            <w:fldChar w:fldCharType="end"/>
          </w:r>
        </w:sdtContent>
      </w:sdt>
      <w:r>
        <w:t>.</w:t>
      </w:r>
    </w:p>
    <w:p w14:paraId="763593BF" w14:textId="6CC0F6F3" w:rsidR="00325978" w:rsidRDefault="00325978" w:rsidP="00325978">
      <w:r>
        <w:lastRenderedPageBreak/>
        <w:t>Per la mobilità stradale, l’AFIR introduce prescrizioni puntuali di copertura della rete TEN-T, differenziate per tipologia di veicolo e infrastruttura.</w:t>
      </w:r>
      <w:r w:rsidR="00805B25">
        <w:t xml:space="preserve"> </w:t>
      </w:r>
      <w:r>
        <w:t xml:space="preserve">Per i veicoli elettrici leggeri, lungo la rete centrale TEN-T devono essere presenti, in ciascun senso di marcia, gruppi di stazioni di ricarica accessibili al pubblico a una distanza massima di 60 km. Entro il 31 dicembre 2025 ciascun gruppo deve garantire una potenza complessiva di almeno 400 kW, con almeno un punto di ricarica da 150 kW; </w:t>
      </w:r>
      <w:r w:rsidRPr="00805B25">
        <w:rPr>
          <w:b/>
          <w:bCs/>
        </w:rPr>
        <w:t>entro il 31 dicembre 2027 la potenza complessiva deve raggiungere almeno 600 kW, con almeno due punti da 150 kW</w:t>
      </w:r>
      <w:r>
        <w:t>. Per la rete globale TEN-T è previsto un progressivo adeguamento: almeno il 50% della rete entro il 2027 con gruppi da almeno 300 kW, l’intera rete entro il 2030 e il potenziamento a 600 kW entro il 2035.</w:t>
      </w:r>
    </w:p>
    <w:p w14:paraId="0071FB6E" w14:textId="77777777" w:rsidR="00325978" w:rsidRDefault="00325978" w:rsidP="00325978">
      <w:r>
        <w:t>Specifiche prescrizioni sono previste anche per i veicoli pesanti elettrici, per i quali l’AFIR stabilisce una progressiva copertura della rete TEN-T mediante infrastrutture ad alta potenza, affiancata dalla disponibilità di punti di ricarica nei nodi urbani e nelle aree di parcheggio sicure e protette. La pianificazione della rete deve pertanto considerare separatamente le esigenze della mobilità leggera e quelle del trasporto pesante e della logistica.</w:t>
      </w:r>
    </w:p>
    <w:p w14:paraId="2FC753F3" w14:textId="77777777" w:rsidR="00325978" w:rsidRDefault="00325978" w:rsidP="00325978">
      <w:r w:rsidRPr="00805B25">
        <w:rPr>
          <w:b/>
          <w:bCs/>
        </w:rPr>
        <w:t>Per l’idrogeno, entro il 31 dicembre 2030 devono essere installate lungo la rete centrale TEN-T stazioni di rifornimento accessibili al pubblico a una distanza massima di 200 km</w:t>
      </w:r>
      <w:r>
        <w:t xml:space="preserve">, con capacità cumulativa minima di 1 tonnellata di idrogeno al giorno e almeno un distributore a 700 bar. Entro la stessa data deve inoltre essere presente </w:t>
      </w:r>
      <w:r w:rsidRPr="00805B25">
        <w:rPr>
          <w:b/>
          <w:bCs/>
        </w:rPr>
        <w:t>almeno una stazione di rifornimento in ciascun nodo urbano</w:t>
      </w:r>
      <w:r>
        <w:t>. Per queste ultime il Regolamento richiede un’analisi finalizzata a determinarne la migliore localizzazione, considerando in particolare i nodi intermodali nei quali l’infrastruttura possa servire anche altre modalità di trasporto.</w:t>
      </w:r>
    </w:p>
    <w:p w14:paraId="0CEC5278" w14:textId="77777777" w:rsidR="00325978" w:rsidRDefault="00325978" w:rsidP="00325978">
      <w:r>
        <w:t>Trattandosi di un regolamento europeo, l’AFIR è direttamente applicabile e non richiede un recepimento regionale</w:t>
      </w:r>
      <w:r w:rsidRPr="00805B25">
        <w:rPr>
          <w:b/>
          <w:bCs/>
        </w:rPr>
        <w:t>. La sua attuazione è coordinata a livello nazionale attraverso il Quadro Strategico Nazionale, che definisce obiettivi, politiche e misure per lo sviluppo delle infrastrutture</w:t>
      </w:r>
      <w:r>
        <w:t>. Le autorità regionali assumono tuttavia un ruolo rilevante nella pianificazione territoriale e della mobilità e nell’individuazione delle localizzazioni coerenti con gli obiettivi stabiliti a livello europeo e nazionale.</w:t>
      </w:r>
    </w:p>
    <w:p w14:paraId="6124859E" w14:textId="77777777" w:rsidR="00325978" w:rsidRDefault="00325978" w:rsidP="00325978">
      <w:r>
        <w:t>Nel contesto del Friuli Venezia Giulia, le prescrizioni AFIR assumono particolare rilevanza per la presenza sul territorio regionale di corridoi e nodi della rete TEN-T e costituiscono pertanto un riferimento diretto per l’analisi localizzativa sviluppata nel presente studio. Distanze massime tra le infrastrutture, potenze minime, capacità di rifornimento, nodi urbani e intermodali e differenziazione tra mobilità leggera e pesante rappresentano parametri da integrare con l’analisi dei flussi di traffico, della domanda territoriale e delle caratteristiche del sistema energetico regionale.</w:t>
      </w:r>
    </w:p>
    <w:p w14:paraId="5126F38C" w14:textId="77777777" w:rsidR="00325978" w:rsidRDefault="00325978" w:rsidP="00325978">
      <w:r w:rsidRPr="00805B25">
        <w:t>L’applicazione dell’AFIR nello studio non si traduce quindi nella semplice verifica del rispetto delle distanze minime previste dal Regolamento, ma nella valutazione della capacità delle localizzazioni individuate di contribuire alla costruzione di una rete regionale coerente con gli standard europei e, al contempo, adeguata alla domanda effettiva e potenziale di mobilità.</w:t>
      </w:r>
    </w:p>
    <w:p w14:paraId="12CD54F4" w14:textId="152BC971" w:rsidR="001F5664" w:rsidRDefault="001F5664" w:rsidP="00325978">
      <w:r w:rsidRPr="001F5664">
        <w:t>Nel caso dell’idrogeno, le prescrizioni infrastrutturali europee devono essere inoltre lette alla luce dello stato di sviluppo della filiera nazionale e regionale. La successiva analisi approfondisce pertanto il ruolo attribuito all’idrogeno nella pianificazione italiana e le principali iniziative già avviate nel territorio del Friuli Venezia Giulia.</w:t>
      </w:r>
    </w:p>
    <w:p w14:paraId="4B8CD41E" w14:textId="74D0FD4F" w:rsidR="004A15A0" w:rsidRDefault="000C3178" w:rsidP="00324810">
      <w:pPr>
        <w:pStyle w:val="Titolo2"/>
      </w:pPr>
      <w:bookmarkStart w:id="6" w:name="_Toc241161208"/>
      <w:r>
        <w:t>L’idrogeno in Italia</w:t>
      </w:r>
      <w:bookmarkEnd w:id="6"/>
    </w:p>
    <w:p w14:paraId="3C622958" w14:textId="6DFDDBB8" w:rsidR="000C3178" w:rsidRPr="000C3178" w:rsidRDefault="000C3178" w:rsidP="000C3178">
      <w:pPr>
        <w:pStyle w:val="Paragrafo"/>
      </w:pPr>
      <w:r w:rsidRPr="000C3178">
        <w:t>Pianificazione nazionale in materia di idrogeno</w:t>
      </w:r>
    </w:p>
    <w:p w14:paraId="7EA9BC59" w14:textId="2CFEED67" w:rsidR="00BB59D1" w:rsidRPr="00BB59D1" w:rsidRDefault="00BB59D1" w:rsidP="00BB59D1">
      <w:pPr>
        <w:spacing w:before="0"/>
      </w:pPr>
      <w:r w:rsidRPr="00BB59D1">
        <w:t xml:space="preserve">La </w:t>
      </w:r>
      <w:r w:rsidRPr="00BB59D1">
        <w:rPr>
          <w:b/>
          <w:bCs/>
        </w:rPr>
        <w:t>Strategia Nazionale Idrogeno</w:t>
      </w:r>
      <w:r w:rsidRPr="00BB59D1">
        <w:t xml:space="preserve">, elaborata dal </w:t>
      </w:r>
      <w:r w:rsidRPr="00BB59D1">
        <w:rPr>
          <w:b/>
          <w:bCs/>
        </w:rPr>
        <w:t>Ministero dell’Ambiente e della Sicurezza Energetica (MASE)</w:t>
      </w:r>
      <w:r w:rsidRPr="00BB59D1">
        <w:t xml:space="preserve"> e presentata il 26 novembre 2024, definisce la visione italiana per lo sviluppo dell’idrogeno rinnovabile e a basse emissioni di carbonio, articolandola su orizzonti di breve, medio e </w:t>
      </w:r>
      <w:r w:rsidRPr="002E0A41">
        <w:rPr>
          <w:b/>
          <w:bCs/>
        </w:rPr>
        <w:t>lungo periodo fino al 2050</w:t>
      </w:r>
      <w:r w:rsidR="002C44BF">
        <w:t xml:space="preserve"> </w:t>
      </w:r>
      <w:sdt>
        <w:sdtPr>
          <w:id w:val="806825721"/>
          <w:citation/>
        </w:sdtPr>
        <w:sdtContent>
          <w:r w:rsidR="002C44BF">
            <w:fldChar w:fldCharType="begin"/>
          </w:r>
          <w:r w:rsidR="002C44BF">
            <w:instrText xml:space="preserve"> CITATION MAS24 \l 1040 </w:instrText>
          </w:r>
          <w:r w:rsidR="002C44BF">
            <w:fldChar w:fldCharType="separate"/>
          </w:r>
          <w:r w:rsidR="008D7904">
            <w:rPr>
              <w:noProof/>
            </w:rPr>
            <w:t>[17]</w:t>
          </w:r>
          <w:r w:rsidR="002C44BF">
            <w:fldChar w:fldCharType="end"/>
          </w:r>
        </w:sdtContent>
      </w:sdt>
      <w:r w:rsidRPr="00BB59D1">
        <w:t xml:space="preserve">. La Strategia si inserisce nel percorso delineato dal </w:t>
      </w:r>
      <w:r w:rsidRPr="00BB59D1">
        <w:rPr>
          <w:b/>
          <w:bCs/>
        </w:rPr>
        <w:t>PNIEC 2024</w:t>
      </w:r>
      <w:r w:rsidRPr="00BB59D1">
        <w:t xml:space="preserve"> e nel quadro delle politiche europee di decarbonizzazione, tra cui la RED III, REPowerEU e il pacchetto europeo per la decarbonizzazione dei mercati del gas e dell’idrogeno.</w:t>
      </w:r>
    </w:p>
    <w:p w14:paraId="50AB8D8E" w14:textId="77777777" w:rsidR="00BB59D1" w:rsidRPr="00BB59D1" w:rsidRDefault="00BB59D1" w:rsidP="00BB59D1">
      <w:r w:rsidRPr="00BB59D1">
        <w:t xml:space="preserve">Per il </w:t>
      </w:r>
      <w:r w:rsidRPr="00BB59D1">
        <w:rPr>
          <w:b/>
          <w:bCs/>
        </w:rPr>
        <w:t>settore dei trasporti</w:t>
      </w:r>
      <w:r w:rsidRPr="00BB59D1">
        <w:t xml:space="preserve">, la Strategia attribuisce all’idrogeno un ruolo selettivo, concentrato soprattutto nei comparti più difficili da elettrificare direttamente. Nel trasporto stradale leggero la soluzione full-electric è considerata più competitiva, mentre maggiori prospettive sono riconosciute al </w:t>
      </w:r>
      <w:r w:rsidRPr="00BB59D1">
        <w:rPr>
          <w:b/>
          <w:bCs/>
        </w:rPr>
        <w:t>trasporto pesante</w:t>
      </w:r>
      <w:r w:rsidRPr="00BB59D1">
        <w:t xml:space="preserve">, dove l’idrogeno può offrire autonomie elevate e tempi di rifornimento ridotti. La Strategia considera inoltre il possibile sviluppo dell’idrogeno nel </w:t>
      </w:r>
      <w:r w:rsidRPr="00BB59D1">
        <w:lastRenderedPageBreak/>
        <w:t>trasporto ferroviario, marittimo e, attraverso combustibili derivati, nell’aviazione.</w:t>
      </w:r>
    </w:p>
    <w:p w14:paraId="606257BA" w14:textId="77777777" w:rsidR="00BB59D1" w:rsidRPr="00BB59D1" w:rsidRDefault="00BB59D1" w:rsidP="00BB59D1">
      <w:r w:rsidRPr="00BB59D1">
        <w:t xml:space="preserve">Lo sviluppo della domanda stradale parte tuttavia da una situazione ancora embrionale: al 2023 la Strategia registrava appena </w:t>
      </w:r>
      <w:r w:rsidRPr="00BB59D1">
        <w:rPr>
          <w:b/>
          <w:bCs/>
        </w:rPr>
        <w:t>65 veicoli FCEV</w:t>
      </w:r>
      <w:r w:rsidRPr="00BB59D1">
        <w:t xml:space="preserve"> e </w:t>
      </w:r>
      <w:r w:rsidRPr="00BB59D1">
        <w:rPr>
          <w:b/>
          <w:bCs/>
        </w:rPr>
        <w:t>due stazioni di rifornimento operative</w:t>
      </w:r>
      <w:r w:rsidRPr="00BB59D1">
        <w:t xml:space="preserve"> in Italia. Per superare questo limite, il </w:t>
      </w:r>
      <w:r w:rsidRPr="00BB59D1">
        <w:rPr>
          <w:b/>
          <w:bCs/>
        </w:rPr>
        <w:t>PNRR</w:t>
      </w:r>
      <w:r w:rsidRPr="00BB59D1">
        <w:t xml:space="preserve"> ha introdotto uno specifico investimento per lo sviluppo delle infrastrutture di rifornimento a idrogeno, rivolto in particolare alle direttrici strategiche del trasporto pesante e a localizzazioni quali aree autostradali, poli logistici e porti.</w:t>
      </w:r>
    </w:p>
    <w:p w14:paraId="363C2165" w14:textId="284DEFBC" w:rsidR="00BB59D1" w:rsidRPr="00BB59D1" w:rsidRDefault="00BB59D1" w:rsidP="00BB59D1">
      <w:r w:rsidRPr="00BB59D1">
        <w:t xml:space="preserve">Nel 2025 </w:t>
      </w:r>
      <w:r w:rsidRPr="00BB59D1">
        <w:rPr>
          <w:b/>
          <w:bCs/>
        </w:rPr>
        <w:t>ARERA</w:t>
      </w:r>
      <w:r w:rsidRPr="00BB59D1">
        <w:t xml:space="preserve"> ha formalizzato il coordinamento delle attività propedeutiche alla regolazione della filiera dell’idrogeno e dei gas rinnovabili</w:t>
      </w:r>
      <w:r w:rsidR="00BB22F5">
        <w:t xml:space="preserve"> </w:t>
      </w:r>
      <w:sdt>
        <w:sdtPr>
          <w:id w:val="1121879833"/>
          <w:citation/>
        </w:sdtPr>
        <w:sdtContent>
          <w:r w:rsidR="00BB22F5">
            <w:fldChar w:fldCharType="begin"/>
          </w:r>
          <w:r w:rsidR="00BB22F5">
            <w:instrText xml:space="preserve"> CITATION ARE24 \l 1040 </w:instrText>
          </w:r>
          <w:r w:rsidR="00BB22F5">
            <w:fldChar w:fldCharType="separate"/>
          </w:r>
          <w:r w:rsidR="008D7904">
            <w:rPr>
              <w:noProof/>
            </w:rPr>
            <w:t>[18]</w:t>
          </w:r>
          <w:r w:rsidR="00BB22F5">
            <w:fldChar w:fldCharType="end"/>
          </w:r>
        </w:sdtContent>
      </w:sdt>
      <w:r w:rsidRPr="00BB59D1">
        <w:t xml:space="preserve">, anche in vista dell’attuazione della Direttiva (UE) 2024/1788, e partecipa ai lavori nazionali ed europei sulle infrastrutture, compreso il </w:t>
      </w:r>
      <w:r w:rsidRPr="00BB59D1">
        <w:rPr>
          <w:b/>
          <w:bCs/>
        </w:rPr>
        <w:t>Southern Hydrogen Corridor</w:t>
      </w:r>
      <w:r w:rsidR="00BB22F5">
        <w:rPr>
          <w:b/>
          <w:bCs/>
        </w:rPr>
        <w:t xml:space="preserve"> </w:t>
      </w:r>
      <w:sdt>
        <w:sdtPr>
          <w:rPr>
            <w:b/>
            <w:bCs/>
          </w:rPr>
          <w:id w:val="645782746"/>
          <w:citation/>
        </w:sdtPr>
        <w:sdtContent>
          <w:r w:rsidR="00BB22F5">
            <w:rPr>
              <w:b/>
              <w:bCs/>
            </w:rPr>
            <w:fldChar w:fldCharType="begin"/>
          </w:r>
          <w:r w:rsidR="00BB22F5">
            <w:rPr>
              <w:b/>
              <w:bCs/>
            </w:rPr>
            <w:instrText xml:space="preserve"> CITATION Sou06 \l 1040 </w:instrText>
          </w:r>
          <w:r w:rsidR="00BB22F5">
            <w:rPr>
              <w:b/>
              <w:bCs/>
            </w:rPr>
            <w:fldChar w:fldCharType="separate"/>
          </w:r>
          <w:r w:rsidR="008D7904">
            <w:rPr>
              <w:noProof/>
            </w:rPr>
            <w:t>[19]</w:t>
          </w:r>
          <w:r w:rsidR="00BB22F5">
            <w:rPr>
              <w:b/>
              <w:bCs/>
            </w:rPr>
            <w:fldChar w:fldCharType="end"/>
          </w:r>
        </w:sdtContent>
      </w:sdt>
      <w:r w:rsidRPr="00BB59D1">
        <w:t>.</w:t>
      </w:r>
    </w:p>
    <w:p w14:paraId="3BD9E06E" w14:textId="5E2C1F23" w:rsidR="00BB59D1" w:rsidRPr="00BB59D1" w:rsidRDefault="00BB59D1" w:rsidP="00BB59D1">
      <w:r w:rsidRPr="00BB59D1">
        <w:t xml:space="preserve">Nel </w:t>
      </w:r>
      <w:r w:rsidRPr="00BB59D1">
        <w:rPr>
          <w:b/>
          <w:bCs/>
        </w:rPr>
        <w:t>2026 il MASE ha ulteriormente rafforzato il sostegno alla filiera</w:t>
      </w:r>
      <w:r w:rsidRPr="00BB59D1">
        <w:t xml:space="preserve">, introducendo un meccanismo nazionale di incentivazione della produzione di idrogeno rinnovabile e bioidrogeno, con un limite di spesa fino a </w:t>
      </w:r>
      <w:r w:rsidRPr="00BB59D1">
        <w:rPr>
          <w:b/>
          <w:bCs/>
        </w:rPr>
        <w:t>400 milioni di euro l’anno</w:t>
      </w:r>
      <w:r w:rsidRPr="00BB59D1">
        <w:t xml:space="preserve"> e una capacità produttiva incentivabile fino a </w:t>
      </w:r>
      <w:r w:rsidRPr="00BB59D1">
        <w:rPr>
          <w:b/>
          <w:bCs/>
        </w:rPr>
        <w:t>200.000 tonnellate annue</w:t>
      </w:r>
      <w:r w:rsidR="00BB22F5">
        <w:rPr>
          <w:b/>
          <w:bCs/>
        </w:rPr>
        <w:t xml:space="preserve"> </w:t>
      </w:r>
      <w:sdt>
        <w:sdtPr>
          <w:rPr>
            <w:b/>
            <w:bCs/>
          </w:rPr>
          <w:id w:val="-151224670"/>
          <w:citation/>
        </w:sdtPr>
        <w:sdtContent>
          <w:r w:rsidR="00BB22F5">
            <w:rPr>
              <w:b/>
              <w:bCs/>
            </w:rPr>
            <w:fldChar w:fldCharType="begin"/>
          </w:r>
          <w:r w:rsidR="00BB22F5">
            <w:rPr>
              <w:b/>
              <w:bCs/>
            </w:rPr>
            <w:instrText xml:space="preserve"> CITATION htt \l 1040 </w:instrText>
          </w:r>
          <w:r w:rsidR="00BB22F5">
            <w:rPr>
              <w:b/>
              <w:bCs/>
            </w:rPr>
            <w:fldChar w:fldCharType="separate"/>
          </w:r>
          <w:r w:rsidR="008D7904">
            <w:rPr>
              <w:noProof/>
            </w:rPr>
            <w:t>[20]</w:t>
          </w:r>
          <w:r w:rsidR="00BB22F5">
            <w:rPr>
              <w:b/>
              <w:bCs/>
            </w:rPr>
            <w:fldChar w:fldCharType="end"/>
          </w:r>
        </w:sdtContent>
      </w:sdt>
      <w:r w:rsidRPr="00BB59D1">
        <w:t>. La misura è esplicitamente finalizzata a creare condizioni più stabili per gli investimenti e a sostenere, tra gli altri impieghi, la decarbonizzazione dei trasporti pesanti.</w:t>
      </w:r>
    </w:p>
    <w:p w14:paraId="3083B367" w14:textId="77777777" w:rsidR="00BB59D1" w:rsidRPr="00BB59D1" w:rsidRDefault="00BB59D1" w:rsidP="00BB59D1">
      <w:r w:rsidRPr="00BB59D1">
        <w:t xml:space="preserve">In questo contesto emerge la necessità di </w:t>
      </w:r>
      <w:r w:rsidRPr="00BB59D1">
        <w:rPr>
          <w:b/>
          <w:bCs/>
        </w:rPr>
        <w:t>sviluppare in parallelo infrastrutture e domanda</w:t>
      </w:r>
      <w:r w:rsidRPr="00BB59D1">
        <w:t xml:space="preserve">: la limitata disponibilità di punti di rifornimento riduce l’attrattività dei veicoli a idrogeno, mentre una flotta insufficiente rende più difficile sostenere economicamente nuovi impianti. </w:t>
      </w:r>
      <w:r w:rsidRPr="002E0A41">
        <w:rPr>
          <w:b/>
          <w:bCs/>
        </w:rPr>
        <w:t>L’avvio di progetti infrastrutturali e dimostrativi può contribuire a interrompere questo circolo, creando una domanda iniziale, riducendo il rischio degli investimenti e favorendo progressivamente l’ingresso di nuovi veicoli e nuove infrastrutture.</w:t>
      </w:r>
    </w:p>
    <w:p w14:paraId="0769046A" w14:textId="66FABE44" w:rsidR="000C3178" w:rsidRDefault="000C3178" w:rsidP="000C3178">
      <w:pPr>
        <w:pStyle w:val="Paragrafo"/>
      </w:pPr>
      <w:r>
        <w:t>Progetti</w:t>
      </w:r>
      <w:r w:rsidRPr="00571598">
        <w:t xml:space="preserve"> nazionali e regionali per la produzione e l’impiego dell’idrogeno “verde” nel settore dei trasporti</w:t>
      </w:r>
    </w:p>
    <w:p w14:paraId="01293790" w14:textId="40D95F76" w:rsidR="00EE6A92" w:rsidRPr="00EE6A92" w:rsidRDefault="00EE6A92" w:rsidP="00EE6A92">
      <w:pPr>
        <w:spacing w:before="0"/>
      </w:pPr>
      <w:r w:rsidRPr="00EE6A92">
        <w:t xml:space="preserve">A livello nazionale, lo sviluppo dell’idrogeno nel trasporto stradale è stato sostenuto dal </w:t>
      </w:r>
      <w:r w:rsidRPr="00EE6A92">
        <w:rPr>
          <w:b/>
          <w:bCs/>
        </w:rPr>
        <w:t>PNRR – Missione 2, Componente 2, Investimento 3.3 “Sperimentazione dell’idrogeno per il trasporto stradale”</w:t>
      </w:r>
      <w:r w:rsidRPr="00EE6A92">
        <w:t>, finalizzato alla realizzazione di stazioni di rifornimento di idrogeno rinnovabile lungo direttrici strategiche per il trasporto, con particolare attenzione al traffico pesante</w:t>
      </w:r>
      <w:r w:rsidR="001A1B2F">
        <w:t xml:space="preserve"> </w:t>
      </w:r>
      <w:sdt>
        <w:sdtPr>
          <w:id w:val="-946080305"/>
          <w:citation/>
        </w:sdtPr>
        <w:sdtContent>
          <w:r w:rsidR="001A1B2F">
            <w:fldChar w:fldCharType="begin"/>
          </w:r>
          <w:r w:rsidR="001A1B2F">
            <w:instrText xml:space="preserve"> CITATION MAS22 \l 1040 </w:instrText>
          </w:r>
          <w:r w:rsidR="001A1B2F">
            <w:fldChar w:fldCharType="separate"/>
          </w:r>
          <w:r w:rsidR="008D7904">
            <w:rPr>
              <w:noProof/>
            </w:rPr>
            <w:t>[21]</w:t>
          </w:r>
          <w:r w:rsidR="001A1B2F">
            <w:fldChar w:fldCharType="end"/>
          </w:r>
        </w:sdtContent>
      </w:sdt>
      <w:r w:rsidRPr="00EE6A92">
        <w:t xml:space="preserve">. Il </w:t>
      </w:r>
      <w:r w:rsidRPr="00EE6A92">
        <w:rPr>
          <w:b/>
          <w:bCs/>
        </w:rPr>
        <w:t>D.M. 199/2022</w:t>
      </w:r>
      <w:r w:rsidRPr="00EE6A92">
        <w:t xml:space="preserve"> ha destinato alla misura 230 milioni di euro, prevedendo inizialmente la realizzazione di almeno 40 stazioni di rifornimento</w:t>
      </w:r>
      <w:r w:rsidR="0086599C">
        <w:t xml:space="preserve"> </w:t>
      </w:r>
      <w:sdt>
        <w:sdtPr>
          <w:id w:val="-190075833"/>
          <w:citation/>
        </w:sdtPr>
        <w:sdtContent>
          <w:r w:rsidR="0086599C">
            <w:fldChar w:fldCharType="begin"/>
          </w:r>
          <w:r w:rsidR="0086599C">
            <w:instrText xml:space="preserve"> CITATION MIT22 \l 1040 </w:instrText>
          </w:r>
          <w:r w:rsidR="0086599C">
            <w:fldChar w:fldCharType="separate"/>
          </w:r>
          <w:r w:rsidR="008D7904">
            <w:rPr>
              <w:noProof/>
            </w:rPr>
            <w:t>[22]</w:t>
          </w:r>
          <w:r w:rsidR="0086599C">
            <w:fldChar w:fldCharType="end"/>
          </w:r>
        </w:sdtContent>
      </w:sdt>
      <w:r w:rsidRPr="00EE6A92">
        <w:t>.</w:t>
      </w:r>
    </w:p>
    <w:p w14:paraId="25455273" w14:textId="2B2629BC" w:rsidR="00EE6A92" w:rsidRPr="00EE6A92" w:rsidRDefault="00EE6A92" w:rsidP="00EE6A92">
      <w:r w:rsidRPr="00EE6A92">
        <w:t xml:space="preserve">L’attuazione della misura ha portato alla selezione di </w:t>
      </w:r>
      <w:r w:rsidRPr="00EE6A92">
        <w:rPr>
          <w:b/>
          <w:bCs/>
        </w:rPr>
        <w:t>36 progetti di stazioni di rifornimento</w:t>
      </w:r>
      <w:r w:rsidRPr="00EE6A92">
        <w:t>, ammessi a finanziamento per circa 103,5 milioni di euro. Le localizzazioni interessano prevalentemente aree funzionali alla mobilità a medio-lungo raggio, evidenziando il ruolo delle infrastrutture di rifornimento come elemento necessario per sostenere la progressiva diffusione dei veicoli alimentati a idrogeno</w:t>
      </w:r>
      <w:r w:rsidR="0086599C">
        <w:t xml:space="preserve"> </w:t>
      </w:r>
      <w:sdt>
        <w:sdtPr>
          <w:id w:val="-1715039091"/>
          <w:citation/>
        </w:sdtPr>
        <w:sdtContent>
          <w:r w:rsidR="0086599C">
            <w:fldChar w:fldCharType="begin"/>
          </w:r>
          <w:r w:rsidR="0086599C">
            <w:instrText xml:space="preserve"> CITATION MIT23 \l 1040 </w:instrText>
          </w:r>
          <w:r w:rsidR="0086599C">
            <w:fldChar w:fldCharType="separate"/>
          </w:r>
          <w:r w:rsidR="008D7904">
            <w:rPr>
              <w:noProof/>
            </w:rPr>
            <w:t>[23]</w:t>
          </w:r>
          <w:r w:rsidR="0086599C">
            <w:fldChar w:fldCharType="end"/>
          </w:r>
        </w:sdtContent>
      </w:sdt>
      <w:r w:rsidRPr="00EE6A92">
        <w:t>.</w:t>
      </w:r>
    </w:p>
    <w:p w14:paraId="1FB190E1" w14:textId="67129125" w:rsidR="00EE6A92" w:rsidRDefault="00EE6A92" w:rsidP="000C3178">
      <w:r w:rsidRPr="00EE6A92">
        <w:t xml:space="preserve">Nel contesto del Friuli Venezia Giulia, un riferimento strategico è rappresentato dalla </w:t>
      </w:r>
      <w:r w:rsidRPr="00EE6A92">
        <w:rPr>
          <w:b/>
          <w:bCs/>
        </w:rPr>
        <w:t>North Adriatic Hydrogen Valley (NAHV)</w:t>
      </w:r>
      <w:r w:rsidRPr="00EE6A92">
        <w:t xml:space="preserve">, </w:t>
      </w:r>
      <w:r w:rsidRPr="001D356A">
        <w:t>progetto transnazionale che coinvolge Friuli Venezia Giulia, Slovenia e Croazia e mira alla creazione di un ecosistema integrato dell’idrogeno, mettendo in relazione produzione, distribuzione e utilizzi finali nei settori dell’energia, dell’industria e dei trasporti. Il progetto comprende specifici testbed dimostrativi attraverso i quali sperimentare applicazioni dell’idrogeno in condizioni operative reali</w:t>
      </w:r>
      <w:r w:rsidR="001A1B2F" w:rsidRPr="001D356A">
        <w:t xml:space="preserve"> </w:t>
      </w:r>
      <w:sdt>
        <w:sdtPr>
          <w:id w:val="1566915043"/>
          <w:citation/>
        </w:sdtPr>
        <w:sdtContent>
          <w:r w:rsidR="001A1B2F" w:rsidRPr="001D356A">
            <w:fldChar w:fldCharType="begin"/>
          </w:r>
          <w:r w:rsidR="001A1B2F" w:rsidRPr="001D356A">
            <w:instrText xml:space="preserve"> CITATION NAH \l 1040 </w:instrText>
          </w:r>
          <w:r w:rsidR="001A1B2F" w:rsidRPr="001D356A">
            <w:fldChar w:fldCharType="separate"/>
          </w:r>
          <w:r w:rsidR="008D7904" w:rsidRPr="001D356A">
            <w:rPr>
              <w:noProof/>
            </w:rPr>
            <w:t>[24]</w:t>
          </w:r>
          <w:r w:rsidR="001A1B2F" w:rsidRPr="001D356A">
            <w:fldChar w:fldCharType="end"/>
          </w:r>
        </w:sdtContent>
      </w:sdt>
      <w:r w:rsidRPr="001D356A">
        <w:t>.</w:t>
      </w:r>
      <w:r w:rsidR="00F44060">
        <w:t xml:space="preserve"> </w:t>
      </w:r>
    </w:p>
    <w:p w14:paraId="35F5F310" w14:textId="5DA0F257" w:rsidR="000C3178" w:rsidRPr="000B42A3" w:rsidRDefault="000C3178" w:rsidP="000C3178">
      <w:pPr>
        <w:pStyle w:val="Paragrafo"/>
        <w:rPr>
          <w:lang w:val="en-US"/>
        </w:rPr>
      </w:pPr>
      <w:r w:rsidRPr="000B42A3">
        <w:rPr>
          <w:lang w:val="en-US"/>
        </w:rPr>
        <w:t>North Adriatic Hydrogen Valley (NAHV)</w:t>
      </w:r>
    </w:p>
    <w:p w14:paraId="4AD1A0D0" w14:textId="6483A851" w:rsidR="006E2059" w:rsidRPr="006E2059" w:rsidRDefault="006E2059" w:rsidP="001D356A">
      <w:pPr>
        <w:spacing w:before="0"/>
      </w:pPr>
      <w:r w:rsidRPr="006E2059">
        <w:t xml:space="preserve">La </w:t>
      </w:r>
      <w:r w:rsidRPr="006E2059">
        <w:rPr>
          <w:b/>
          <w:bCs/>
        </w:rPr>
        <w:t>North Adriatic Hydrogen Valley (NAHV)</w:t>
      </w:r>
      <w:r w:rsidRPr="006E2059">
        <w:t xml:space="preserve"> </w:t>
      </w:r>
      <w:r w:rsidR="001D356A">
        <w:t xml:space="preserve"> è stata</w:t>
      </w:r>
      <w:r w:rsidRPr="006E2059">
        <w:t xml:space="preserve"> sviluppata nell’ambito di Horizon Europe. Il concetto di “Hydrogen Valley” indica infatti un ecosistema territoriale nel quale le diverse fasi della filiera dell’idrogeno vengono sviluppate in maniera coordinata, collegando produzione e infrastrutture agli utilizzatori finali nei settori industriale, energetico e dei trasporti </w:t>
      </w:r>
      <w:sdt>
        <w:sdtPr>
          <w:id w:val="605245114"/>
          <w:citation/>
        </w:sdtPr>
        <w:sdtContent>
          <w:r w:rsidR="00D11A40">
            <w:fldChar w:fldCharType="begin"/>
          </w:r>
          <w:r w:rsidR="00D11A40">
            <w:instrText xml:space="preserve"> CITATION NAH \l 1040 </w:instrText>
          </w:r>
          <w:r w:rsidR="00D11A40">
            <w:fldChar w:fldCharType="separate"/>
          </w:r>
          <w:r w:rsidR="008D7904">
            <w:rPr>
              <w:noProof/>
            </w:rPr>
            <w:t>[24]</w:t>
          </w:r>
          <w:r w:rsidR="00D11A40">
            <w:fldChar w:fldCharType="end"/>
          </w:r>
        </w:sdtContent>
      </w:sdt>
      <w:r w:rsidR="00D11A40">
        <w:t>.</w:t>
      </w:r>
      <w:r w:rsidR="001D356A">
        <w:t xml:space="preserve"> </w:t>
      </w:r>
      <w:r w:rsidRPr="006E2059">
        <w:t xml:space="preserve">L'obiettivo non è quindi soltanto produrre idrogeno, ma </w:t>
      </w:r>
      <w:r w:rsidRPr="006E2059">
        <w:rPr>
          <w:b/>
          <w:bCs/>
        </w:rPr>
        <w:t>creare contemporaneamente domanda, offerta e infrastrutture</w:t>
      </w:r>
      <w:r w:rsidRPr="006E2059">
        <w:t xml:space="preserve">, dimostrando su scala territoriale la possibilità di costruire una filiera economicamente e tecnicamente funzionante. Il progetto punta a sviluppare una capacità produttiva superiore a </w:t>
      </w:r>
      <w:r w:rsidRPr="006E2059">
        <w:rPr>
          <w:b/>
          <w:bCs/>
        </w:rPr>
        <w:t>5.000 tonnellate di idrogeno rinnovabile all’anno</w:t>
      </w:r>
      <w:r w:rsidRPr="006E2059">
        <w:t>, con una quota superiore al 20% destinata a essere scambiata all’interno dell’area NAHV.</w:t>
      </w:r>
    </w:p>
    <w:p w14:paraId="1F3BE070" w14:textId="4B62D5B5" w:rsidR="006E2059" w:rsidRPr="006E2059" w:rsidRDefault="00EE6A92" w:rsidP="006E2059">
      <w:r>
        <w:t>L</w:t>
      </w:r>
      <w:r w:rsidR="006E2059" w:rsidRPr="006E2059">
        <w:t xml:space="preserve">a NAHV costituisce uno </w:t>
      </w:r>
      <w:r w:rsidR="006E2059" w:rsidRPr="006E2059">
        <w:rPr>
          <w:b/>
          <w:bCs/>
        </w:rPr>
        <w:t>strumento operativo di attuazione degli obiettivi europei di decarbonizzazione e sviluppo dell’idrogeno</w:t>
      </w:r>
      <w:r w:rsidR="006E2059" w:rsidRPr="006E2059">
        <w:t>. La stessa origine istituzionale del progetto è esplicitamente collegata agli obiettivi dell’</w:t>
      </w:r>
      <w:r w:rsidR="006E2059" w:rsidRPr="006E2059">
        <w:rPr>
          <w:b/>
          <w:bCs/>
        </w:rPr>
        <w:t>European Green Deal</w:t>
      </w:r>
      <w:r w:rsidR="006E2059" w:rsidRPr="006E2059">
        <w:t xml:space="preserve"> e della </w:t>
      </w:r>
      <w:r w:rsidR="006E2059" w:rsidRPr="006E2059">
        <w:rPr>
          <w:b/>
          <w:bCs/>
        </w:rPr>
        <w:t>European Hydrogen Strategy</w:t>
      </w:r>
      <w:r w:rsidR="006E2059" w:rsidRPr="006E2059">
        <w:t xml:space="preserve">. Il progetto dichiara inoltre di contribuire agli obiettivi di </w:t>
      </w:r>
      <w:r w:rsidR="006E2059" w:rsidRPr="006E2059">
        <w:rPr>
          <w:b/>
          <w:bCs/>
        </w:rPr>
        <w:t>REPowerEU</w:t>
      </w:r>
      <w:r w:rsidR="006E2059" w:rsidRPr="006E2059">
        <w:t xml:space="preserve">, in particolare allo sviluppo della produzione e dell'impiego dell'idrogeno rinnovabile nell'UE. </w:t>
      </w:r>
    </w:p>
    <w:p w14:paraId="571DF364" w14:textId="77777777" w:rsidR="006E2059" w:rsidRPr="006E2059" w:rsidRDefault="006E2059" w:rsidP="006E2059">
      <w:r w:rsidRPr="006E2059">
        <w:lastRenderedPageBreak/>
        <w:t xml:space="preserve">La collocazione geografica è rilevante anche in prospettiva infrastrutturale: Friuli Venezia Giulia, Slovenia e Croazia sono considerate nell'ambito dello </w:t>
      </w:r>
      <w:r w:rsidRPr="006E2059">
        <w:rPr>
          <w:b/>
          <w:bCs/>
        </w:rPr>
        <w:t>European Hydrogen Backbone</w:t>
      </w:r>
      <w:r w:rsidRPr="006E2059">
        <w:t xml:space="preserve"> come parte dei futuri corridoi paneuropei di approvvigionamento e importazione dell’idrogeno, destinati a collegare cluster industriali, porti, Hydrogen Valley e aree di produzione.</w:t>
      </w:r>
    </w:p>
    <w:p w14:paraId="69A4E98E" w14:textId="1DF4E2DA" w:rsidR="000C3178" w:rsidRDefault="006E2059" w:rsidP="000C3178">
      <w:r w:rsidRPr="006E2059">
        <w:t xml:space="preserve">Il Friuli Venezia Giulia partecipa direttamente attraverso la </w:t>
      </w:r>
      <w:r w:rsidRPr="006E2059">
        <w:rPr>
          <w:b/>
          <w:bCs/>
        </w:rPr>
        <w:t>Regione Autonoma FVG</w:t>
      </w:r>
      <w:r w:rsidRPr="006E2059">
        <w:t xml:space="preserve"> e diversi soggetti industriali, scientifici e del trasporto pubblico. Tra questi figurano, ad esempio, Area Science Park, ABS/Danieli, SNAM, Ferriere Nord, Acegas, Faber Industrie, CTS H2 e TPL FVG con le società collegate.</w:t>
      </w:r>
    </w:p>
    <w:p w14:paraId="24563216" w14:textId="572522B5" w:rsidR="006E2059" w:rsidRDefault="006E2059" w:rsidP="000C3178">
      <w:r w:rsidRPr="006E2059">
        <w:t xml:space="preserve">Il cuore operativo della NAHV è costituito da </w:t>
      </w:r>
      <w:r w:rsidRPr="006E2059">
        <w:rPr>
          <w:b/>
          <w:bCs/>
        </w:rPr>
        <w:t>17 progetti dimostrativi/testbed</w:t>
      </w:r>
      <w:r w:rsidRPr="006E2059">
        <w:t xml:space="preserve">, distribuiti nei tre territori e raggruppati principalmente in tre ambiti: </w:t>
      </w:r>
      <w:r w:rsidRPr="006E2059">
        <w:rPr>
          <w:b/>
          <w:bCs/>
        </w:rPr>
        <w:t>industrie hard-to-abate, energia e trasporti</w:t>
      </w:r>
      <w:r w:rsidR="00D11A40">
        <w:rPr>
          <w:b/>
          <w:bCs/>
        </w:rPr>
        <w:t xml:space="preserve"> </w:t>
      </w:r>
      <w:sdt>
        <w:sdtPr>
          <w:rPr>
            <w:b/>
            <w:bCs/>
          </w:rPr>
          <w:id w:val="-1301761586"/>
          <w:citation/>
        </w:sdtPr>
        <w:sdtContent>
          <w:r w:rsidR="00D11A40">
            <w:rPr>
              <w:b/>
              <w:bCs/>
            </w:rPr>
            <w:fldChar w:fldCharType="begin"/>
          </w:r>
          <w:r w:rsidR="00D11A40">
            <w:rPr>
              <w:b/>
              <w:bCs/>
            </w:rPr>
            <w:instrText xml:space="preserve"> CITATION NAH25 \l 1040 </w:instrText>
          </w:r>
          <w:r w:rsidR="00D11A40">
            <w:rPr>
              <w:b/>
              <w:bCs/>
            </w:rPr>
            <w:fldChar w:fldCharType="separate"/>
          </w:r>
          <w:r w:rsidR="008D7904">
            <w:rPr>
              <w:noProof/>
            </w:rPr>
            <w:t>[25]</w:t>
          </w:r>
          <w:r w:rsidR="00D11A40">
            <w:rPr>
              <w:b/>
              <w:bCs/>
            </w:rPr>
            <w:fldChar w:fldCharType="end"/>
          </w:r>
        </w:sdtContent>
      </w:sdt>
      <w:r w:rsidRPr="006E2059">
        <w:t>.</w:t>
      </w:r>
    </w:p>
    <w:p w14:paraId="74F3A7DE" w14:textId="00345A23" w:rsidR="002E563D" w:rsidRDefault="006E2059" w:rsidP="002E563D">
      <w:pPr>
        <w:spacing w:after="240"/>
      </w:pPr>
      <w:r w:rsidRPr="006E2059">
        <w:t>I testbed coprono praticamente l’intera catena del valore:</w:t>
      </w:r>
    </w:p>
    <w:tbl>
      <w:tblPr>
        <w:tblStyle w:val="Tabellagriglia1chiara-colore4"/>
        <w:tblW w:w="0" w:type="auto"/>
        <w:tblLook w:val="04A0" w:firstRow="1" w:lastRow="0" w:firstColumn="1" w:lastColumn="0" w:noHBand="0" w:noVBand="1"/>
      </w:tblPr>
      <w:tblGrid>
        <w:gridCol w:w="1577"/>
        <w:gridCol w:w="8051"/>
      </w:tblGrid>
      <w:tr w:rsidR="006E2059" w:rsidRPr="006E2059" w14:paraId="788ECA93" w14:textId="77777777" w:rsidTr="00F0387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F77563" w14:textId="77777777" w:rsidR="006E2059" w:rsidRPr="006E2059" w:rsidRDefault="006E2059" w:rsidP="00F03874">
            <w:pPr>
              <w:spacing w:before="0"/>
              <w:jc w:val="left"/>
              <w:rPr>
                <w:sz w:val="18"/>
                <w:szCs w:val="18"/>
              </w:rPr>
            </w:pPr>
            <w:r w:rsidRPr="006E2059">
              <w:rPr>
                <w:sz w:val="18"/>
                <w:szCs w:val="18"/>
              </w:rPr>
              <w:t>Ambito</w:t>
            </w:r>
          </w:p>
        </w:tc>
        <w:tc>
          <w:tcPr>
            <w:tcW w:w="0" w:type="auto"/>
            <w:vAlign w:val="center"/>
            <w:hideMark/>
          </w:tcPr>
          <w:p w14:paraId="195F500D" w14:textId="77777777" w:rsidR="006E2059" w:rsidRPr="006E2059" w:rsidRDefault="006E2059" w:rsidP="00F03874">
            <w:pPr>
              <w:spacing w:before="0"/>
              <w:jc w:val="left"/>
              <w:cnfStyle w:val="100000000000" w:firstRow="1" w:lastRow="0" w:firstColumn="0" w:lastColumn="0" w:oddVBand="0" w:evenVBand="0" w:oddHBand="0" w:evenHBand="0" w:firstRowFirstColumn="0" w:firstRowLastColumn="0" w:lastRowFirstColumn="0" w:lastRowLastColumn="0"/>
              <w:rPr>
                <w:sz w:val="18"/>
                <w:szCs w:val="18"/>
              </w:rPr>
            </w:pPr>
            <w:r w:rsidRPr="006E2059">
              <w:rPr>
                <w:sz w:val="18"/>
                <w:szCs w:val="18"/>
              </w:rPr>
              <w:t>Tipologia di interventi NAHV</w:t>
            </w:r>
          </w:p>
        </w:tc>
      </w:tr>
      <w:tr w:rsidR="006E2059" w:rsidRPr="006E2059" w14:paraId="4072997E" w14:textId="77777777" w:rsidTr="00F03874">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FE7106" w14:textId="77777777" w:rsidR="006E2059" w:rsidRPr="006E2059" w:rsidRDefault="006E2059" w:rsidP="00F03874">
            <w:pPr>
              <w:spacing w:before="0"/>
              <w:jc w:val="left"/>
              <w:rPr>
                <w:sz w:val="18"/>
                <w:szCs w:val="18"/>
              </w:rPr>
            </w:pPr>
            <w:r w:rsidRPr="006E2059">
              <w:rPr>
                <w:sz w:val="18"/>
                <w:szCs w:val="18"/>
              </w:rPr>
              <w:t>Produzione H₂</w:t>
            </w:r>
          </w:p>
        </w:tc>
        <w:tc>
          <w:tcPr>
            <w:tcW w:w="0" w:type="auto"/>
            <w:vAlign w:val="center"/>
            <w:hideMark/>
          </w:tcPr>
          <w:p w14:paraId="7442C453" w14:textId="77777777" w:rsidR="006E2059" w:rsidRPr="006E2059" w:rsidRDefault="006E2059"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6E2059">
              <w:rPr>
                <w:sz w:val="18"/>
                <w:szCs w:val="18"/>
              </w:rPr>
              <w:t>Produzione di idrogeno rinnovabile e sviluppo di processi alternativi di produzione</w:t>
            </w:r>
          </w:p>
        </w:tc>
      </w:tr>
      <w:tr w:rsidR="006E2059" w:rsidRPr="006E2059" w14:paraId="6225EFC2" w14:textId="77777777" w:rsidTr="00F03874">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773BA3" w14:textId="77777777" w:rsidR="006E2059" w:rsidRPr="006E2059" w:rsidRDefault="006E2059" w:rsidP="00F03874">
            <w:pPr>
              <w:spacing w:before="0"/>
              <w:jc w:val="left"/>
              <w:rPr>
                <w:sz w:val="18"/>
                <w:szCs w:val="18"/>
              </w:rPr>
            </w:pPr>
            <w:r w:rsidRPr="006E2059">
              <w:rPr>
                <w:sz w:val="18"/>
                <w:szCs w:val="18"/>
              </w:rPr>
              <w:t>Industria</w:t>
            </w:r>
          </w:p>
        </w:tc>
        <w:tc>
          <w:tcPr>
            <w:tcW w:w="0" w:type="auto"/>
            <w:vAlign w:val="center"/>
            <w:hideMark/>
          </w:tcPr>
          <w:p w14:paraId="04378CEC" w14:textId="77777777" w:rsidR="006E2059" w:rsidRPr="006E2059" w:rsidRDefault="006E2059"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6E2059">
              <w:rPr>
                <w:sz w:val="18"/>
                <w:szCs w:val="18"/>
              </w:rPr>
              <w:t>Sostituzione totale o parziale del gas naturale con H₂ in acciaierie, cementifici, vetrerie, laterizi e altri processi hard-to-abate</w:t>
            </w:r>
          </w:p>
        </w:tc>
      </w:tr>
      <w:tr w:rsidR="006E2059" w:rsidRPr="006E2059" w14:paraId="5DE1B48C" w14:textId="77777777" w:rsidTr="00F03874">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6BBDE4" w14:textId="77777777" w:rsidR="006E2059" w:rsidRPr="006E2059" w:rsidRDefault="006E2059" w:rsidP="00F03874">
            <w:pPr>
              <w:spacing w:before="0"/>
              <w:jc w:val="left"/>
              <w:rPr>
                <w:sz w:val="18"/>
                <w:szCs w:val="18"/>
              </w:rPr>
            </w:pPr>
            <w:r w:rsidRPr="006E2059">
              <w:rPr>
                <w:sz w:val="18"/>
                <w:szCs w:val="18"/>
              </w:rPr>
              <w:t>Infrastrutture</w:t>
            </w:r>
          </w:p>
        </w:tc>
        <w:tc>
          <w:tcPr>
            <w:tcW w:w="0" w:type="auto"/>
            <w:vAlign w:val="center"/>
            <w:hideMark/>
          </w:tcPr>
          <w:p w14:paraId="1460BA8F" w14:textId="77777777" w:rsidR="006E2059" w:rsidRPr="006E2059" w:rsidRDefault="006E2059"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6E2059">
              <w:rPr>
                <w:sz w:val="18"/>
                <w:szCs w:val="18"/>
              </w:rPr>
              <w:t>Verifica delle reti gas per il trasporto di miscele contenenti idrogeno, compressione e distribuzione</w:t>
            </w:r>
          </w:p>
        </w:tc>
      </w:tr>
      <w:tr w:rsidR="006E2059" w:rsidRPr="006E2059" w14:paraId="301297C6" w14:textId="77777777" w:rsidTr="00F03874">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D84C55" w14:textId="77777777" w:rsidR="006E2059" w:rsidRPr="006E2059" w:rsidRDefault="006E2059" w:rsidP="00F03874">
            <w:pPr>
              <w:spacing w:before="0"/>
              <w:jc w:val="left"/>
              <w:rPr>
                <w:sz w:val="18"/>
                <w:szCs w:val="18"/>
              </w:rPr>
            </w:pPr>
            <w:r w:rsidRPr="006E2059">
              <w:rPr>
                <w:sz w:val="18"/>
                <w:szCs w:val="18"/>
              </w:rPr>
              <w:t>Stoccaggio</w:t>
            </w:r>
          </w:p>
        </w:tc>
        <w:tc>
          <w:tcPr>
            <w:tcW w:w="0" w:type="auto"/>
            <w:vAlign w:val="center"/>
            <w:hideMark/>
          </w:tcPr>
          <w:p w14:paraId="22F51AD1" w14:textId="77777777" w:rsidR="006E2059" w:rsidRPr="006E2059" w:rsidRDefault="006E2059"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6E2059">
              <w:rPr>
                <w:sz w:val="18"/>
                <w:szCs w:val="18"/>
              </w:rPr>
              <w:t>Sviluppo di sistemi dedicati allo stoccaggio e alla distribuzione dell’idrogeno</w:t>
            </w:r>
          </w:p>
        </w:tc>
      </w:tr>
      <w:tr w:rsidR="006E2059" w:rsidRPr="006E2059" w14:paraId="027E6036" w14:textId="77777777" w:rsidTr="00F03874">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554438" w14:textId="77777777" w:rsidR="006E2059" w:rsidRPr="006E2059" w:rsidRDefault="006E2059" w:rsidP="00F03874">
            <w:pPr>
              <w:spacing w:before="0"/>
              <w:jc w:val="left"/>
              <w:rPr>
                <w:sz w:val="18"/>
                <w:szCs w:val="18"/>
              </w:rPr>
            </w:pPr>
            <w:r w:rsidRPr="006E2059">
              <w:rPr>
                <w:sz w:val="18"/>
                <w:szCs w:val="18"/>
              </w:rPr>
              <w:t>Energia</w:t>
            </w:r>
          </w:p>
        </w:tc>
        <w:tc>
          <w:tcPr>
            <w:tcW w:w="0" w:type="auto"/>
            <w:vAlign w:val="center"/>
            <w:hideMark/>
          </w:tcPr>
          <w:p w14:paraId="66270882" w14:textId="77777777" w:rsidR="006E2059" w:rsidRPr="006E2059" w:rsidRDefault="006E2059"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6E2059">
              <w:rPr>
                <w:sz w:val="18"/>
                <w:szCs w:val="18"/>
              </w:rPr>
              <w:t>Fuel cell, microgrid, accumulo energetico e integrazione con produzione rinnovabile</w:t>
            </w:r>
          </w:p>
        </w:tc>
      </w:tr>
      <w:tr w:rsidR="006E2059" w:rsidRPr="006E2059" w14:paraId="2E2BBB09" w14:textId="77777777" w:rsidTr="00F03874">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3DAA32" w14:textId="77777777" w:rsidR="006E2059" w:rsidRPr="006E2059" w:rsidRDefault="006E2059" w:rsidP="00F03874">
            <w:pPr>
              <w:spacing w:before="0"/>
              <w:jc w:val="left"/>
              <w:rPr>
                <w:sz w:val="18"/>
                <w:szCs w:val="18"/>
              </w:rPr>
            </w:pPr>
            <w:r w:rsidRPr="006E2059">
              <w:rPr>
                <w:sz w:val="18"/>
                <w:szCs w:val="18"/>
              </w:rPr>
              <w:t>Mobilità stradale</w:t>
            </w:r>
          </w:p>
        </w:tc>
        <w:tc>
          <w:tcPr>
            <w:tcW w:w="0" w:type="auto"/>
            <w:vAlign w:val="center"/>
            <w:hideMark/>
          </w:tcPr>
          <w:p w14:paraId="69B70AF1" w14:textId="77777777" w:rsidR="006E2059" w:rsidRPr="006E2059" w:rsidRDefault="006E2059"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6E2059">
              <w:rPr>
                <w:sz w:val="18"/>
                <w:szCs w:val="18"/>
              </w:rPr>
              <w:t>Utilizzo dell’idrogeno nel trasporto pubblico locale, compreso un progetto dedicato agli autobus nell'area di Gorizia</w:t>
            </w:r>
          </w:p>
        </w:tc>
      </w:tr>
      <w:tr w:rsidR="006E2059" w:rsidRPr="006E2059" w14:paraId="33220599" w14:textId="77777777" w:rsidTr="00F03874">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B308EE" w14:textId="77777777" w:rsidR="006E2059" w:rsidRPr="006E2059" w:rsidRDefault="006E2059" w:rsidP="00F03874">
            <w:pPr>
              <w:spacing w:before="0"/>
              <w:jc w:val="left"/>
              <w:rPr>
                <w:sz w:val="18"/>
                <w:szCs w:val="18"/>
              </w:rPr>
            </w:pPr>
            <w:r w:rsidRPr="006E2059">
              <w:rPr>
                <w:sz w:val="18"/>
                <w:szCs w:val="18"/>
              </w:rPr>
              <w:t>Mobilità marittima</w:t>
            </w:r>
          </w:p>
        </w:tc>
        <w:tc>
          <w:tcPr>
            <w:tcW w:w="0" w:type="auto"/>
            <w:vAlign w:val="center"/>
            <w:hideMark/>
          </w:tcPr>
          <w:p w14:paraId="156A894D" w14:textId="77777777" w:rsidR="006E2059" w:rsidRPr="006E2059" w:rsidRDefault="006E2059" w:rsidP="00F03874">
            <w:pPr>
              <w:spacing w:before="0"/>
              <w:jc w:val="left"/>
              <w:cnfStyle w:val="000000000000" w:firstRow="0" w:lastRow="0" w:firstColumn="0" w:lastColumn="0" w:oddVBand="0" w:evenVBand="0" w:oddHBand="0" w:evenHBand="0" w:firstRowFirstColumn="0" w:firstRowLastColumn="0" w:lastRowFirstColumn="0" w:lastRowLastColumn="0"/>
              <w:rPr>
                <w:sz w:val="18"/>
                <w:szCs w:val="18"/>
              </w:rPr>
            </w:pPr>
            <w:r w:rsidRPr="006E2059">
              <w:rPr>
                <w:sz w:val="18"/>
                <w:szCs w:val="18"/>
              </w:rPr>
              <w:t>Propulsione a idrogeno per imbarcazioni e sviluppo della relativa infrastruttura portuale/marittima</w:t>
            </w:r>
          </w:p>
        </w:tc>
      </w:tr>
    </w:tbl>
    <w:p w14:paraId="17BB9B71" w14:textId="2119A8BF" w:rsidR="006E2059" w:rsidRDefault="00A15447" w:rsidP="00A15447">
      <w:pPr>
        <w:pStyle w:val="Paragrafo"/>
      </w:pPr>
      <w:r w:rsidRPr="00A15447">
        <w:t>Idrogeno per il trasporto pubblico con autobus a Gorizia e Trieste</w:t>
      </w:r>
    </w:p>
    <w:p w14:paraId="724CDD8C" w14:textId="454C2AB0" w:rsidR="00CD489D" w:rsidRPr="00CD489D" w:rsidRDefault="00CD489D" w:rsidP="00CD489D">
      <w:pPr>
        <w:spacing w:before="0"/>
      </w:pPr>
      <w:r w:rsidRPr="00CD489D">
        <w:t xml:space="preserve">Il progetto </w:t>
      </w:r>
      <w:r w:rsidRPr="00CD489D">
        <w:rPr>
          <w:b/>
          <w:bCs/>
        </w:rPr>
        <w:t>“Hydrogen ecosystem solutions and production for emerging markets”</w:t>
      </w:r>
      <w:r w:rsidRPr="00CD489D">
        <w:t xml:space="preserve">, sviluppato da </w:t>
      </w:r>
      <w:r w:rsidRPr="00CD489D">
        <w:rPr>
          <w:b/>
          <w:bCs/>
        </w:rPr>
        <w:t xml:space="preserve">APT </w:t>
      </w:r>
      <w:r w:rsidR="001C7944">
        <w:rPr>
          <w:b/>
          <w:bCs/>
        </w:rPr>
        <w:t xml:space="preserve">come testbed </w:t>
      </w:r>
      <w:r w:rsidRPr="00CD489D">
        <w:rPr>
          <w:b/>
          <w:bCs/>
        </w:rPr>
        <w:t>della North Adriatic Hydrogen Valley (NAHV)</w:t>
      </w:r>
      <w:r w:rsidRPr="00CD489D">
        <w:t xml:space="preserve">, prevede la realizzazione presso la nuova sede di </w:t>
      </w:r>
      <w:r w:rsidRPr="00CD489D">
        <w:rPr>
          <w:b/>
          <w:bCs/>
        </w:rPr>
        <w:t>Monfalcone Lisert</w:t>
      </w:r>
      <w:r w:rsidRPr="00CD489D">
        <w:t xml:space="preserve"> di un sistema integrato per la produzione, lo stoccaggio, la distribuzione e il rifornimento di </w:t>
      </w:r>
      <w:r w:rsidRPr="00CD489D">
        <w:rPr>
          <w:b/>
          <w:bCs/>
        </w:rPr>
        <w:t>idrogeno rinnovabile</w:t>
      </w:r>
      <w:r w:rsidRPr="00CD489D">
        <w:t>, destinato principalmente al trasporto pubblico e alle flotte di veicoli</w:t>
      </w:r>
      <w:r w:rsidR="00D11A40">
        <w:t xml:space="preserve"> </w:t>
      </w:r>
      <w:sdt>
        <w:sdtPr>
          <w:id w:val="876976093"/>
          <w:citation/>
        </w:sdtPr>
        <w:sdtContent>
          <w:r w:rsidR="00D11A40">
            <w:fldChar w:fldCharType="begin"/>
          </w:r>
          <w:r w:rsidR="00D11A40">
            <w:instrText xml:space="preserve"> CITATION NAH25 \l 1040 </w:instrText>
          </w:r>
          <w:r w:rsidR="00D11A40">
            <w:fldChar w:fldCharType="separate"/>
          </w:r>
          <w:r w:rsidR="008D7904">
            <w:rPr>
              <w:noProof/>
            </w:rPr>
            <w:t>[25]</w:t>
          </w:r>
          <w:r w:rsidR="00D11A40">
            <w:fldChar w:fldCharType="end"/>
          </w:r>
        </w:sdtContent>
      </w:sdt>
      <w:r w:rsidRPr="00CD489D">
        <w:t>.</w:t>
      </w:r>
    </w:p>
    <w:p w14:paraId="6148D5B3" w14:textId="7BFEDC4E" w:rsidR="00CD489D" w:rsidRPr="00CD489D" w:rsidRDefault="00CD489D" w:rsidP="00CD489D">
      <w:r w:rsidRPr="00CD489D">
        <w:t xml:space="preserve">L’impianto integra la produzione di idrogeno con un </w:t>
      </w:r>
      <w:r w:rsidRPr="00CD489D">
        <w:rPr>
          <w:b/>
          <w:bCs/>
        </w:rPr>
        <w:t>impianto fotovoltaico da 1,67 MW</w:t>
      </w:r>
      <w:r w:rsidRPr="00CD489D">
        <w:t xml:space="preserve">, con una produzione annua stimata di circa 1,98 GWh. Il sistema di produzione dell’idrogeno avrà una </w:t>
      </w:r>
      <w:r w:rsidRPr="00CD489D">
        <w:rPr>
          <w:b/>
          <w:bCs/>
        </w:rPr>
        <w:t>potenza massima di 1 MW e una capacità fino a 400 kg/giorno</w:t>
      </w:r>
      <w:r w:rsidRPr="00CD489D">
        <w:t xml:space="preserve"> e comprenderà elettrolizzatore, stoccaggi, compressori, sistemi di raffreddamento e infrastrutture di rifornimento. Sono previsti </w:t>
      </w:r>
      <w:r w:rsidRPr="00CD489D">
        <w:rPr>
          <w:b/>
          <w:bCs/>
        </w:rPr>
        <w:t>due erogatori a 350 bar per autobus e uno a 700 bar per altri veicoli</w:t>
      </w:r>
      <w:r w:rsidRPr="00CD489D">
        <w:t>, oltre a un’unità per il caricamento su trailer.</w:t>
      </w:r>
      <w:r w:rsidR="001C7944">
        <w:t xml:space="preserve"> </w:t>
      </w:r>
      <w:r w:rsidRPr="00CD489D">
        <w:t xml:space="preserve">La stazione è dimensionata per servire fino a </w:t>
      </w:r>
      <w:r w:rsidR="001C7944">
        <w:rPr>
          <w:b/>
          <w:bCs/>
        </w:rPr>
        <w:t>15</w:t>
      </w:r>
      <w:r w:rsidRPr="00CD489D">
        <w:rPr>
          <w:b/>
          <w:bCs/>
        </w:rPr>
        <w:t xml:space="preserve"> autobus</w:t>
      </w:r>
      <w:r w:rsidR="001C7944">
        <w:t>, con una flotta iniziale composta da 8 veicoli a idrogeno e 7 autobus aggiuntivi la cui acquisizione è programmata per il periodo 2027-2029.</w:t>
      </w:r>
    </w:p>
    <w:p w14:paraId="423B2013" w14:textId="77777777" w:rsidR="00CD489D" w:rsidRPr="00CD489D" w:rsidRDefault="00CD489D" w:rsidP="00CD489D">
      <w:r w:rsidRPr="00CD489D">
        <w:t xml:space="preserve">La realizzazione dell’infrastruttura è finanziata nell’ambito del </w:t>
      </w:r>
      <w:r w:rsidRPr="00CD489D">
        <w:rPr>
          <w:b/>
          <w:bCs/>
        </w:rPr>
        <w:t>PNRR – Missione 2, Componente 2, Investimento 3.3</w:t>
      </w:r>
      <w:r w:rsidRPr="00CD489D">
        <w:t xml:space="preserve">, con risorse NextGenerationEU e cofinanziamento della Regione Friuli Venezia Giulia. Il contratto per la realizzazione della stazione e la fornitura dell’elettrolizzatore, del valore di circa </w:t>
      </w:r>
      <w:r w:rsidRPr="00CD489D">
        <w:rPr>
          <w:b/>
          <w:bCs/>
        </w:rPr>
        <w:t>10,25 milioni di euro</w:t>
      </w:r>
      <w:r w:rsidRPr="00CD489D">
        <w:t>, è stato sottoscritto nell’ottobre 2024; il progetto esecutivo è stato validato nel marzo 2025.</w:t>
      </w:r>
    </w:p>
    <w:p w14:paraId="714A4FE4" w14:textId="2DA8D2D7" w:rsidR="00CD489D" w:rsidRPr="00CD489D" w:rsidRDefault="00CD489D" w:rsidP="00CD489D">
      <w:r w:rsidRPr="00CD489D">
        <w:t xml:space="preserve">Parallelamente, </w:t>
      </w:r>
      <w:r w:rsidRPr="00CD489D">
        <w:rPr>
          <w:b/>
          <w:bCs/>
        </w:rPr>
        <w:t>Trieste Trasporti</w:t>
      </w:r>
      <w:r w:rsidRPr="00CD489D">
        <w:t xml:space="preserve"> sta sviluppando un secondo modello per l’impiego dell’idrogeno nel trasporto pubblico. Le verifiche iniziali per installare l’infrastruttura presso i propri depositi hanno evidenziato vincoli normativi; sono quindi in corso interlocuzioni con il Comune di Trieste e Acegas per individuare un sito alternativo, preferibilmente vicino all’elettrolizzatore per limitare il trasporto dell’idrogeno</w:t>
      </w:r>
      <w:r w:rsidR="00D11A40">
        <w:t xml:space="preserve"> </w:t>
      </w:r>
      <w:sdt>
        <w:sdtPr>
          <w:id w:val="-1983850666"/>
          <w:citation/>
        </w:sdtPr>
        <w:sdtContent>
          <w:r w:rsidR="00D11A40">
            <w:fldChar w:fldCharType="begin"/>
          </w:r>
          <w:r w:rsidR="00D11A40">
            <w:instrText xml:space="preserve"> CITATION NAH25 \l 1040 </w:instrText>
          </w:r>
          <w:r w:rsidR="00D11A40">
            <w:fldChar w:fldCharType="separate"/>
          </w:r>
          <w:r w:rsidR="008D7904">
            <w:rPr>
              <w:noProof/>
            </w:rPr>
            <w:t>[25]</w:t>
          </w:r>
          <w:r w:rsidR="00D11A40">
            <w:fldChar w:fldCharType="end"/>
          </w:r>
        </w:sdtContent>
      </w:sdt>
      <w:r w:rsidRPr="00CD489D">
        <w:t>.</w:t>
      </w:r>
    </w:p>
    <w:p w14:paraId="4585EE43" w14:textId="37DD472E" w:rsidR="00A15447" w:rsidRDefault="00CD489D" w:rsidP="000C3178">
      <w:r w:rsidRPr="00CD489D">
        <w:t xml:space="preserve">Nel complesso, le iniziative mirano a sperimentare </w:t>
      </w:r>
      <w:r w:rsidRPr="00CD489D">
        <w:rPr>
          <w:b/>
          <w:bCs/>
        </w:rPr>
        <w:t>modelli replicabili di produzione, distribuzione, rifornimento e utilizzo dell’idrogeno nel trasporto pubblico</w:t>
      </w:r>
      <w:r w:rsidRPr="00CD489D">
        <w:t xml:space="preserve">, integrando produzione da fonti rinnovabili, infrastrutture di rifornimento </w:t>
      </w:r>
      <w:r w:rsidRPr="00CD489D">
        <w:lastRenderedPageBreak/>
        <w:t>e progressiva conversione delle flotte.</w:t>
      </w:r>
    </w:p>
    <w:p w14:paraId="3454BE8D" w14:textId="70DE2861" w:rsidR="000C3178" w:rsidRDefault="000C3178" w:rsidP="006E2059">
      <w:pPr>
        <w:pStyle w:val="Paragrafo"/>
      </w:pPr>
      <w:r>
        <w:t>Progetti settore navale Monfalcone</w:t>
      </w:r>
    </w:p>
    <w:p w14:paraId="61D7C47F" w14:textId="55A4B127" w:rsidR="009A0611" w:rsidRPr="009A0611" w:rsidRDefault="009A0611" w:rsidP="009A0611">
      <w:pPr>
        <w:spacing w:before="0"/>
      </w:pPr>
      <w:r w:rsidRPr="009A0611">
        <w:t xml:space="preserve">Nel settore navale, il Friuli Venezia Giulia è coinvolto nel progetto </w:t>
      </w:r>
      <w:r w:rsidRPr="009A0611">
        <w:rPr>
          <w:b/>
          <w:bCs/>
        </w:rPr>
        <w:t>TransH2 – Transition to hydrogen fuelled cross-border sea-mobility</w:t>
      </w:r>
      <w:r w:rsidRPr="009A0611">
        <w:t xml:space="preserve">, avviato nel febbraio 2024 e finanziato dal Programma Interreg Italia-Croazia 2021-2027. Il progetto, di cui </w:t>
      </w:r>
      <w:r w:rsidRPr="009A0611">
        <w:rPr>
          <w:b/>
          <w:bCs/>
        </w:rPr>
        <w:t>M.A.R.E. TC FVG</w:t>
      </w:r>
      <w:r w:rsidRPr="009A0611">
        <w:t>, con sede a Monfalcone, è partner, coinvolge otto partner progettuali italiani e croati e quattro partner associati ed è finalizzato allo sviluppo e alla diffusione di soluzioni per l’impiego dell’idrogeno a zero emissioni nella mobilità marittima transfrontaliera</w:t>
      </w:r>
      <w:r w:rsidR="00D11A40">
        <w:t xml:space="preserve"> </w:t>
      </w:r>
      <w:sdt>
        <w:sdtPr>
          <w:id w:val="118042927"/>
          <w:citation/>
        </w:sdtPr>
        <w:sdtContent>
          <w:r w:rsidR="00D11A40">
            <w:fldChar w:fldCharType="begin"/>
          </w:r>
          <w:r w:rsidR="00D11A40">
            <w:instrText xml:space="preserve"> CITATION MAR \l 1040 </w:instrText>
          </w:r>
          <w:r w:rsidR="00D11A40">
            <w:fldChar w:fldCharType="separate"/>
          </w:r>
          <w:r w:rsidR="008D7904">
            <w:rPr>
              <w:noProof/>
            </w:rPr>
            <w:t>[26]</w:t>
          </w:r>
          <w:r w:rsidR="00D11A40">
            <w:fldChar w:fldCharType="end"/>
          </w:r>
        </w:sdtContent>
      </w:sdt>
      <w:r w:rsidRPr="009A0611">
        <w:t>. Le attività comprendono lo sviluppo di azioni pilota dedicate alle tecnologie dell’idrogeno verde nel trasporto marittimo passeggeri e la progettazione di tre casi d’uso finalizzati a favorire l’introduzione di soluzioni di mobilità marittima alimentate a idrogeno.</w:t>
      </w:r>
    </w:p>
    <w:p w14:paraId="2D9A1407" w14:textId="77777777" w:rsidR="009A0611" w:rsidRPr="009A0611" w:rsidRDefault="009A0611" w:rsidP="009A0611">
      <w:r w:rsidRPr="009A0611">
        <w:t>Il progetto assume particolare interesse per il territorio regionale anche per il coinvolgimento degli operatori del sistema portuale e industriale. Nell’ambito delle attività TransH2 sono state infatti approfondite le condizioni tecniche, normative, economiche e di sicurezza necessarie all’introduzione dell’idrogeno nel settore marittimo e, nel 2026, M.A.R.E. TC FVG ha sviluppato uno studio di fattibilità relativo all’installazione di stazioni di rifornimento di idrogeno nei porti dell’Adriatico. L’analisi ha considerato tre stazioni pilota, localizzate a Trieste, Spalato e Zara, valutando possibili configurazioni in grado di mettere in relazione produzione, distribuzione e utilizzo dell’idrogeno nel sistema portuale.</w:t>
      </w:r>
    </w:p>
    <w:p w14:paraId="0AFF2CDC" w14:textId="3FB30E3F" w:rsidR="009A0611" w:rsidRPr="009A0611" w:rsidRDefault="009A0611" w:rsidP="009A0611">
      <w:r w:rsidRPr="009A0611">
        <w:t>A queste attività si affianca un intervento concreto promosso dall’</w:t>
      </w:r>
      <w:r w:rsidRPr="009A0611">
        <w:rPr>
          <w:b/>
          <w:bCs/>
        </w:rPr>
        <w:t>Autorità di Sistema Portuale del Mare Adriatico Orientale – Porti di Trieste e Monfalcone</w:t>
      </w:r>
      <w:r w:rsidRPr="009A0611">
        <w:t xml:space="preserve">, nell’ambito della misura PNRR </w:t>
      </w:r>
      <w:r w:rsidRPr="009A0611">
        <w:rPr>
          <w:b/>
          <w:bCs/>
        </w:rPr>
        <w:t>Green Ports</w:t>
      </w:r>
      <w:r w:rsidRPr="009A0611">
        <w:t>. Il progetto prevede l’acquisto di un’imbarcazione da lavoro a propulsione a idrogeno destinata ad attività ispettive portuali, lunga 10 metri, con capacità fino a otto passeggeri ed equipaggiata con una cella a combustibile in grado di erogare una potenza fino a 80 kW</w:t>
      </w:r>
      <w:r w:rsidR="00D11A40">
        <w:t xml:space="preserve"> </w:t>
      </w:r>
      <w:sdt>
        <w:sdtPr>
          <w:id w:val="2003394661"/>
          <w:citation/>
        </w:sdtPr>
        <w:sdtContent>
          <w:r w:rsidR="00D11A40">
            <w:fldChar w:fldCharType="begin"/>
          </w:r>
          <w:r w:rsidR="00D11A40">
            <w:instrText xml:space="preserve"> CITATION Aut24 \l 1040 </w:instrText>
          </w:r>
          <w:r w:rsidR="00D11A40">
            <w:fldChar w:fldCharType="separate"/>
          </w:r>
          <w:r w:rsidR="008D7904">
            <w:rPr>
              <w:noProof/>
            </w:rPr>
            <w:t>[27]</w:t>
          </w:r>
          <w:r w:rsidR="00D11A40">
            <w:fldChar w:fldCharType="end"/>
          </w:r>
        </w:sdtContent>
      </w:sdt>
      <w:r w:rsidRPr="009A0611">
        <w:t xml:space="preserve">. L’intervento, finanziato dal PNRR per </w:t>
      </w:r>
      <w:r w:rsidRPr="009A0611">
        <w:rPr>
          <w:b/>
          <w:bCs/>
        </w:rPr>
        <w:t>1,916 milioni di euro</w:t>
      </w:r>
      <w:r w:rsidRPr="009A0611">
        <w:t>, costituisce un’applicazione diretta della tecnologia a idrogeno alle attività operative del sistema portuale regionale e si inserisce negli interventi finalizzati alla riduzione dei consumi energetici e delle emissioni delle attività portuali.</w:t>
      </w:r>
    </w:p>
    <w:p w14:paraId="44EE29FE" w14:textId="381D2B2B" w:rsidR="000C3178" w:rsidRDefault="009A0611" w:rsidP="000C3178">
      <w:r w:rsidRPr="009A0611">
        <w:t>Nel complesso, queste iniziative evidenziano l’avvio nel sistema portuale regionale di un percorso che interessa sia lo sviluppo e la sperimentazione delle tecnologie per la mobilità marittima a idrogeno, sia la loro applicazione a mezzi operativi, ponendo le basi per una possibile futura integrazione tra domanda navale e infrastrutture territoriali di produzione, distribuzione e rifornimento dell’idrogeno.</w:t>
      </w:r>
    </w:p>
    <w:p w14:paraId="0378D727" w14:textId="6EDAF6D4" w:rsidR="001F5664" w:rsidRPr="000C3178" w:rsidRDefault="001F5664" w:rsidP="000C3178">
      <w:r w:rsidRPr="001F5664">
        <w:t>Le iniziative descritte evidenziano come lo sviluppo delle infrastrutture energetiche debba confrontarsi non soltanto con domanda, reti e tecnologie, ma anche con le caratteristiche e le tutele del territorio nel quale gli interventi vengono localizzati. Diventa quindi necessario integrare il quadro energetico e trasportistico con gli strumenti regionali di governo del territorio e con la pianificazione urbanistica e paesaggistica vigente.</w:t>
      </w:r>
    </w:p>
    <w:p w14:paraId="626A459F" w14:textId="13410379" w:rsidR="004A15A0" w:rsidRDefault="004A15A0" w:rsidP="00324810">
      <w:pPr>
        <w:pStyle w:val="Titolo2"/>
      </w:pPr>
      <w:bookmarkStart w:id="7" w:name="_Toc241161209"/>
      <w:r>
        <w:t>Strumenti regionali di governo del territorio;</w:t>
      </w:r>
      <w:bookmarkEnd w:id="7"/>
    </w:p>
    <w:p w14:paraId="19D7A906" w14:textId="77777777" w:rsidR="00E9580C" w:rsidRDefault="00E9580C" w:rsidP="00E9580C">
      <w:pPr>
        <w:rPr>
          <w:rFonts w:ascii="Times New Roman" w:hAnsi="Times New Roman" w:cs="Times New Roman"/>
        </w:rPr>
      </w:pPr>
      <w:r>
        <w:t>Il quadro degli strumenti di governo del territorio del Friuli Venezia Giulia costituisce un ulteriore riferimento per la valutazione delle possibili localizzazioni delle infrastrutture energetiche dedicate alla mobilità sostenibile, in quanto consente di verificare la coerenza degli interventi con gli indirizzi di sviluppo territoriale, con le destinazioni urbanistiche e con il sistema delle tutele ambientali e paesaggistiche.</w:t>
      </w:r>
    </w:p>
    <w:p w14:paraId="017C0EEB" w14:textId="2051B7B2" w:rsidR="00E9580C" w:rsidRDefault="00E9580C" w:rsidP="00E9580C">
      <w:r>
        <w:t xml:space="preserve">Il principale strumento strategico regionale è il </w:t>
      </w:r>
      <w:r>
        <w:rPr>
          <w:rStyle w:val="Enfasigrassetto"/>
        </w:rPr>
        <w:t>Piano del Governo del Territorio (PGT)</w:t>
      </w:r>
      <w:r>
        <w:t xml:space="preserve">, previsto dalla L.R. 22/2009 e approvato con D.P.Reg. n. 084/Pres del 16 aprile 2013. Il PGT è finalizzato a </w:t>
      </w:r>
      <w:r w:rsidRPr="008246CD">
        <w:rPr>
          <w:b/>
          <w:bCs/>
        </w:rPr>
        <w:t>tradurre sul territorio gli indirizzi strategici regionali, orientando le trasformazioni territoriali e coordinando le diverse politiche settoriali</w:t>
      </w:r>
      <w:r w:rsidR="00D10F03">
        <w:t xml:space="preserve"> </w:t>
      </w:r>
      <w:sdt>
        <w:sdtPr>
          <w:id w:val="1675232676"/>
          <w:citation/>
        </w:sdtPr>
        <w:sdtContent>
          <w:r w:rsidR="00D10F03">
            <w:fldChar w:fldCharType="begin"/>
          </w:r>
          <w:r w:rsidR="00D10F03">
            <w:instrText xml:space="preserve"> CITATION Reg26 \l 1040 </w:instrText>
          </w:r>
          <w:r w:rsidR="00D10F03">
            <w:fldChar w:fldCharType="separate"/>
          </w:r>
          <w:r w:rsidR="008D7904">
            <w:rPr>
              <w:noProof/>
            </w:rPr>
            <w:t>[28]</w:t>
          </w:r>
          <w:r w:rsidR="00D10F03">
            <w:fldChar w:fldCharType="end"/>
          </w:r>
        </w:sdtContent>
      </w:sdt>
      <w:r>
        <w:t xml:space="preserve">. Il Piano è attualmente interessato dalla </w:t>
      </w:r>
      <w:r>
        <w:rPr>
          <w:rStyle w:val="Enfasigrassetto"/>
        </w:rPr>
        <w:t>Variante n. 1</w:t>
      </w:r>
      <w:r>
        <w:t xml:space="preserve">, attraverso la quale la Regione intende renderlo pienamente esecutivo e superare il precedente Piano Urbanistico Regionale Generale (PURG). La revisione è orientata verso un modello di pianificazione maggiormente flessibile, integrato con gli obiettivi di sostenibilità ambientale, resilienza territoriale, neutralità climatica, valorizzazione dei servizi ecosistemici e contenimento del consumo di nuovo suolo. </w:t>
      </w:r>
    </w:p>
    <w:p w14:paraId="0F5508A5" w14:textId="2CD85B26" w:rsidR="00E9580C" w:rsidRDefault="00E9580C" w:rsidP="00E9580C">
      <w:r>
        <w:t xml:space="preserve">Particolare rilevanza assume inoltre il </w:t>
      </w:r>
      <w:r>
        <w:rPr>
          <w:rStyle w:val="Enfasigrassetto"/>
        </w:rPr>
        <w:t>Piano Paesaggistico Regionale (PPR-FVG)</w:t>
      </w:r>
      <w:r>
        <w:t xml:space="preserve">, approvato con D.P.Reg. n. 0111/Pres del 24 aprile 2018 ed efficace dal 10 maggio 2018. Il PPR costituisce lo </w:t>
      </w:r>
      <w:r w:rsidRPr="008246CD">
        <w:rPr>
          <w:b/>
          <w:bCs/>
        </w:rPr>
        <w:t xml:space="preserve">strumento regionale per la salvaguardia e la gestione del paesaggio e integra gli obiettivi di tutela e valorizzazione paesaggistica nei processi di trasformazione </w:t>
      </w:r>
      <w:r w:rsidRPr="008246CD">
        <w:rPr>
          <w:b/>
          <w:bCs/>
        </w:rPr>
        <w:lastRenderedPageBreak/>
        <w:t>territoriale</w:t>
      </w:r>
      <w:r w:rsidR="00D10F03">
        <w:t xml:space="preserve"> </w:t>
      </w:r>
      <w:sdt>
        <w:sdtPr>
          <w:id w:val="2642257"/>
          <w:citation/>
        </w:sdtPr>
        <w:sdtContent>
          <w:r w:rsidR="00D10F03">
            <w:fldChar w:fldCharType="begin"/>
          </w:r>
          <w:r w:rsidR="00D10F03">
            <w:instrText xml:space="preserve"> CITATION Reg261 \l 1040 </w:instrText>
          </w:r>
          <w:r w:rsidR="00D10F03">
            <w:fldChar w:fldCharType="separate"/>
          </w:r>
          <w:r w:rsidR="008D7904">
            <w:rPr>
              <w:noProof/>
            </w:rPr>
            <w:t>[29]</w:t>
          </w:r>
          <w:r w:rsidR="00D10F03">
            <w:fldChar w:fldCharType="end"/>
          </w:r>
        </w:sdtContent>
      </w:sdt>
      <w:r>
        <w:t xml:space="preserve">. Il Piano è stato successivamente aggiornato, da ultimo attraverso la </w:t>
      </w:r>
      <w:r>
        <w:rPr>
          <w:rStyle w:val="Enfasigrassetto"/>
        </w:rPr>
        <w:t>Variante n. 2</w:t>
      </w:r>
      <w:r>
        <w:t xml:space="preserve">, approvata con D.P.Reg. n. 0133/Pres del 12 dicembre 2025 ed efficace dal 18 dicembre 2025. Le relative prescrizioni assumono particolare rilievo nella valutazione localizzativa delle nuove infrastrutture, in quanto consentono di identificare beni paesaggistici, aree tutelate e ulteriori elementi territoriali rispetto ai quali verificare la compatibilità degli interventi. </w:t>
      </w:r>
    </w:p>
    <w:p w14:paraId="4C39490E" w14:textId="155369AD" w:rsidR="00E9580C" w:rsidRDefault="00E9580C" w:rsidP="00E9580C">
      <w:r>
        <w:t xml:space="preserve">Alla scala comunale, la pianificazione urbanistica è attuata attraverso i </w:t>
      </w:r>
      <w:r>
        <w:rPr>
          <w:rStyle w:val="Enfasigrassetto"/>
        </w:rPr>
        <w:t>Piani Regolatori Generali Comunali (PRGC)</w:t>
      </w:r>
      <w:r>
        <w:t xml:space="preserve">, che </w:t>
      </w:r>
      <w:r w:rsidRPr="008246CD">
        <w:rPr>
          <w:b/>
          <w:bCs/>
        </w:rPr>
        <w:t>disciplinano l'utilizzo del territorio e le relative destinazioni urbanistiche</w:t>
      </w:r>
      <w:r w:rsidR="00D10F03">
        <w:t xml:space="preserve"> </w:t>
      </w:r>
      <w:sdt>
        <w:sdtPr>
          <w:id w:val="2097049049"/>
          <w:citation/>
        </w:sdtPr>
        <w:sdtContent>
          <w:r w:rsidR="00D10F03">
            <w:fldChar w:fldCharType="begin"/>
          </w:r>
          <w:r w:rsidR="00D10F03">
            <w:instrText xml:space="preserve"> CITATION Eag \l 1040 </w:instrText>
          </w:r>
          <w:r w:rsidR="00D10F03">
            <w:fldChar w:fldCharType="separate"/>
          </w:r>
          <w:r w:rsidR="008D7904">
            <w:rPr>
              <w:noProof/>
            </w:rPr>
            <w:t>[30]</w:t>
          </w:r>
          <w:r w:rsidR="00D10F03">
            <w:fldChar w:fldCharType="end"/>
          </w:r>
        </w:sdtContent>
      </w:sdt>
      <w:r>
        <w:t xml:space="preserve">. La L.R. 5/2007 attribuisce infatti ai Comuni la funzione della pianificazione territoriale, nel rispetto degli interessi regionali e degli strumenti sovraordinati. Ai fini della localizzazione delle infrastrutture oggetto del presente studio, i PRGC costituiscono pertanto il riferimento per una prima verifica delle destinazioni d'uso delle aree individuate e della relativa compatibilità urbanistica. </w:t>
      </w:r>
    </w:p>
    <w:p w14:paraId="43CAF759" w14:textId="0FED29B4" w:rsidR="009A0DC7" w:rsidRDefault="00E9580C" w:rsidP="009A0611">
      <w:r>
        <w:t xml:space="preserve">Nel complesso, tali strumenti consentono di affiancare alla valutazione trasportistica ed energetica una verifica della </w:t>
      </w:r>
      <w:r>
        <w:rPr>
          <w:rStyle w:val="Enfasigrassetto"/>
        </w:rPr>
        <w:t>compatibilità territoriale, urbanistica e paesaggistica</w:t>
      </w:r>
      <w:r>
        <w:t xml:space="preserve"> delle possibili localizzazioni. Nelle successive fasi dello studio, le aree individuate sulla base dei flussi di mobilità e dell'accessibilità alle reti energetiche potranno quindi essere confrontate con la pianificazione territoriale e comunale e con il sistema delle tutele, evidenziando eventuali vincoli o condizioni che possano incidere sulla fattibilità delle infrastrutture.</w:t>
      </w:r>
    </w:p>
    <w:p w14:paraId="68B6BE22" w14:textId="2A2BCF29" w:rsidR="001F5664" w:rsidRPr="009A0611" w:rsidRDefault="001F5664" w:rsidP="009A0611">
      <w:r w:rsidRPr="001F5664">
        <w:t>La verifica della compatibilità territoriale e urbanistica definisce il quadro entro cui le possibili localizzazioni possono essere considerate. A questa dimensione si affiancano i requisiti tecnici e di sicurezza propri delle infrastrutture di ricarica e rifornimento, che incidono direttamente sulle caratteristiche fisiche e funzionali dei siti e devono quindi essere considerati nella successiva selezione delle alternative.</w:t>
      </w:r>
    </w:p>
    <w:p w14:paraId="4A4541D3" w14:textId="6A392432" w:rsidR="00C70CF6" w:rsidRDefault="004A15A0" w:rsidP="00324810">
      <w:pPr>
        <w:pStyle w:val="Titolo2"/>
      </w:pPr>
      <w:bookmarkStart w:id="8" w:name="_Toc241161210"/>
      <w:r>
        <w:t>Normative tecniche applicabili alle infrastrutture di</w:t>
      </w:r>
      <w:r w:rsidR="00F15D2C">
        <w:t xml:space="preserve"> ricarica e</w:t>
      </w:r>
      <w:r>
        <w:t xml:space="preserve"> rifornimento.</w:t>
      </w:r>
      <w:bookmarkEnd w:id="8"/>
    </w:p>
    <w:p w14:paraId="5D07F0FB" w14:textId="77777777" w:rsidR="00F15D2C" w:rsidRDefault="00F15D2C" w:rsidP="00F15D2C">
      <w:pPr>
        <w:rPr>
          <w:rFonts w:ascii="Times New Roman" w:hAnsi="Times New Roman" w:cs="Times New Roman"/>
        </w:rPr>
      </w:pPr>
      <w:r>
        <w:t>Le infrastrutture destinate alla mobilità elettrica e a idrogeno sono soggette a un articolato quadro di disposizioni europee e nazionali e di norme tecniche, che disciplinano sia la distribuzione territoriale e le prestazioni minime della rete sia gli aspetti relativi alla progettazione, alla sicurezza e all’interoperabilità delle singole infrastrutture.</w:t>
      </w:r>
    </w:p>
    <w:p w14:paraId="5CBD8A33" w14:textId="2578EE76" w:rsidR="00F15D2C" w:rsidRDefault="00F15D2C" w:rsidP="00F15D2C">
      <w:pPr>
        <w:pStyle w:val="Paragrafo"/>
      </w:pPr>
      <w:r>
        <w:t>Ricarica elettrica</w:t>
      </w:r>
    </w:p>
    <w:p w14:paraId="14B4B197" w14:textId="53B6E5DA" w:rsidR="00F15D2C" w:rsidRDefault="00F15D2C" w:rsidP="00F15D2C">
      <w:pPr>
        <w:spacing w:before="0"/>
      </w:pPr>
      <w:r>
        <w:t xml:space="preserve">Per quanto riguarda la </w:t>
      </w:r>
      <w:r>
        <w:rPr>
          <w:rStyle w:val="Enfasigrassetto"/>
        </w:rPr>
        <w:t>ricarica elettrica</w:t>
      </w:r>
      <w:r>
        <w:t xml:space="preserve">, il principale riferimento europeo è costituito dal </w:t>
      </w:r>
      <w:r w:rsidRPr="008246CD">
        <w:rPr>
          <w:b/>
          <w:bCs/>
        </w:rPr>
        <w:t>Regolamento (UE) 2023/1804 (AFIR)</w:t>
      </w:r>
      <w:r>
        <w:t>, che stabilisce requisiti minimi per la diffusione delle infrastrutture accessibili al pubblico in funzione della consistenza del parco elettrico e della copertura della rete TEN-T</w:t>
      </w:r>
      <w:r w:rsidR="00D10F03">
        <w:t xml:space="preserve"> </w:t>
      </w:r>
      <w:sdt>
        <w:sdtPr>
          <w:id w:val="1022286114"/>
          <w:citation/>
        </w:sdtPr>
        <w:sdtContent>
          <w:r w:rsidR="00D10F03">
            <w:fldChar w:fldCharType="begin"/>
          </w:r>
          <w:r w:rsidR="00D10F03">
            <w:instrText xml:space="preserve"> CITATION Par232 \l 1040 </w:instrText>
          </w:r>
          <w:r w:rsidR="00D10F03">
            <w:fldChar w:fldCharType="separate"/>
          </w:r>
          <w:r w:rsidR="008D7904">
            <w:rPr>
              <w:noProof/>
            </w:rPr>
            <w:t>[31]</w:t>
          </w:r>
          <w:r w:rsidR="00D10F03">
            <w:fldChar w:fldCharType="end"/>
          </w:r>
        </w:sdtContent>
      </w:sdt>
      <w:r>
        <w:t>. Per i veicoli leggeri, il Regolamento prevede a livello nazionale una potenza complessiva delle infrastrutture pubbliche pari ad almeno 1,3 kW per ciascun veicolo elettrico a batteria e 0,8 kW per ciascun veicolo ibrido plug-in immatricolato. Lungo la rete centrale TEN-T sono inoltre previsti gruppi di stazioni di ricarica in ciascun senso di marcia a una distanza massima di 60 km, con potenza complessiva di almeno 400 kW e almeno un punto da 150 kW entro il 2025, da incrementare ad almeno 600 kW e due punti da 150 kW entro il 2027. Requisiti progressivi sono stabiliti anche per la rete globale TEN-T e specifiche prescrizioni sono previste per il trasporto pesante.</w:t>
      </w:r>
    </w:p>
    <w:p w14:paraId="6F3D712A" w14:textId="7D833612" w:rsidR="00F15D2C" w:rsidRDefault="00F15D2C" w:rsidP="00F15D2C">
      <w:r>
        <w:t xml:space="preserve">Un ulteriore riferimento è costituito dalla </w:t>
      </w:r>
      <w:r>
        <w:rPr>
          <w:rStyle w:val="Enfasigrassetto"/>
        </w:rPr>
        <w:t>serie CEI EN IEC 61851</w:t>
      </w:r>
      <w:r>
        <w:t>, dedicata ai sistemi di ricarica conduttiva dei veicoli elettrici</w:t>
      </w:r>
      <w:r w:rsidR="005D0D7A">
        <w:t xml:space="preserve"> </w:t>
      </w:r>
      <w:sdt>
        <w:sdtPr>
          <w:id w:val="-203563869"/>
          <w:citation/>
        </w:sdtPr>
        <w:sdtContent>
          <w:r w:rsidR="005D0D7A">
            <w:fldChar w:fldCharType="begin"/>
          </w:r>
          <w:r w:rsidR="005D0D7A">
            <w:instrText xml:space="preserve"> CITATION CEI \l 1040 </w:instrText>
          </w:r>
          <w:r w:rsidR="005D0D7A">
            <w:fldChar w:fldCharType="separate"/>
          </w:r>
          <w:r w:rsidR="008D7904">
            <w:rPr>
              <w:noProof/>
            </w:rPr>
            <w:t>[32]</w:t>
          </w:r>
          <w:r w:rsidR="005D0D7A">
            <w:fldChar w:fldCharType="end"/>
          </w:r>
        </w:sdtContent>
      </w:sdt>
      <w:r>
        <w:t xml:space="preserve">. Le diverse parti della serie </w:t>
      </w:r>
      <w:r w:rsidRPr="008246CD">
        <w:rPr>
          <w:b/>
          <w:bCs/>
        </w:rPr>
        <w:t>disciplinano le caratteristiche delle apparecchiature e delle stazioni di ricarica, comprese le infrastrutture</w:t>
      </w:r>
      <w:r>
        <w:t xml:space="preserve"> </w:t>
      </w:r>
      <w:r w:rsidRPr="008246CD">
        <w:rPr>
          <w:b/>
          <w:bCs/>
        </w:rPr>
        <w:t>in corrente continua ad alta potenza e i sistemi di comunicazione tra stazione e veicolo</w:t>
      </w:r>
      <w:r>
        <w:t xml:space="preserve"> necessari al controllo della ricarica. In particolare, la CEI EN 61851-23 riguarda le stazioni di ricarica in corrente continua, mentre la CEI EN IEC 61851-24 disciplina la comunicazione digitale tra stazione in corrente continua e veicolo elettrico.</w:t>
      </w:r>
    </w:p>
    <w:p w14:paraId="40251082" w14:textId="2AE278F5" w:rsidR="00F15D2C" w:rsidRDefault="00F15D2C" w:rsidP="00F15D2C">
      <w:pPr>
        <w:pStyle w:val="Paragrafo"/>
      </w:pPr>
      <w:r>
        <w:t>Impianti per il rifornimento di veicoli a idrogeno</w:t>
      </w:r>
    </w:p>
    <w:p w14:paraId="232B5B76" w14:textId="1F932A94" w:rsidR="00F15D2C" w:rsidRDefault="00F15D2C" w:rsidP="00F15D2C">
      <w:pPr>
        <w:spacing w:before="0"/>
      </w:pPr>
      <w:r>
        <w:t xml:space="preserve">Per le </w:t>
      </w:r>
      <w:r>
        <w:rPr>
          <w:rStyle w:val="Enfasigrassetto"/>
        </w:rPr>
        <w:t>infrastrutture di rifornimento di idrogeno</w:t>
      </w:r>
      <w:r>
        <w:t xml:space="preserve">, il principale riferimento nazionale in materia di sicurezza è il </w:t>
      </w:r>
      <w:r>
        <w:rPr>
          <w:rStyle w:val="Enfasigrassetto"/>
        </w:rPr>
        <w:t>Decreto del Ministero dell’Interno 23 ottobre 2018</w:t>
      </w:r>
      <w:r>
        <w:t>, recante la regola tecnica di prevenzione incendi per la progettazione, costruzione ed esercizio degli impianti di distribuzione di idrogeno per autotrazione</w:t>
      </w:r>
      <w:r w:rsidR="005D0D7A">
        <w:t xml:space="preserve"> </w:t>
      </w:r>
      <w:sdt>
        <w:sdtPr>
          <w:id w:val="-272867034"/>
          <w:citation/>
        </w:sdtPr>
        <w:sdtContent>
          <w:r w:rsidR="005D0D7A">
            <w:fldChar w:fldCharType="begin"/>
          </w:r>
          <w:r w:rsidR="005D0D7A">
            <w:instrText xml:space="preserve"> CITATION Min18 \l 1040 </w:instrText>
          </w:r>
          <w:r w:rsidR="005D0D7A">
            <w:fldChar w:fldCharType="separate"/>
          </w:r>
          <w:r w:rsidR="008D7904">
            <w:rPr>
              <w:noProof/>
            </w:rPr>
            <w:t>[33]</w:t>
          </w:r>
          <w:r w:rsidR="005D0D7A">
            <w:fldChar w:fldCharType="end"/>
          </w:r>
        </w:sdtContent>
      </w:sdt>
      <w:r>
        <w:t>. La disciplina interessa gli impianti di produzione in sito, compressione, stoccaggio ed erogazione dell’idrogeno e introduce specifiche prescrizioni relative all’ubicazione, alle caratteristiche costruttive, alle distanze di sicurezza, alla protezione antincendio e alle modalità di esercizio.</w:t>
      </w:r>
    </w:p>
    <w:p w14:paraId="51607371" w14:textId="4F14F9E2" w:rsidR="00F15D2C" w:rsidRDefault="00F15D2C" w:rsidP="00F15D2C">
      <w:r>
        <w:t xml:space="preserve">A tale disciplina si affianca la </w:t>
      </w:r>
      <w:r>
        <w:rPr>
          <w:rStyle w:val="Enfasigrassetto"/>
        </w:rPr>
        <w:t>UNI ISO 19880-1</w:t>
      </w:r>
      <w:r>
        <w:t xml:space="preserve">, che costituisce il riferimento tecnico generale per le stazioni di rifornimento di idrogeno gassoso e disciplina requisiti relativi alla </w:t>
      </w:r>
      <w:r w:rsidRPr="008246CD">
        <w:rPr>
          <w:b/>
          <w:bCs/>
        </w:rPr>
        <w:t xml:space="preserve">progettazione, installazione, messa in servizio, </w:t>
      </w:r>
      <w:r w:rsidRPr="008246CD">
        <w:rPr>
          <w:b/>
          <w:bCs/>
        </w:rPr>
        <w:lastRenderedPageBreak/>
        <w:t>funzionamento, ispezione e manutenzione</w:t>
      </w:r>
      <w:r w:rsidR="005D0D7A">
        <w:t xml:space="preserve"> </w:t>
      </w:r>
      <w:sdt>
        <w:sdtPr>
          <w:id w:val="623889557"/>
          <w:citation/>
        </w:sdtPr>
        <w:sdtContent>
          <w:r w:rsidR="005D0D7A">
            <w:fldChar w:fldCharType="begin"/>
          </w:r>
          <w:r w:rsidR="005D0D7A">
            <w:instrText xml:space="preserve"> CITATION UNI \l 1040 </w:instrText>
          </w:r>
          <w:r w:rsidR="005D0D7A">
            <w:fldChar w:fldCharType="separate"/>
          </w:r>
          <w:r w:rsidR="008D7904">
            <w:rPr>
              <w:noProof/>
            </w:rPr>
            <w:t>[34]</w:t>
          </w:r>
          <w:r w:rsidR="005D0D7A">
            <w:fldChar w:fldCharType="end"/>
          </w:r>
        </w:sdtContent>
      </w:sdt>
      <w:r>
        <w:t xml:space="preserve">. Il quadro tecnico è completato da standard specialistici relativi alle diverse componenti della stazione, tra cui la </w:t>
      </w:r>
      <w:r>
        <w:rPr>
          <w:rStyle w:val="Enfasigrassetto"/>
        </w:rPr>
        <w:t>ISO 14687</w:t>
      </w:r>
      <w:r>
        <w:t xml:space="preserve">, relativa alla qualità dell’idrogeno destinato all’impiego come combustibile, la </w:t>
      </w:r>
      <w:r>
        <w:rPr>
          <w:rStyle w:val="Enfasigrassetto"/>
        </w:rPr>
        <w:t>ISO 17268</w:t>
      </w:r>
      <w:r>
        <w:t>, relativa ai dispositivi di connessione per il rifornimento dei veicoli, e le ulteriori parti della serie ISO 19880.</w:t>
      </w:r>
    </w:p>
    <w:p w14:paraId="7C398B04" w14:textId="77777777" w:rsidR="00F15D2C" w:rsidRDefault="00F15D2C" w:rsidP="00F15D2C">
      <w:r>
        <w:t>Anche per l’idrogeno l’AFIR introduce requisiti direttamente rilevanti ai fini della pianificazione infrastrutturale. Entro il 31 dicembre 2030 è prevista lungo la rete centrale TEN-T la disponibilità di stazioni di rifornimento accessibili al pubblico a una distanza massima di 200 km, con una capacità cumulativa minima di una tonnellata di idrogeno al giorno e almeno un distributore a 700 bar; entro la stessa data deve inoltre essere disponibile almeno una stazione in ciascun nodo urbano.</w:t>
      </w:r>
    </w:p>
    <w:p w14:paraId="4C575A01" w14:textId="4AADD659" w:rsidR="006F439E" w:rsidRDefault="00F15D2C" w:rsidP="001F2398">
      <w:r>
        <w:t xml:space="preserve">Il quadro normativo e tecnico assume particolare rilevanza ai fini del presente studio, poiché introduce requisiti che incidono direttamente sulla successiva valutazione delle possibili localizzazioni. Per la </w:t>
      </w:r>
      <w:r>
        <w:rPr>
          <w:rStyle w:val="Enfasigrassetto"/>
        </w:rPr>
        <w:t>ricarica elettrica</w:t>
      </w:r>
      <w:r>
        <w:t xml:space="preserve"> dovranno essere considerate, oltre alla distribuzione territoriale prevista dall’AFIR, la potenza richiesta dalle infrastrutture, la tipologia di ricarica prevista e la possibilità di connessione alla rete elettrica; per l’</w:t>
      </w:r>
      <w:r>
        <w:rPr>
          <w:rStyle w:val="Enfasigrassetto"/>
        </w:rPr>
        <w:t>idrogeno</w:t>
      </w:r>
      <w:r>
        <w:t xml:space="preserve"> assumono particolare rilievo la disponibilità degli spazi necessari per produzione, compressione e stoccaggio, le distanze di sicurezza e le caratteristiche dell’infrastruttura di erogazione. Tali requisiti costituiscono pertanto elementi da integrare con l’analisi dei flussi di mobilità, della rete TEN-T, delle caratteristiche territoriali e della disponibilità delle infrastrutture energetiche nella successiva fase di individuazione e valutazione dei siti.</w:t>
      </w:r>
    </w:p>
    <w:p w14:paraId="5FBED4D0" w14:textId="6D23DD59" w:rsidR="00273A6A" w:rsidRPr="00603ECD" w:rsidRDefault="00273A6A" w:rsidP="00ED18F1">
      <w:pPr>
        <w:pStyle w:val="Paragrafoelenco"/>
        <w:rPr>
          <w:highlight w:val="yellow"/>
        </w:rPr>
      </w:pPr>
    </w:p>
    <w:p w14:paraId="05960BB6" w14:textId="77777777" w:rsidR="00603ECD" w:rsidRDefault="00603ECD" w:rsidP="00603ECD">
      <w:pPr>
        <w:pStyle w:val="Paragrafoelenco"/>
      </w:pPr>
    </w:p>
    <w:p w14:paraId="23C6FB3F" w14:textId="524473C7" w:rsidR="00393CAB" w:rsidRPr="001F2398" w:rsidRDefault="006F439E" w:rsidP="001F2398">
      <w:pPr>
        <w:pStyle w:val="Titolo1"/>
      </w:pPr>
      <w:r>
        <w:br w:type="page"/>
      </w:r>
      <w:bookmarkStart w:id="9" w:name="_Toc241161211"/>
      <w:r w:rsidR="001916C9" w:rsidRPr="001916C9">
        <w:lastRenderedPageBreak/>
        <w:t>Indirizzi strategici per lo sviluppo e la localizzazione delle infrastrutture per la mobilità sostenibile</w:t>
      </w:r>
      <w:bookmarkEnd w:id="9"/>
    </w:p>
    <w:p w14:paraId="0D433F53" w14:textId="5D2262D6" w:rsidR="006F439E" w:rsidRPr="00D60B1D" w:rsidRDefault="001916C9" w:rsidP="001916C9">
      <w:pPr>
        <w:rPr>
          <w:rStyle w:val="Titolo1Carattere"/>
          <w:rFonts w:cs="Open Sans"/>
          <w:b w:val="0"/>
          <w:iCs/>
          <w:color w:val="auto"/>
        </w:rPr>
      </w:pPr>
      <w:r w:rsidRPr="001916C9">
        <w:rPr>
          <w:rFonts w:eastAsiaTheme="majorEastAsia"/>
        </w:rPr>
        <w:t xml:space="preserve">A partire dal quadro conoscitivo delineato nei capitoli precedenti, lo studio sviluppa l’analisi delle infrastrutture per la mobilità sostenibile secondo </w:t>
      </w:r>
      <w:r w:rsidRPr="001916C9">
        <w:rPr>
          <w:rFonts w:eastAsiaTheme="majorEastAsia"/>
          <w:b/>
          <w:bCs/>
        </w:rPr>
        <w:t>due direttrici complementari</w:t>
      </w:r>
      <w:r w:rsidRPr="001916C9">
        <w:rPr>
          <w:rFonts w:eastAsiaTheme="majorEastAsia"/>
        </w:rPr>
        <w:t xml:space="preserve">. La prima riguarda lo sviluppo della </w:t>
      </w:r>
      <w:r w:rsidRPr="001916C9">
        <w:rPr>
          <w:rFonts w:eastAsiaTheme="majorEastAsia"/>
          <w:b/>
          <w:bCs/>
        </w:rPr>
        <w:t>rete di infrastrutture di ricarica per i veicoli elettrici</w:t>
      </w:r>
      <w:r w:rsidRPr="001916C9">
        <w:rPr>
          <w:rFonts w:eastAsiaTheme="majorEastAsia"/>
        </w:rPr>
        <w:t xml:space="preserve">, con l’obiettivo di individuare le localizzazioni maggiormente coerenti con la distribuzione della domanda di mobilità e con i flussi che interessano la rete stradale regionale. La seconda riguarda l’individuazione di </w:t>
      </w:r>
      <w:r w:rsidRPr="001916C9">
        <w:rPr>
          <w:rFonts w:eastAsiaTheme="majorEastAsia"/>
          <w:b/>
          <w:bCs/>
        </w:rPr>
        <w:t>Hub Energetici Green</w:t>
      </w:r>
      <w:r w:rsidRPr="001916C9">
        <w:rPr>
          <w:rFonts w:eastAsiaTheme="majorEastAsia"/>
        </w:rPr>
        <w:t xml:space="preserve">, concepiti come nodi territoriali integrati nei quali possano concentrarsi infrastrutture e servizi energetici e trovare progressivamente spazio anche applicazioni legate ai combustibili alternativi, con particolare riferimento all’idrogeno. </w:t>
      </w:r>
      <w:r w:rsidR="00D60B1D" w:rsidRPr="00D60B1D">
        <w:rPr>
          <w:rFonts w:eastAsiaTheme="majorEastAsia"/>
        </w:rPr>
        <w:t>Nell’ambito degli sviluppi successivi potrà inoltre essere approfondita la possibile integrazione degli Hub con la Comunità Energetica Regionale di Area Vasta del Friuli Venezia Giulia. Tale prospettiva non costituisce un indicatore autonomo del ranking multicriteriale qui presentato.</w:t>
      </w:r>
      <w:r w:rsidR="00D60B1D">
        <w:rPr>
          <w:rFonts w:eastAsiaTheme="majorEastAsia"/>
        </w:rPr>
        <w:t xml:space="preserve"> </w:t>
      </w:r>
      <w:r w:rsidRPr="001916C9">
        <w:rPr>
          <w:rFonts w:eastAsiaTheme="majorEastAsia"/>
        </w:rPr>
        <w:t>Tale articolazione risponde all’obiettivo generale della proposta di analizzare i fabbisogni connessi alla mobilità elettrica, all’idrogeno e agli altri vettori energetici sostenibili e di definire una metodologia oggettiva per la valutazione delle relative alternative localizzative.</w:t>
      </w:r>
    </w:p>
    <w:p w14:paraId="78989260" w14:textId="65557847" w:rsidR="001916C9" w:rsidRDefault="001916C9" w:rsidP="001916C9">
      <w:pPr>
        <w:rPr>
          <w:rStyle w:val="Titolo1Carattere"/>
          <w:b w:val="0"/>
          <w:iCs/>
        </w:rPr>
      </w:pPr>
      <w:r w:rsidRPr="001916C9">
        <w:rPr>
          <w:rFonts w:eastAsiaTheme="majorEastAsia"/>
        </w:rPr>
        <w:t xml:space="preserve">Le due direttrici concorrono a un medesimo obiettivo: accompagnare l’evoluzione del sistema regionale della mobilità attraverso </w:t>
      </w:r>
      <w:r w:rsidR="00D60B1D" w:rsidRPr="00D60B1D">
        <w:rPr>
          <w:rFonts w:eastAsiaTheme="majorEastAsia"/>
        </w:rPr>
        <w:t>lo sviluppo di infrastrutture accessibili al pubblico capaci</w:t>
      </w:r>
      <w:r w:rsidR="00D60B1D">
        <w:rPr>
          <w:rFonts w:eastAsiaTheme="majorEastAsia"/>
        </w:rPr>
        <w:t xml:space="preserve"> </w:t>
      </w:r>
      <w:r w:rsidRPr="001916C9">
        <w:rPr>
          <w:rFonts w:eastAsiaTheme="majorEastAsia"/>
        </w:rPr>
        <w:t xml:space="preserve">di sostenere la progressiva diffusione delle tecnologie a basse o nulle emissioni. La disponibilità delle infrastrutture costituisce infatti una condizione essenziale per rendere concretamente utilizzabili su scala territoriale le nuove tecnologie di mobilità e, allo stesso tempo, la crescita della domanda rappresenta un elemento necessario per giustificare e sostenere nuovi investimenti infrastrutturali. Si configura pertanto un processo di sviluppo progressivo nel quale </w:t>
      </w:r>
      <w:r w:rsidRPr="001916C9">
        <w:rPr>
          <w:rFonts w:eastAsiaTheme="majorEastAsia"/>
          <w:b/>
          <w:bCs/>
        </w:rPr>
        <w:t>infrastrutture, diffusione dei veicoli e dei vettori alternativi, crescita della domanda e nuovi investimenti si rafforzano reciprocamente</w:t>
      </w:r>
      <w:r w:rsidRPr="001916C9">
        <w:rPr>
          <w:rFonts w:eastAsiaTheme="majorEastAsia"/>
        </w:rPr>
        <w:t xml:space="preserve">. In tale prospettiva, l’obiettivo dello studio non è semplicemente individuare punti nei quali installare nuove infrastrutture, ma contribuire alla costruzione di una rete integrata capace di rispondere alla domanda attuale e futura, valorizzare gli investimenti regionali già effettuati e sostenere lo sviluppo del sistema energetico e logistico regionale. </w:t>
      </w:r>
    </w:p>
    <w:p w14:paraId="7A8EC939" w14:textId="18261013" w:rsidR="006F439E" w:rsidRDefault="001916C9" w:rsidP="001916C9">
      <w:pPr>
        <w:rPr>
          <w:rStyle w:val="Titolo1Carattere"/>
          <w:b w:val="0"/>
          <w:iCs/>
        </w:rPr>
      </w:pPr>
      <w:r w:rsidRPr="001916C9">
        <w:rPr>
          <w:rFonts w:eastAsiaTheme="majorEastAsia"/>
        </w:rPr>
        <w:t xml:space="preserve">Questa esigenza assume particolare rilevanza nel </w:t>
      </w:r>
      <w:r w:rsidRPr="001916C9">
        <w:rPr>
          <w:rFonts w:eastAsiaTheme="majorEastAsia"/>
          <w:b/>
          <w:bCs/>
        </w:rPr>
        <w:t>Friuli Venezia Giulia</w:t>
      </w:r>
      <w:r w:rsidRPr="001916C9">
        <w:rPr>
          <w:rFonts w:eastAsiaTheme="majorEastAsia"/>
        </w:rPr>
        <w:t>, dove alla domanda generata internamente al territorio si affiancano flussi di più ampia scala connessi al ruolo della Regione nel sistema logistico europeo. La presenza di porti, retroporti, interporti e collegamenti internazionali e l’inserimento nei corridoi della rete TEN-T determinano infatti la necessità di considerare, nella pianificazione delle infrastrutture, non soltanto gli spostamenti regionali, ma anche la domanda associata alla mobilità di lunga percorrenza e ai collegamenti transfrontalieri. Tarvisio, Gorizia, Monfalcone e l’area di Lisert sono richiamati come riferimenti territoriali utili alla lettura delle direttrici logistiche e transfrontaliere; la loro menzione non equivale alla selezione di Hub né alla verifica dei requisiti AFIR per un sito specifico. In questo contesto, una rete adeguatamente dimensionata e localizzata può contribuire non soltanto alla decarbonizzazione della mobilità regionale, ma anche a rafforzare l’attrattività del territorio per i flussi di attraversamento e per gli operatori interessati allo sviluppo di nuove infrastrutture e servizi energetici. La proposta attribuisce infatti al sistema infrastrutturale anche una funzione di rafforzamento del posizionamento del Friuli Venezia Giulia quale piattaforma logistica ed energetica di livello europeo.</w:t>
      </w:r>
    </w:p>
    <w:p w14:paraId="3C53B99B" w14:textId="07A1ECD1" w:rsidR="006F439E" w:rsidRDefault="001916C9" w:rsidP="001916C9">
      <w:pPr>
        <w:rPr>
          <w:rStyle w:val="Titolo1Carattere"/>
          <w:b w:val="0"/>
          <w:iCs/>
        </w:rPr>
      </w:pPr>
      <w:r w:rsidRPr="001916C9">
        <w:rPr>
          <w:rFonts w:eastAsiaTheme="majorEastAsia"/>
        </w:rPr>
        <w:t xml:space="preserve">La </w:t>
      </w:r>
      <w:r w:rsidRPr="001916C9">
        <w:rPr>
          <w:rFonts w:eastAsiaTheme="majorEastAsia"/>
          <w:b/>
          <w:bCs/>
        </w:rPr>
        <w:t>localizzazione</w:t>
      </w:r>
      <w:r w:rsidRPr="001916C9">
        <w:rPr>
          <w:rFonts w:eastAsiaTheme="majorEastAsia"/>
        </w:rPr>
        <w:t xml:space="preserve"> costituisce pertanto un elemento centrale dell’intero studio. La distribuzione delle infrastrutture non può essere affrontata attraverso una semplice ripartizione geografica dei punti di ricarica o rifornimento, poiché deve mettere in relazione domanda di mobilità, configurazione della rete stradale, sistema logistico, disponibilità e caratteristiche delle reti energetiche, assetto territoriale e sostenibilità degli investimenti. A questi elementi si aggiunge la necessità di garantire la coerenza delle scelte con il </w:t>
      </w:r>
      <w:r w:rsidRPr="001916C9">
        <w:rPr>
          <w:rFonts w:eastAsiaTheme="majorEastAsia"/>
          <w:b/>
          <w:bCs/>
        </w:rPr>
        <w:t>quadro normativo e programmatorio</w:t>
      </w:r>
      <w:r w:rsidRPr="001916C9">
        <w:rPr>
          <w:rFonts w:eastAsiaTheme="majorEastAsia"/>
        </w:rPr>
        <w:t xml:space="preserve"> ricostruito nel capitolo precedente: gli indirizzi europei per le infrastrutture dei combustibili alternativi e la rete TEN-T, la pianificazione nazionale e regionale in materia di energia e idrogeno, gli strumenti di programmazione dei trasporti e di governo del territorio e le normative tecniche applicabili alle infrastrutture costituiscono, nel loro insieme, riferimenti per l’individuazione di vincoli, opportunità e criteri localizzativi.</w:t>
      </w:r>
    </w:p>
    <w:p w14:paraId="0720A0DA" w14:textId="42CA119C" w:rsidR="006F439E" w:rsidRDefault="00BB6940" w:rsidP="00BB6940">
      <w:pPr>
        <w:rPr>
          <w:rFonts w:eastAsiaTheme="majorEastAsia"/>
        </w:rPr>
      </w:pPr>
      <w:r w:rsidRPr="00BB6940">
        <w:rPr>
          <w:rFonts w:eastAsiaTheme="majorEastAsia"/>
        </w:rPr>
        <w:t xml:space="preserve">Ne deriva un problema localizzativo necessariamente </w:t>
      </w:r>
      <w:r w:rsidRPr="00BB6940">
        <w:rPr>
          <w:rFonts w:eastAsiaTheme="majorEastAsia"/>
          <w:b/>
          <w:bCs/>
        </w:rPr>
        <w:t>multidimensionale</w:t>
      </w:r>
      <w:r w:rsidRPr="00BB6940">
        <w:rPr>
          <w:rFonts w:eastAsiaTheme="majorEastAsia"/>
        </w:rPr>
        <w:t xml:space="preserve">, nel quale la scelta dei siti deve essere supportata da approfondimenti incrociati e non può dipendere da un singolo indicatore. La pianificazione delle infrastrutture richiede una lettura ampia, attenta all’accessibilità, allo sviluppo territoriale, al turismo sostenibile, all’integrazione energetica e alla decarbonizzazione. Il ranking degli Hub documentato nel Capitolo 5 valuta, a questa scala, otto indicatori territoriali e funzionali: LIGHT, HEAVY, GRID, LOGISTICS, INDUSTRY, PGRA, H₂ e TPL. Le verifiche economiche e gli ulteriori approfondimenti progettuali restano fasi successive, non criteri già quantificati nel ranking.</w:t>
      </w:r>
      <w:r w:rsidRPr="00BB6940">
        <w:rPr>
          <w:rFonts w:eastAsiaTheme="majorEastAsia"/>
        </w:rPr>
        <w:lastRenderedPageBreak/>
        <w:t/>
      </w:r>
    </w:p>
    <w:p w14:paraId="2B8BB61C" w14:textId="1601CF5D" w:rsidR="00610A17" w:rsidRDefault="00BB6940" w:rsidP="00610A17">
      <w:pPr>
        <w:rPr>
          <w:rStyle w:val="Titolo1Carattere"/>
          <w:b w:val="0"/>
          <w:iCs/>
        </w:rPr>
      </w:pPr>
      <w:r w:rsidRPr="00BB6940">
        <w:rPr>
          <w:rFonts w:eastAsiaTheme="majorEastAsia"/>
        </w:rPr>
        <w:t xml:space="preserve">Su tali presupposti, i due successivi livelli metodologici vengono sviluppati in maniera distinta ma coordinata. Il </w:t>
      </w:r>
      <w:r w:rsidRPr="00BB6940">
        <w:rPr>
          <w:rFonts w:eastAsiaTheme="majorEastAsia"/>
          <w:b/>
          <w:bCs/>
        </w:rPr>
        <w:t>Capitolo 4</w:t>
      </w:r>
      <w:r w:rsidRPr="00BB6940">
        <w:rPr>
          <w:rFonts w:eastAsiaTheme="majorEastAsia"/>
        </w:rPr>
        <w:t xml:space="preserve"> approfondisce la localizzazione delle infrastrutture di ricarica elettrica </w:t>
      </w:r>
      <w:r w:rsidR="00D60B1D">
        <w:rPr>
          <w:rFonts w:eastAsiaTheme="majorEastAsia"/>
        </w:rPr>
        <w:t xml:space="preserve">accessibili al pubblico </w:t>
      </w:r>
      <w:r w:rsidRPr="00BB6940">
        <w:rPr>
          <w:rFonts w:eastAsiaTheme="majorEastAsia"/>
        </w:rPr>
        <w:t xml:space="preserve">attraverso l’analisi della domanda e dei flussi di mobilità e i relativi modelli localizzativi; il Capitolo 5 descrive il confronto multicriteriale delle aree candidate a Hub Energetici Green e presenta il ranking regionale generale, accompagnato da quattro viste provinciali derivate. Il Capitolo 6 raccoglie i risultati documentati dei rispettivi filoni, evidenziandone stato e limiti e distinguendo gli ordinamenti comparativi dalle successive decisioni su siti e priorità di investimento.</w:t>
      </w:r>
      <w:r w:rsidRPr="00BB6940">
        <w:rPr>
          <w:rFonts w:eastAsiaTheme="majorEastAsia"/>
          <w:b/>
          <w:bCs/>
        </w:rPr>
        <w:t/>
      </w:r>
      <w:r w:rsidRPr="00BB6940">
        <w:rPr>
          <w:rFonts w:eastAsiaTheme="majorEastAsia"/>
        </w:rPr>
        <w:t xml:space="preserve"/>
      </w:r>
      <w:r>
        <w:rPr>
          <w:rFonts w:eastAsiaTheme="majorEastAsia"/>
        </w:rPr>
        <w:t/>
      </w:r>
      <w:r w:rsidRPr="00BB6940">
        <w:rPr>
          <w:rFonts w:eastAsiaTheme="majorEastAsia"/>
        </w:rPr>
        <w:t xml:space="preserve"/>
      </w:r>
      <w:r w:rsidR="00F07234">
        <w:rPr>
          <w:rFonts w:eastAsiaTheme="majorEastAsia"/>
        </w:rPr>
        <w:t/>
      </w:r>
      <w:r w:rsidRPr="00BB6940">
        <w:rPr>
          <w:rFonts w:eastAsiaTheme="majorEastAsia"/>
        </w:rPr>
        <w:t xml:space="preserve"/>
      </w:r>
    </w:p>
    <w:p w14:paraId="59E5C4A2" w14:textId="77777777" w:rsidR="006F439E" w:rsidRDefault="006F439E">
      <w:pPr>
        <w:widowControl/>
        <w:spacing w:before="0" w:after="160" w:line="278" w:lineRule="auto"/>
        <w:jc w:val="left"/>
        <w:rPr>
          <w:rStyle w:val="Titolo1Carattere"/>
          <w:b w:val="0"/>
          <w:iCs/>
        </w:rPr>
      </w:pPr>
    </w:p>
    <w:p w14:paraId="792246D9" w14:textId="0FD42D97" w:rsidR="006F439E" w:rsidRDefault="006F439E">
      <w:pPr>
        <w:widowControl/>
        <w:spacing w:before="0" w:after="160" w:line="278" w:lineRule="auto"/>
        <w:jc w:val="left"/>
        <w:rPr>
          <w:rStyle w:val="Titolo1Carattere"/>
          <w:iCs/>
          <w:sz w:val="24"/>
          <w:szCs w:val="24"/>
        </w:rPr>
      </w:pPr>
      <w:r>
        <w:rPr>
          <w:rStyle w:val="Titolo1Carattere"/>
          <w:b w:val="0"/>
          <w:iCs/>
        </w:rPr>
        <w:br w:type="page"/>
      </w:r>
    </w:p>
    <w:p w14:paraId="626248ED" w14:textId="10B4C761" w:rsidR="00B0085B" w:rsidRPr="00472BDE" w:rsidRDefault="00B0085B" w:rsidP="00472BDE">
      <w:pPr>
        <w:pStyle w:val="Titolo1"/>
      </w:pPr>
      <w:bookmarkStart w:id="10" w:name="_Toc241161212"/>
      <w:r w:rsidRPr="00472BDE">
        <w:rPr>
          <w:rStyle w:val="Titolo1Carattere"/>
          <w:b/>
          <w:iCs/>
        </w:rPr>
        <w:lastRenderedPageBreak/>
        <w:t>Metodologia per la localizzazione delle infrastrutture di ricarica</w:t>
      </w:r>
      <w:r w:rsidR="003F7929">
        <w:rPr>
          <w:rStyle w:val="Titolo1Carattere"/>
          <w:b/>
          <w:iCs/>
        </w:rPr>
        <w:t xml:space="preserve"> per veicoli leggeri</w:t>
      </w:r>
      <w:bookmarkEnd w:id="10"/>
    </w:p>
    <w:p>
      <w:pPr>
        <w:pStyle w:val="Titolo2"/>
      </w:pPr>
      <w:bookmarkStart w:id="38" w:name="_Toc241161213"/>
      <w:r>
        <w:t>Obiettivi e impostazione metodologica</w:t>
      </w:r>
      <w:bookmarkEnd w:id="38"/>
    </w:p>
    <w:p>
      <w:pPr/>
      <w:r>
        <w:t>La pianificazione delle infrastrutture di ricarica per veicoli elettrici richiede di considerare non soltanto la distribuzione della popolazione e delle attività sul territorio, ma anche le modalità con cui gli utenti si spostano lungo la rete stradale. Un'ubicazione può infatti risultare favorevole dal punto di vista geografico senza essere necessariamente efficace nel servire i flussi di mobilità. È quindi necessario adottare un approccio che metta in relazione le caratteristiche del territorio, la domanda di trasporto e l'accessibilità delle infrastrutture.</w:t>
      </w:r>
    </w:p>
    <w:p>
      <w:pPr/>
      <w:r>
        <w:t>Il presente capitolo descrive la metodologia sviluppata per il dimensionamento e la localizzazione delle infrastrutture di ricarica accessibili al pubblico destinate ai veicoli leggeri nel Friuli Venezia Giulia, assumendo il 2030 come orizzonte temporale di riferimento. L'obiettivo è determinare la capacità di ricarica aggiuntiva necessaria e individuare una distribuzione delle nuove infrastrutture coerente con le esigenze di mobilità e con i requisiti di copertura della rete, attraverso un procedimento documentato e riproducibile.</w:t>
      </w:r>
    </w:p>
    <w:p>
      <w:pPr/>
      <w:r>
        <w:t>La metodologia si articola in una successione di analisi tra loro collegate. La prima fase riguarda la raccolta e l'elaborazione dei dati territoriali e di mobilità. Le informazioni relative alla popolazione, agli spostamenti per lavoro, al parco automobilistico e alle principali attività capaci di generare o attrarre traffico costituiscono la base per ricostruire la domanda di mobilità tra i comuni della regione.</w:t>
      </w:r>
    </w:p>
    <w:p>
      <w:pPr/>
      <w:r>
        <w:t>A questa analisi si affianca la costruzione di una rappresentazione della rete stradale, che permette di individuare i collegamenti effettivamente percorribili, considerando le direzioni di marcia e le restrizioni alla circolazione. La domanda di mobilità viene quindi organizzata in una matrice Origine-Destinazione (OD), che quantifica gli spostamenti tra i diversi comuni. Ai dati di pendolarismo disponibili viene affiancata una componente stimata attraverso un modello gravitazionale, con l'obiettivo di rappresentare anche parte della mobilità dovuta a motivazioni differenti dal lavoro.</w:t>
      </w:r>
    </w:p>
    <w:p>
      <w:pPr/>
      <w:r>
        <w:t>Gli spostamenti così ricostruiti vengono successivamente associati ai percorsi stradali che collegano i comuni di origine e destinazione. In questo modo è possibile stimare la distribuzione dei flussi di veicoli sulla rete e individuare le direttrici maggiormente interessate dalla mobilità interna regionale. Il confronto con i conteggi di traffico disponibili consente di valutare la coerenza delle stime e di evidenziarne i limiti. I flussi ottenuti rappresentano infatti una ricostruzione modellistica della mobilità e non una misura diretta del traffico su ogni strada.</w:t>
      </w:r>
    </w:p>
    <w:p>
      <w:pPr/>
      <w:r>
        <w:t>La fase successiva riguarda il dimensionamento delle infrastrutture di ricarica. A partire dal fabbisogno regionale di potenza previsto per il 2030 e dalla capacità delle infrastrutture esistenti considerate nel bilancio, viene determinata la potenza aggiuntiva necessaria e il corrispondente numero di nuove infrastrutture da realizzare.</w:t>
      </w:r>
    </w:p>
    <w:p>
      <w:pPr/>
      <w:r>
        <w:t>Una volta definito il dimensionamento complessivo, la metodologia affronta il problema della localizzazione. L'obiettivo non è semplicemente collocare le infrastrutture lungo le strade più trafficate, ma individuare una distribuzione che garantisca la continuità delle opportunità di ricarica lungo i percorsi, l'accessibilità del servizio per tutti i comuni e il rispetto dei requisiti previsti lungo la rete transeuropea dei trasporti (TEN-T). La metodologia prevede pertanto di soddisfare innanzitutto tali condizioni e, successivamente, di ottimizzare la distribuzione delle infrastrutture, tenendo conto anche dell'intensità dei flussi di mobilità.</w:t>
      </w:r>
    </w:p>
    <w:p>
      <w:pPr/>
      <w:r>
        <w:t>Il risultato atteso è una configurazione di pianificazione che indica i comuni, i collegamenti stradali e, quando necessario, le direzioni di marcia a cui assegnare le nuove stazioni. Le posizioni geometriche lungo gli archi vengono precisate solo quando servono a verificare i vincoli: non si individuano in questa fase particelle, piazzole o siti definitivi di installazione.</w:t>
      </w:r>
    </w:p>
    <w:p>
      <w:pPr/>
      <w:r>
        <w:t>Le sezioni seguenti approfondiscono progressivamente le fasi della metodologia, dalla preparazione dei dati fino al dimensionamento e alla localizzazione delle infrastrutture, evidenziando infine le verifiche ancora necessarie e i limiti dei risultati. L'analisi è distinta dalla valutazione multicriteriale delle aree candidate a Hub Energetici Green, trattata nel capitolo 5, con la quale condivide il contesto territoriale ma non gli specifici obiettivi e criteri di localizzazione.</w:t>
      </w:r>
    </w:p>
    <w:p>
      <w:pPr>
        <w:pStyle w:val="Titolo2"/>
      </w:pPr>
      <w:bookmarkStart w:id="39" w:name="_Toc241161214"/>
      <w:r>
        <w:t>Raccolta e preparazione dei dati</w:t>
      </w:r>
      <w:bookmarkEnd w:id="39"/>
    </w:p>
    <w:p>
      <w:pPr/>
      <w:r>
        <w:t>La ricostruzione della mobilità dei veicoli leggeri richiede l'integrazione di informazioni territoriali, statistiche e relative al traffico stradale. Le fonti utilizzate comprendono la distribuzione della popolazione, gli spostamenti per lavoro, il parco automobilistico, le presenze turistiche, le attività commerciali e i conteggi di traffico disponibili lungo la rete.</w:t>
      </w:r>
    </w:p>
    <w:p>
      <w:pPr/>
      <w:r>
        <w:t>Poiché questi dati si riferiscono ad anni differenti e presentano diverse unità di misura e livelli di dettaglio territoriale, è stato necessario organizzarli in una base informativa coerente.</w:t>
      </w:r>
      <w:r>
        <w:t xml:space="preserve"> La base distingue le grandezze osservate da quelle ricostruite mediante stima.</w:t>
      </w:r>
    </w:p>
    <w:p>
      <w:pPr>
        <w:pStyle w:val="Titolo3"/>
      </w:pPr>
      <w:r>
        <w:t>Dati territoriali e popolazione</w:t>
      </w:r>
    </w:p>
    <w:p>
      <w:pPr/>
      <w:r>
        <w:t>L'ambito territoriale dello studio comprende i 215 comuni del Friuli Venezia Giulia, utilizzati come unità di riferimento per descrivere le origini e le destinazioni degli spostamenti.</w:t>
      </w:r>
    </w:p>
    <w:p>
      <w:pPr/>
      <w:r>
        <w:t>La base geografica è costituita dai confini amministrativi comunali e dai dati sulla distribuzione della popolazione residente, ricavati dalle informazioni territoriali e censuarie dell'Istituto Nazionale di Statistica (ISTAT). Le diverse fonti sono state associate ai rispettivi comuni mediante i codici identificativi amministrativi.</w:t>
      </w:r>
    </w:p>
    <w:p>
      <w:pPr/>
      <w:r>
        <w:t>La popolazione non è distribuita uniformemente all'interno dei territori comunali. Questa caratteristica è particolarmente evidente nei comuni montani e nei territori più estesi, dove gli insediamenti possono concentrarsi in aree relativamente circoscritte.</w:t>
      </w:r>
    </w:p>
    <w:p>
      <w:pPr/>
      <w:r>
        <w:t>Per rappresentare questa distribuzione, a ciascun comune è stato associato un centroide ponderato sulla popolazione. Il punto viene calcolato considerando la posizione delle sezioni di censimento e attribuendo a ciascuna un peso proporzionale agli abitanti residenti. A differenza del centroide geometrico, che dipende esclusivamente dalla forma del territorio comunale, quello ponderato tende a rappresentare più fedelmente la localizzazione della popolazione.</w:t>
      </w:r>
    </w:p>
    <w:p>
      <w:pPr/>
      <w:r>
        <w:t>La procedura è stata applicata a tutti i 215 comuni e le verifiche geografiche hanno confermato che ciascun centroide ricade all'interno del rispettivo territorio amministrativo.</w:t>
      </w:r>
    </w:p>
    <w:p>
      <w:pPr/>
      <w:r>
        <w:t>I centroidi costituiscono una rappresentazione sintetica della distribuzione degli abitanti. Non identificano necessariamente i luoghi effettivi di partenza degli spostamenti e non vengono considerati come possibili siti di installazione delle infrastrutture di ricarica.</w:t>
      </w:r>
    </w:p>
    <w:p>
      <w:pPr>
        <w:pStyle w:val="Titolo3"/>
      </w:pPr>
      <w:r>
        <w:t>Pendolarismo ISTAT</w:t>
      </w:r>
    </w:p>
    <w:p>
      <w:pPr/>
      <w:r/>
      <w:r/>
      <w:r>
        <w:t>La principale fonte utilizzata per ricostruire le relazioni di mobilità per motivi di lavoro è la matrice del pendolarismo ISTAT 2021.</w:t>
      </w:r>
    </w:p>
    <w:p>
      <w:pPr/>
      <w:r>
        <w:t>Il dataset associa al comune di residenza degli occupati il comune in cui questi svolgono abitualmente la propria attività lavorativa. Sono considerate le persone che raggiungono il luogo abituale di lavoro almeno tre giorni alla settimana e rientrano giornalmente alla propria residenza.</w:t>
      </w:r>
    </w:p>
    <w:p>
      <w:pPr/>
      <w:r>
        <w:t>La matrice permette quindi di conoscere sia la distribuzione territoriale degli occupati sia le relazioni di mobilità tra i comuni. È importante precisare che i valori rappresentano persone e non veicoli: il numero di pendolari non corrisponde direttamente al numero di autovetture che percorrono quotidianamente la rete stradale.</w:t>
      </w:r>
    </w:p>
    <w:p>
      <w:pPr/>
      <w:r/>
      <w:r>
        <w:rPr>
          <w:i/>
        </w:rPr>
      </w:r>
      <w:r/>
      <w:r>
        <w:t>Per stimare la componente di mobilità effettuata con automobile privata è stata inoltre considerata la ripartizione delle modalità di trasporto riportata nella scheda regionale ISTAT Dati statistici per il territorio – Friuli Venezia Giulia, relativa al 2019. Secondo tale fonte, il 71,1% degli occupati raggiunge abitualmente il luogo di lavoro utilizzando l'automobile privata come conducente.</w:t>
      </w:r>
    </w:p>
    <w:p>
      <w:pPr/>
      <w:r>
        <w:t>Questo valore riguarda i conducenti e non comprende indistintamente tutti gli occupanti delle autovetture. La distinzione è necessaria per il successivo passaggio da persone a veicoli.</w:t>
      </w:r>
    </w:p>
    <w:p>
      <w:pPr/>
      <w:r>
        <w:t>L'utilizzo congiunto della matrice di pendolarismo 2021 e della quota modale 2019 introduce un'ipotesi legata alla differenza temporale tra le fonti. La procedura di conversione in spostamenti veicolari giornalieri, comprese le ipotesi sulla frequenza annuale, verrà descritta nel §4.4.</w:t>
      </w:r>
    </w:p>
    <w:p>
      <w:pPr/>
      <w:r>
        <w:t>La domanda considerata nello studio riguarda le relazioni tra comuni interni al Friuli Venezia Giulia. Gli spostamenti effettuati interamente nello stesso comune, quelli con origine o destinazione esterna alla regione e i flussi di attraversamento non sono inclusi nella matrice intercomunale operativa. Tale delimitazione costituisce un elemento importante per la successiva interpretazione dei risultati.</w:t>
      </w:r>
    </w:p>
    <w:p>
      <w:pPr>
        <w:pStyle w:val="Titolo3"/>
      </w:pPr>
      <w:r>
        <w:t>Parco automobilistico, turismo e attività commerciali</w:t>
      </w:r>
    </w:p>
    <w:p>
      <w:pPr/>
      <w:r>
        <w:t>I dati sul pendolarismo permettono di descrivere gli spostamenti abituali per lavoro, ma non rappresentano le altre motivazioni di viaggio, come turismo, acquisti, tempo libero e accesso ai servizi.</w:t>
      </w:r>
    </w:p>
    <w:p>
      <w:pPr/>
      <w:r>
        <w:t>Per integrare queste informazioni sono stati raccolti tre indicatori territoriali: il numero di autovetture registrate, le presenze turistiche e la superficie delle attività commerciali di medio-grandi dimensioni. Questi indicatori non misurano direttamente gli spostamenti, ma forniscono informazioni sulla diversa capacità dei comuni di generarli o attrarli.</w:t>
      </w:r>
    </w:p>
    <w:p>
      <w:pPr>
        <w:pStyle w:val="Paragrafo"/>
      </w:pPr>
      <w:r>
        <w:t>Parco automobilistico</w:t>
      </w:r>
    </w:p>
    <w:p>
      <w:pPr/>
      <w:r/>
      <w:r>
        <w:rPr>
          <w:i/>
        </w:rPr>
      </w:r>
      <w:r/>
      <w:r>
        <w:t>Il primo indicatore è rappresentato dal numero di autovetture registrate in ciascun comune, ricavato dall'archivio ACI Autoritratto 2024 – Parco veicolare.</w:t>
      </w:r>
    </w:p>
    <w:p>
      <w:pPr/>
      <w:r>
        <w:t>Nella preparazione del dataset sono state considerate le autovetture attribuite ai 215 comuni regionali. Le 20 autovetture associate alla voce amministrativa «Comune non definito» sono state escluse, senza redistribuirle arbitrariamente tra i territori.</w:t>
      </w:r>
    </w:p>
    <w:p>
      <w:pPr/>
      <w:r>
        <w:t xml:space="preserve">Il totale comunale utilizzato è quindi pari a </w:t>
      </w:r>
      <w:r>
        <w:rPr>
          <w:b/>
        </w:rPr>
        <w:t>828.909 autovetture</w:t>
      </w:r>
      <w:r>
        <w:t>.</w:t>
      </w:r>
    </w:p>
    <w:p>
      <w:pPr/>
      <w:r>
        <w:t>Questo dato descrive la distribuzione del parco automobilistico e non il numero di veicoli effettivamente circolanti ogni giorno. Costituisce pertanto un indicatore della disponibilità territoriale di mezzi privati, utilizzabile per rappresentare la diversa capacità dei comuni di generare mobilità automobilistica.</w:t>
      </w:r>
    </w:p>
    <w:p>
      <w:pPr>
        <w:pStyle w:val="Paragrafo"/>
      </w:pPr>
      <w:r>
        <w:t>Presenze turistiche</w:t>
      </w:r>
    </w:p>
    <w:p>
      <w:pPr/>
      <w:r/>
      <w:r/>
      <w:r>
        <w:t>Le presenze turistiche 2024, ricavate dalle statistiche ISTAT, misurano il numero di pernottamenti nelle strutture ricettive. Per 178 comuni sono disponibili valori osservati; per 35 comuni con dati oscurati è stato ripartito il residuo delle presenze regionali in proporzione alla capacità ricettiva. Due comuni senza capacità ricettiva mantengono valore nullo. La ricostruzione conserva il totale regionale di 10.143.980 presenze e distingue le osservazioni dai valori stimati.</w:t>
      </w:r>
    </w:p>
    <w:p>
      <w:pPr>
        <w:pStyle w:val="Paragrafo"/>
      </w:pPr>
      <w:r>
        <w:t>Attività commerciali</w:t>
      </w:r>
    </w:p>
    <w:p>
      <w:pPr/>
      <w:r>
        <w:t>Il terzo indicatore descrive la distribuzione delle attività commerciali di medio-grandi dimensioni, utilizzando i dati dell'Osservatorio regionale del commercio del Friuli Venezia Giulia, aggiornati al 31 dicembre 2023.</w:t>
      </w:r>
    </w:p>
    <w:p>
      <w:pPr/>
      <w:r>
        <w:t>La variabile considerata è la superficie di vendita, espressa in metri quadrati, relativa alla distribuzione commerciale strutturata superiore a 400 m². Le categorie utilizzate comprendono le medie superfici ammissibili, le grandi strutture singole, i centri commerciali e i complessi commerciali.</w:t>
      </w:r>
    </w:p>
    <w:p>
      <w:pPr/>
      <w:r>
        <w:t xml:space="preserve">Le superfici sono state aggregate per comune, prestando attenzione a evitare duplicazioni tra le diverse categorie. La base ottenuta comprende tutti i 215 comuni e presenta una superficie commerciale complessiva di </w:t>
      </w:r>
      <w:r>
        <w:rPr>
          <w:b/>
        </w:rPr>
        <w:t>1.480.796,13 m²</w:t>
      </w:r>
      <w:r>
        <w:t>.</w:t>
      </w:r>
    </w:p>
    <w:p>
      <w:pPr/>
      <w:r>
        <w:t>La superficie di vendita è impiegata come indicatore indiretto dell'attrattività commerciale dei comuni.</w:t>
      </w:r>
    </w:p>
    <w:p>
      <w:pPr>
        <w:pStyle w:val="Paragrafo"/>
      </w:pPr>
      <w:r>
        <w:t>Integrazione degli indicatori territoriali</w:t>
      </w:r>
    </w:p>
    <w:p>
      <w:pPr/>
      <w:r>
        <w:t>I tre indicatori sono stati organizzati in una base comune, associando a ciascun comune il numero di autovetture, le presenze turistiche e la superficie commerciale.</w:t>
      </w:r>
    </w:p>
    <w:p>
      <w:pPr/>
      <w:r>
        <w:t>La base integrata comprende tutti i 215 comuni.</w:t>
      </w:r>
    </w:p>
    <w:p>
      <w:pPr/>
      <w:r>
        <w:t>Questa base informativa verrà utilizzata nella ricostruzione della domanda di mobilità non pendolare, descritta nel §4.4, attraverso un modello che tiene conto della diversa capacità dei territori di generare e attrarre spostamenti.</w:t>
      </w:r>
    </w:p>
    <w:p>
      <w:pPr>
        <w:pStyle w:val="Titolo3"/>
      </w:pPr>
      <w:r>
        <w:t>Conteggi di traffico ANAS</w:t>
      </w:r>
    </w:p>
    <w:p>
      <w:pPr/>
      <w:r/>
      <w:r/>
      <w:r>
        <w:t>Per affiancare alla ricostruzione della mobilità un riscontro rilevato direttamente sulla rete stradale, sono stati acquisiti i conteggi pubblicati da ANAS. L'indicatore considerato è il Traffico Giornaliero Medio Annuo (TGMA), che esprime il numero medio di veicoli transitati quotidianamente attraverso una sezione stradale nell'arco di un anno.</w:t>
      </w:r>
    </w:p>
    <w:p>
      <w:pPr/>
      <w:r>
        <w:t>Questi rilievi descrivono il traffico che attraversa un punto della rete, senza distinguere direttamente i comuni di origine e destinazione dei veicoli. Forniscono quindi un termine di confronto per i flussi ricostruiti, ma non equivalgono a osservazioni della matrice Origine-Destinazione.</w:t>
      </w:r>
    </w:p>
    <w:p>
      <w:pPr/>
      <w:r>
        <w:t>Sono state esaminate le serie storiche disponibili per il periodo 2017–2025, ricondotte a 20 sezioni stradali di riferimento distinguendo le singole postazioni fisiche dalle sezioni effettivamente utilizzate nell'analisi. La disponibilità dei rilievi varia sia fra le postazioni sia da un anno all'altro: nel 2024, scelto come riferimento principale per il confronto con i flussi modellati, risultano osservazioni dirette per 10 sezioni.</w:t>
      </w:r>
    </w:p>
    <w:p>
      <w:pPr/>
      <w:r>
        <w:t>I dati del 2025 sono stati invece mantenuti separati, per consentire successivi confronti temporali senza utilizzarli nella calibrazione basata sul 2024.</w:t>
      </w:r>
    </w:p>
    <w:p>
      <w:pPr/>
      <w:r>
        <w:t>La distribuzione geografica delle osservazioni è disomogenea. Alcuni corridoi settentrionali, orientali e dell'area triestina sono maggiormente rappresentati, mentre il settore occidentale presenta una copertura più limitata. In particolare, le direttrici autostradali A4 e A28 verso il Veneto risultano meno documentate da misure dirette; i conteggi sulle strade statali SS13 e SS14 arricchiscono il quadro informativo, ma non sostituiscono rilievi eseguiti sulle autostrade.</w:t>
      </w:r>
    </w:p>
    <w:p>
      <w:pPr/>
      <w:r>
        <w:t>Anche la prossimità di diverse postazioni ai confini incide sull'interpretazione dei conteggi. Ai movimenti fra comuni del Friuli Venezia Giulia possono sommarsi ingressi, uscite e transiti di attraversamento, che non rientrano nella matrice della sola mobilità intercomunale interna. Inoltre, la presenza di svincoli fra una postazione e il confine può far differire il traffico rilevato da quello che attraversa effettivamente il limite regionale.</w:t>
      </w:r>
    </w:p>
    <w:p>
      <w:pPr/>
      <w:r>
        <w:t>Il confronto con i flussi modellati deve perciò tenere conto sia di quali parti della rete siano effettivamente osservate sia della diversa porzione di mobilità descritta dalle due fonti. Le modalità di confronto e l'impiego dei rilievi nella costruzione della domanda sono illustrati nei §§4.4 e 4.5.</w:t>
      </w:r>
    </w:p>
    <w:p>
      <w:pPr>
        <w:pStyle w:val="Titolo2"/>
      </w:pPr>
      <w:bookmarkStart w:id="40" w:name="_Toc241161215"/>
      <w:r>
        <w:t>Rappresentazione della rete stradale</w:t>
      </w:r>
      <w:bookmarkEnd w:id="40"/>
    </w:p>
    <w:p>
      <w:pPr/>
      <w:r>
        <w:t>Per ricostruire gli spostamenti tra i comuni è necessario disporre di una rappresentazione della rete stradale che tenga conto dei collegamenti effettivamente percorribili. La distanza geografica tra due località, infatti, non descrive necessariamente la facilità con cui possono essere raggiunte: la presenza di autostrade, strade locali, sensi unici e restrizioni alla circolazione può modificare sensibilmente gli itinerari.</w:t>
      </w:r>
    </w:p>
    <w:p>
      <w:pPr>
        <w:pStyle w:val="Titolo3"/>
      </w:pPr>
      <w:r>
        <w:t>Costruzione della rete stradale OpenStreetMap</w:t>
      </w:r>
    </w:p>
    <w:p>
      <w:pPr/>
      <w:r/>
      <w:r/>
      <w:r>
        <w:t>La rete stradale utilizzata nello studio è stata ricostruita a partire dai dati di OpenStreetMap (OSM), una banca dati geografica collaborativa che raccoglie informazioni sulla geometria e sulle caratteristiche delle infrastrutture viarie.</w:t>
      </w:r>
    </w:p>
    <w:p>
      <w:pPr/>
      <w:r>
        <w:t>La fonte è costituita da un estratto del Nord-Est italiano distribuito da Geofabrik, aggiornato al 3 agosto 2026.</w:t>
      </w:r>
    </w:p>
    <w:p>
      <w:pPr/>
      <w:r>
        <w:t>OpenStreetMap è stata adottata come rete di riferimento perché, tra le fonti esaminate, non sono emerse alternative altrettanto complete e adatte alla ricostruzione degli itinerari.</w:t>
      </w:r>
    </w:p>
    <w:p>
      <w:pPr/>
      <w:r>
        <w:t>La preparazione dei dati OSM ha previsto la selezione delle strade utilizzabili dai veicoli leggeri, dalle principali direttrici autostradali alla viabilità urbana e locale. Sono state considerate le limitazioni di accesso associate alle diverse categorie di veicoli, distinguendo le strade normalmente percorribili da quelle soggette a restrizioni specifiche.</w:t>
      </w:r>
    </w:p>
    <w:p>
      <w:pPr/>
      <w:r>
        <w:t>Un ulteriore aspetto riguarda la corretta interpretazione delle intersezioni. Due strade che si incrociano sulla carta non sono necessariamente collegate: nel caso di un cavalcavia, ad esempio, il passaggio da una strada all'altra può essere impossibile. La ricostruzione ha quindi tenuto conto delle informazioni relative a ponti, gallerie, livelli e connessioni effettive, evitando di introdurre collegamenti non consentiti.</w:t>
      </w:r>
    </w:p>
    <w:p>
      <w:pPr/>
      <w:r>
        <w:t>Il risultato è una rete stradale nella quale la geometria delle infrastrutture è associata alle informazioni necessarie per rappresentare la circolazione automobilistica.</w:t>
      </w:r>
    </w:p>
    <w:p>
      <w:pPr>
        <w:pStyle w:val="Titolo3"/>
      </w:pPr>
      <w:r>
        <w:t>Grafo stradale, direzioni e restrizioni di svolta</w:t>
      </w:r>
    </w:p>
    <w:p>
      <w:pPr/>
      <w:r>
        <w:t>Per poter analizzare gli spostamenti, la rete OpenStreetMap è stata trasformata in un grafo stradale, una rappresentazione matematica composta da nodi, che individuano i punti di connessione, e archi, che descrivono i collegamenti tra di essi.</w:t>
      </w:r>
    </w:p>
    <w:p>
      <w:pPr/>
      <w:r>
        <w:t>A ogni arco sono associate informazioni sulla lunghezza, sulla tipologia di strada e sulle condizioni di percorrenza. Il grafo è direzionato, cioè distingue i versi nei quali i veicoli possono circolare. Una strada a doppio senso può quindi essere rappresentata da due archi, uno per direzione, mentre una strada a senso unico consente il transito soltanto nel verso autorizzato.</w:t>
      </w:r>
    </w:p>
    <w:p>
      <w:pPr/>
      <w:r>
        <w:t>Questa rappresentazione permette di descrivere correttamente carreggiate separate, rampe autostradali, rotatorie e collegamenti urbani soggetti a sensi unici.</w:t>
      </w:r>
    </w:p>
    <w:p>
      <w:pPr/>
      <w:r>
        <w:t>La direzione di percorrenza non è però sufficiente a rappresentare tutte le regole della circolazione. In prossimità di un incrocio, ad esempio, una strada può essere accessibile ma una determinata svolta può essere vietata. Per questo motivo, nella costruzione della rete sono state integrate anche le restrizioni di svolta disponibili nei dati OpenStreetMap.</w:t>
      </w:r>
    </w:p>
    <w:p>
      <w:pPr/>
      <w:r>
        <w:t>La verifica della percorribilità considera quindi, quando necessario, non soltanto il collegamento che il veicolo intende attraversare, ma anche quello da cui proviene. In questo modo è possibile escludere gli itinerari che richiederebbero manovre non consentite.</w:t>
      </w:r>
    </w:p>
    <w:p>
      <w:pPr/>
      <w:r>
        <w:t>Per ciascun arco vengono inoltre conservate due grandezze distinte: la lunghezza fisica e il tempo di percorrenza, determinato sulla base delle caratteristiche della strada e delle velocità attribuite. Il loro utilizzo nella ricerca degli itinerari viene approfondito nel §4.5.</w:t>
      </w:r>
    </w:p>
    <w:p>
      <w:pPr/>
      <w:r>
        <w:t>La costruzione del grafo è stata accompagnata da verifiche sulla continuità della rete, sulla corretta interpretazione dei sensi di marcia e sull'applicazione delle restrizioni di svolta. La rete ottenuta costituisce la base stradale per le successive elaborazioni.</w:t>
      </w:r>
    </w:p>
    <w:p>
      <w:pPr>
        <w:pStyle w:val="Titolo3"/>
      </w:pPr>
      <w:r>
        <w:t>Rappresentazione dei comuni mediante tre accessi stradali</w:t>
      </w:r>
    </w:p>
    <w:p>
      <w:pPr/>
      <w:r>
        <w:t>La domanda di mobilità viene ricostruita a livello comunale, mentre gli spostamenti si svolgono lungo una rete costituita da collegamenti stradali specifici. Per mettere in relazione queste due rappresentazioni è necessario individuare, per ogni comune, i punti attraverso i quali associarlo alla rete.</w:t>
      </w:r>
    </w:p>
    <w:p>
      <w:pPr/>
      <w:r>
        <w:t>Utilizzare un solo punto potrebbe introdurre distorsioni, soprattutto nei comuni più estesi o caratterizzati da più centri abitati. Sono quindi stati individuati tre accessi stradali per ciascuno dei 215 comuni, per un totale di 645 accessi.</w:t>
      </w:r>
    </w:p>
    <w:p>
      <w:pPr/>
      <w:r>
        <w:t>Gli accessi vengono individuati in corrispondenza dei nodi che rappresentano effettive connessioni stradali, evitando i punti utilizzati soltanto per disegnare la geometria di una strada.</w:t>
      </w:r>
    </w:p>
    <w:p>
      <w:pPr/>
      <w:r>
        <w:t>Si parte dal centroide ponderato sulla popolazione, descritto nel §4.2. L'accesso principale è il nodo stradale idoneo più vicino al centroide: un punto della rete che rappresenta una connessione effettiva e può essere utilizzato per gli itinerari automobilistici. Gli altri due accessi rappresentano collegamenti differenti, cercando di restare vicini alle aree abitate.</w:t>
      </w:r>
    </w:p>
    <w:p>
      <w:pPr/>
      <w:r>
        <w:t>Per rappresentare tre collegamenti realmente distinti, gli accessi di uno stesso comune devono distare almeno 100 metri l'uno dall'altro in linea d'aria e non condividere i segmenti stradali direttamente collegati ai nodi selezionati.</w:t>
      </w:r>
    </w:p>
    <w:p>
      <w:pPr/>
      <w:r>
        <w:t>Tra le combinazioni ammissibili viene scelta quella che mantiene il più vicino possibile al centroide l'accesso più distante. Successivamente si privilegiano la minore distanza complessiva dei tre accessi e una maggiore separazione reciproca. Le eventuali parità vengono risolte mediante una regola deterministica, così da garantire la riproducibilità della selezione.</w:t>
      </w:r>
    </w:p>
    <w:p>
      <w:pPr/>
      <w:r>
        <w:t>La ricerca dei candidati viene estesa progressivamente quando i nodi inizialmente considerati non permettono di soddisfare tutte le condizioni. Questo accorgimento consente di applicare gli stessi criteri anche a territori con caratteristiche stradali molto diverse</w:t>
      </w:r>
      <w:r>
        <w:t>.</w:t>
      </w:r>
    </w:p>
    <w:p>
      <w:pPr/>
      <w:r>
        <w:t>La procedura è stata completata per tutti i 215 comuni, individuando tre accessi per ciascuno senza violazioni dei requisiti di separazione e indipendenza topologica.</w:t>
      </w:r>
    </w:p>
    <w:p>
      <w:pPr/>
      <w:r>
        <w:t>I tre accessi non ricevono necessariamente lo stesso peso. Se d_a è la distanza dell'accesso a dal centroide e d_0 quella dell'accesso principale, si pone Δd_a = d_a − d_0 e si calcola λ_a = exp(−Δd_a/300 m) / Σ_b exp(−Δd_b/300 m). La funzione favorisce gli accessi più vicini al centroide e garantisce che i tre pesi di ogni comune sommino a uno.</w:t>
      </w:r>
    </w:p>
    <w:p>
      <w:pPr/>
      <w:r>
        <w:t>Questa ponderazione permette di distribuire gli spostamenti comunali tra più collegamenti stradali, attribuendo generalmente maggiore importanza a quelli più vicini al centroide. Le modalità di utilizzo dei pesi nella ricostruzione dei percorsi e nell'assegnazione dei flussi sono illustrate nel §4.5.</w:t>
      </w:r>
    </w:p>
    <w:p>
      <w:pPr/>
      <w:r>
        <w:t>Questi accessi collegano la domanda rappresentata a livello comunale con gli itinerari della rete stradale: non sono siti candidati per le infrastrutture di ricarica.</w:t>
      </w:r>
    </w:p>
    <w:p>
      <w:pPr>
        <w:pStyle w:val="Titolo2"/>
      </w:pPr>
      <w:bookmarkStart w:id="41" w:name="_Toc241161216"/>
      <w:r>
        <w:t>Ricostruzione della domanda di mobilità</w:t>
      </w:r>
      <w:bookmarkEnd w:id="41"/>
    </w:p>
    <w:p>
      <w:pPr/>
      <w:r>
        <w:t>La domanda veicolare intercomunale viene ricostruita sommando la componente per lavoro, derivata dal pendolarismo ISTAT, e quella per altre motivazioni di viaggio, stimata con un modello gravitazionale.</w:t>
      </w:r>
    </w:p>
    <w:p>
      <w:pPr/>
      <w:r>
        <w:t>L'analisi riguarda le relazioni intercomunali interne alla regione. Rimangono quindi esclusi gli spostamenti che avvengono interamente nello stesso comune, quelli con origine o destinazione esterna al Friuli Venezia Giulia e il traffico di attraversamento.</w:t>
      </w:r>
    </w:p>
    <w:p>
      <w:pPr>
        <w:pStyle w:val="Titolo3"/>
      </w:pPr>
      <w:r>
        <w:t>Matrice Origine-Destinazione</w:t>
      </w:r>
    </w:p>
    <w:p>
      <w:pPr/>
      <w:r>
        <w:t>La domanda viene rappresentata mediante una matrice Origine-Destinazione (OD), nella quale ogni elemento esprime il numero di veicoli che si spostano da un comune verso un altro.</w:t>
      </w:r>
    </w:p>
    <w:p>
      <w:pPr/>
      <w:r>
        <w:t>Considerando i 215 comuni della regione ed escludendo gli spostamenti interni allo stesso comune, si ottengono:</w:t>
      </w:r>
    </w:p>
    <w:p>
      <w:pPr>
        <w:jc w:val="center"/>
      </w:pPr>
      <w:r>
        <w:rPr>
          <w:i w:val="0"/>
        </w:rPr>
        <w:t>215 × 214 = 46.010</w:t>
      </w:r>
    </w:p>
    <w:p>
      <w:pPr/>
      <w:r>
        <w:t>relazioni direzionali.</w:t>
      </w:r>
    </w:p>
    <w:p>
      <w:pPr/>
      <w:r>
        <w:t>La direzionalità permette di distinguere gli spostamenti tra due comuni nei rispettivi sensi di marcia. La relazione da Udine a Pordenone, ad esempio, viene trattata separatamente da quella da Pordenone a Udine.</w:t>
      </w:r>
    </w:p>
    <w:p>
      <w:pPr/>
      <w:r>
        <w:t>La domanda è espressa in veicoli per giorno medio annuo, così da utilizzare una base temporale comune per le diverse componenti di mobilità. La matrice quantifica gli spostamenti tra i comuni, mentre la scelta dei percorsi stradali viene affrontata nel §4.5.</w:t>
      </w:r>
    </w:p>
    <w:p>
      <w:pPr>
        <w:pStyle w:val="Titolo3"/>
      </w:pPr>
      <w:r>
        <w:t>Conversione del pendolarismo in domanda veicolare</w:t>
      </w:r>
    </w:p>
    <w:p>
      <w:pPr/>
      <w:r>
        <w:t>Poiché il dato descrive persone e non veicoli, è necessario convertirlo in una stima degli spostamenti automobilistici. A tal fine viene utilizzata la quota regionale di occupati che raggiungono il luogo di lavoro guidando un'automobile privata, pari al 71,1%, come illustrato nel §4.2.</w:t>
      </w:r>
    </w:p>
    <w:p>
      <w:pPr/>
      <w:r>
        <w:t>Per riportare gli spostamenti a un giorno medio annuo si assume inoltre una frequenza di 220 giorni lavorativi all'anno. La domanda veicolare associata alla direzione casa–lavoro è quindi calcolata mediante:</w:t>
      </w:r>
    </w:p>
    <w:p>
      <w:pPr>
        <w:jc w:val="center"/>
      </w:pPr>
      <w:r>
        <w:rPr>
          <w:i w:val="0"/>
        </w:rPr>
        <w:t>C_ij^(and) = P_ij^(ISTAT) · 0,711 · (220/365)</w:t>
      </w:r>
    </w:p>
    <w:p>
      <w:pPr/>
      <w:r>
        <w:t>dove P_ij^(ISTAT) indica il numero di pendolari residenti nel comune i che lavorano nel comune j.</w:t>
      </w:r>
    </w:p>
    <w:p>
      <w:pPr/>
      <w:r>
        <w:t>Il coefficiente complessivo risulta pari a circa 0,42855 veicoli per giorno medio annuo per pendolare. Per ogni relazione casa–lavoro viene considerato anche lo spostamento di ritorno, attribuendogli lo stesso volume nella direzione opposta. In questo modo la domanda pendolare comprende entrambi i tragitti giornalieri.</w:t>
      </w:r>
    </w:p>
    <w:p>
      <w:pPr/>
      <w:r>
        <w:t>Nel calcolo si applica la quota modale del 2019 ai dati ISTAT 2021 e si assumono 220 giorni annui di spostamento: si ottiene così una stima, non un conteggio osservato del traffico.</w:t>
      </w:r>
    </w:p>
    <w:p>
      <w:pPr>
        <w:pStyle w:val="Titolo3"/>
      </w:pPr>
      <w:r>
        <w:t>Stima della mobilità non pendolare mediante Gravity Model</w:t>
      </w:r>
    </w:p>
    <w:p>
      <w:pPr/>
      <w:r/>
      <w:r/>
      <w:r>
        <w:t>Per stimare gli spostamenti non pendolari legati ad acquisti, turismo, servizi e altre attività, viene utilizzato un modello gravitazionale della domanda, secondo un approccio consolidato nella modellazione dei trasporti (cfr. Ortúzar e Willumsen, Modelling Transport, 4ª ed., Wiley, 2011).</w:t>
      </w:r>
    </w:p>
    <w:p>
      <w:pPr/>
      <w:r>
        <w:t>Il modello assume che gli spostamenti tra due territori dipendano da tre fattori: la capacità del comune di origine di generare mobilità, l'attrattività della destinazione e il tempo necessario per raggiungerla.</w:t>
      </w:r>
    </w:p>
    <w:p>
      <w:pPr/>
      <w:r>
        <w:t>Nel presente studio, la capacità di generare spostamenti viene rappresentata dalla quota del parco automobilistico regionale attribuita a ciascun comune. L'attrattività è invece stimata combinando le presenze turistiche e la superficie commerciale, attribuendo ai due indicatori lo stesso peso.</w:t>
      </w:r>
    </w:p>
    <w:p>
      <w:pPr/>
      <w:r>
        <w:t>Le variabili vengono espresse come quote dei rispettivi totali regionali, così da renderle confrontabili. Si tratta di indicatori indiretti, che descrivono la distribuzione potenziale della mobilità senza imporre un numero prefissato di spostamenti prodotti o attratti da ciascun comune.</w:t>
      </w:r>
    </w:p>
    <w:p>
      <w:pPr/>
      <w:r>
        <w:t>Il terzo elemento è il tempo di viaggio. A parità delle altre condizioni, il modello attribuisce maggiore intensità alle relazioni tra comuni facilmente raggiungibili e minore intensità a quelle caratterizzate da tempi di percorrenza più elevati.</w:t>
      </w:r>
    </w:p>
    <w:p>
      <w:pPr/>
      <w:r>
        <w:t>Per ciascuna relazione direzionale viene quindi calcolato un peso:</w:t>
      </w:r>
    </w:p>
    <w:p>
      <w:pPr>
        <w:jc w:val="center"/>
      </w:pPr>
      <w:r>
        <w:rPr>
          <w:i w:val="0"/>
        </w:rPr>
        <w:t>W_ij = P_i · A_j · e^(−β·c_ij)</w:t>
      </w:r>
    </w:p>
    <w:p>
      <w:pPr/>
      <w:r>
        <w:t>dove P_i rappresenta la quota di parco automobilistico del comune di origine, A_j l'indicatore di attrattività della destinazione e c_ij il tempo rappresentativo di viaggio tra i due comuni, espresso in minuti.</w:t>
      </w:r>
    </w:p>
    <w:p>
      <w:pPr/>
      <w:r>
        <w:t>Il parametro β regola la sensibilità al tempo di percorrenza: quanto maggiore è il suo valore, tanto più rapidamente diminuisce il peso attribuito agli spostamenti verso destinazioni lontane.</w:t>
      </w:r>
    </w:p>
    <w:p>
      <w:pPr/>
      <w:r>
        <w:t>I tempi di viaggio vengono ricavati dalla rete stradale e tengono conto delle combinazioni tra i tre accessi di ciascun comune e dei relativi pesi. La loro costruzione viene approfondita nel §4.5.</w:t>
      </w:r>
    </w:p>
    <w:p>
      <w:pPr/>
      <w:r>
        <w:t>I valori W_ij esprimono inizialmente soltanto l'intensità relativa delle relazioni. Per trasformarli in quote della domanda complessiva vengono normalizzati:</w:t>
      </w:r>
    </w:p>
    <w:p>
      <w:pPr>
        <w:jc w:val="center"/>
      </w:pPr>
      <w:r>
        <w:rPr>
          <w:i w:val="0"/>
        </w:rPr>
        <w:t>S_ij = W_ij / Σ_(r≠s) W_rs</w:t>
      </w:r>
    </w:p>
    <w:p>
      <w:pPr/>
      <w:r>
        <w:t>La somma delle quote così ottenute è pari a uno. Introducendo un parametro di scala Q, che rappresenta il volume complessivo della mobilità non pendolare, si ottiene:</w:t>
      </w:r>
    </w:p>
    <w:p>
      <w:pPr>
        <w:jc w:val="center"/>
      </w:pPr>
      <w:r>
        <w:rPr>
          <w:i w:val="0"/>
        </w:rPr>
        <w:t>N_ij = Q · S_ij</w:t>
      </w:r>
    </w:p>
    <w:p>
      <w:pPr/>
      <w:r>
        <w:t>La formulazione distingue quindi la distribuzione territoriale degli spostamenti, influenzata dal parametro β, dal loro volume complessivo, determinato da Q.</w:t>
      </w:r>
    </w:p>
    <w:p>
      <w:pPr>
        <w:pStyle w:val="Titolo3"/>
      </w:pPr>
      <w:r>
        <w:t>Calibrazione, verifiche e costruzione della matrice operativa</w:t>
      </w:r>
    </w:p>
    <w:p>
      <w:pPr/>
      <w:r>
        <w:t>La calibrazione iniziale dei parametri del modello gravitazionale è stata condotta confrontando i flussi stradali ricostruiti con i conteggi ANAS del 2024. Poiché le osservazioni dirette erano limitate e diverse postazioni vicine ai confini potevano registrare anche traffico esterno alla regione, sono state selezionate tre sezioni per la stima dei parametri. Le altre osservazioni sono state esaminate separatamente per valutare il comportamento della formulazione al di fuori delle sezioni utilizzate nella calibrazione.</w:t>
      </w:r>
    </w:p>
    <w:p>
      <w:pPr/>
      <w:r>
        <w:t>Per diverse combinazioni del volume complessivo Q e del parametro di deterrenza β, la domanda stimata è stata assegnata alla rete stradale. I parametri sono stati scelti minimizzando la somma degli scarti quadratici fra i flussi modellati e quelli osservati nelle tre sezioni di calibrazione.</w:t>
      </w:r>
    </w:p>
    <w:p>
      <w:pPr/>
      <w:r>
        <w:t>La prima sperimentazione ha restituito i seguenti valori:</w:t>
      </w:r>
    </w:p>
    <w:p>
      <w:pPr/>
      <w:r>
        <w:t>β ≃ 0,04595 min⁻¹        Q ≃ 1.552.630 veicoli/giorno</w:t>
      </w:r>
    </w:p>
    <w:p>
      <w:pPr/>
      <w:r>
        <w:t>La procedura ha individuato un minimo numerico ben definito. Il confronto con altre sezioni ANAS ha però evidenziato scostamenti significativi, con sovrastime particolarmente elevate in alcuni corridoi: il buon adattamento alle tre sezioni iniziali non si è dunque tradotto in una rappresentazione altrettanto soddisfacente nelle altre aree esaminate.</w:t>
      </w:r>
    </w:p>
    <w:p>
      <w:pPr/>
      <w:r>
        <w:t>Le differenze risentono anche dei limiti delle informazioni disponibili. I conteggi ANAS possono includere traffico esterno e di attraversamento, che la matrice intercomunale interna non rappresenta; inoltre, l'assegnazione deterministica non riproduce la distribuzione dei veicoli tra itinerari alternativi. A ciò si aggiunge la copertura non uniforme delle postazioni, per cui gli scostamenti non possono essere attribuiti a un solo fattore né interpretati come una validazione generale della formulazione.</w:t>
      </w:r>
    </w:p>
    <w:p>
      <w:pPr/>
      <w:r>
        <w:t>Per disporre comunque di una matrice utilizzabile nelle elaborazioni successive, è stata ridimensionata la sola componente non pendolare. Mantenendo fisso il parametro di deterrenza β e, quindi, le proporzioni relative fra le relazioni stimate, è stato ricavato mediante regressione ai minimi quadrati un coefficiente globale utilizzando sei sezioni ANAS distinte da quelle della calibrazione iniziale. Il valore successivamente adottato è:</w:t>
      </w:r>
    </w:p>
    <w:p>
      <w:pPr>
        <w:jc w:val="center"/>
      </w:pPr>
      <w:r>
        <w:rPr>
          <w:i w:val="0"/>
        </w:rPr>
        <w:t>k = 0,15</w:t>
      </w:r>
    </w:p>
    <w:p>
      <w:pPr/>
      <w:r>
        <w:t>La correzione riduce il volume della mobilità non pendolare al 15% di quello preliminare, senza modificare la componente pendolare né le proporzioni relative tra le relazioni sintetiche.</w:t>
      </w:r>
    </w:p>
    <w:p>
      <w:pPr/>
      <w:r>
        <w:t>La domanda operativa attribuita a ciascuna coppia di comuni è pertanto espressa come:</w:t>
      </w:r>
    </w:p>
    <w:p>
      <w:pPr>
        <w:jc w:val="center"/>
      </w:pPr>
      <w:r>
        <w:rPr>
          <w:i w:val="0"/>
        </w:rPr>
        <w:t>T_ij = C_ij^(pend) + k · N_ij</w:t>
      </w:r>
    </w:p>
    <w:p>
      <w:pPr/>
      <w:r>
        <w:t>La matrice risultante comprende le 46.010 relazioni intercomunali direzionali e presenta i seguenti volumi:</w:t>
      </w:r>
    </w:p>
    <w:tbl>
      <w:tblPr>
        <w:tblStyle w:val="Tabellagriglia1chiara-colore4"/>
        <w:tblW w:type="auto" w:w="0"/>
        <w:tblLook w:firstColumn="1" w:firstRow="1" w:lastColumn="0" w:lastRow="0" w:noHBand="0" w:noVBand="1" w:val="04A0"/>
      </w:tblPr>
      <w:tblGrid>
        <w:gridCol w:w="4819"/>
        <w:gridCol w:w="4819"/>
      </w:tblGrid>
      <w:tr>
        <w:trPr>
          <w:tblHeader w:val="true"/>
        </w:trPr>
        <w:tc>
          <w:tcPr>
            <w:tcW w:type="dxa" w:w="4819"/>
          </w:tcPr>
          <w:p>
            <w:r>
              <w:rPr>
                <w:b/>
                <w:sz w:val="18"/>
              </w:rPr>
              <w:t>Componente</w:t>
            </w:r>
          </w:p>
        </w:tc>
        <w:tc>
          <w:tcPr>
            <w:tcW w:type="dxa" w:w="4819"/>
          </w:tcPr>
          <w:p>
            <w:r>
              <w:rPr>
                <w:b/>
                <w:sz w:val="18"/>
              </w:rPr>
              <w:t>Veicoli/giorno medio annuo</w:t>
            </w:r>
          </w:p>
        </w:tc>
      </w:tr>
      <w:tr>
        <w:tc>
          <w:tcPr>
            <w:tcW w:type="dxa" w:w="4819"/>
          </w:tcPr>
          <w:p>
            <w:r>
              <w:rPr>
                <w:sz w:val="18"/>
              </w:rPr>
              <w:t>Pendolarismo</w:t>
            </w:r>
          </w:p>
        </w:tc>
        <w:tc>
          <w:tcPr>
            <w:tcW w:type="dxa" w:w="4819"/>
          </w:tcPr>
          <w:p>
            <w:r>
              <w:rPr>
                <w:sz w:val="18"/>
              </w:rPr>
              <w:t>205.074</w:t>
            </w:r>
          </w:p>
        </w:tc>
      </w:tr>
      <w:tr>
        <w:tc>
          <w:tcPr>
            <w:tcW w:type="dxa" w:w="4819"/>
          </w:tcPr>
          <w:p>
            <w:r>
              <w:rPr>
                <w:sz w:val="18"/>
              </w:rPr>
              <w:t>Mobilità non pendolare ridimensionata</w:t>
            </w:r>
          </w:p>
        </w:tc>
        <w:tc>
          <w:tcPr>
            <w:tcW w:type="dxa" w:w="4819"/>
          </w:tcPr>
          <w:p>
            <w:r>
              <w:rPr>
                <w:sz w:val="18"/>
              </w:rPr>
              <w:t>232.894</w:t>
            </w:r>
          </w:p>
        </w:tc>
      </w:tr>
      <w:tr>
        <w:tc>
          <w:tcPr>
            <w:tcW w:type="dxa" w:w="4819"/>
          </w:tcPr>
          <w:p>
            <w:r>
              <w:rPr>
                <w:sz w:val="18"/>
              </w:rPr>
              <w:t>Domanda intercomunale complessiva</w:t>
            </w:r>
          </w:p>
        </w:tc>
        <w:tc>
          <w:tcPr>
            <w:tcW w:type="dxa" w:w="4819"/>
          </w:tcPr>
          <w:p>
            <w:r>
              <w:rPr>
                <w:sz w:val="18"/>
              </w:rPr>
              <w:t>437.968</w:t>
            </w:r>
          </w:p>
        </w:tc>
      </w:tr>
    </w:tbl>
    <w:p>
      <w:pPr/>
      <w:r>
        <w:t>Il ridimensionamento modifica il volume totale della mobilità non pendolare, senza correggere eventuali scostamenti dalla distribuzione geografica reale. Inoltre, poiché le sei sezioni sono state utilizzate proprio per determinare il coefficiente k, il riscontro ottenuto sulle medesime osservazioni non costituisce una validazione indipendente della matrice corretta.</w:t>
      </w:r>
    </w:p>
    <w:p>
      <w:pPr/>
      <w:r>
        <w:t>La matrice operativa così ottenuta, pari a circa 438 mila veicoli per giorno medio annuo, descrive gli spostamenti intercomunali interni ricostruiti per lo studio. Costituisce l'input per l'assegnazione stradale del paragrafo seguente, senza pretendere di rappresentare l'intero traffico effettivamente presente sulla rete regionale.</w:t>
      </w:r>
    </w:p>
    <w:p>
      <w:pPr>
        <w:pStyle w:val="Titolo2"/>
      </w:pPr>
      <w:bookmarkStart w:id="42" w:name="_Toc241161217"/>
      <w:r>
        <w:t>Ricostruzione dei percorsi e assegnazione dei flussi</w:t>
      </w:r>
      <w:bookmarkEnd w:id="42"/>
    </w:p>
    <w:p>
      <w:pPr/>
      <w:r>
        <w:t>La matrice Origine-Destinazione del §4.4 quantifica gli spostamenti fra comuni, ma non indica quali collegamenti stradali vengano percorsi. Per trasferire la domanda sulla rete occorre quindi ricostruire gli itinerari fra le origini e le destinazioni e attribuire a ciascuno la quota di flusso corrispondente.</w:t>
      </w:r>
    </w:p>
    <w:p>
      <w:pPr/>
      <w:r>
        <w:t>La metodologia adottata si basa sul calcolo dei percorsi a tempo minimo sulla rete OpenStreetMap, sulla ripartizione della domanda tra gli accessi comunali e sulla successiva assegnazione dei flussi ai collegamenti stradali.</w:t>
      </w:r>
    </w:p>
    <w:p>
      <w:pPr>
        <w:pStyle w:val="Titolo3"/>
      </w:pPr>
      <w:r>
        <w:t>Calcolo degli itinerari e dei tempi di viaggio</w:t>
      </w:r>
    </w:p>
    <w:p>
      <w:pPr/>
      <w:r>
        <w:t>Gli itinerari vengono calcolati sulla rete OpenStreetMap descritta nel §4.3, considerando i sensi di marcia, le connessioni stradali e le restrizioni di svolta.</w:t>
      </w:r>
    </w:p>
    <w:p>
      <w:pPr/>
      <w:r>
        <w:t>Il criterio utilizzato per individuare i percorsi è il tempo minimo di viaggio, anziché la distanza più breve. Questa scelta permette di tenere conto delle differenti caratteristiche della rete: un itinerario più lungo può infatti risultare più rapido quando utilizza strade principali o collegamenti autostradali.</w:t>
      </w:r>
    </w:p>
    <w:p>
      <w:pPr/>
      <w:r/>
      <w:r/>
      <w:r>
        <w:t>Il tempo di percorrenza di ogni collegamento deriva dalla sua lunghezza e da una velocità di calcolo assegnata in base al tipo di strada. Per attribuire queste velocità si utilizzano i valori del profilo per automobili del motore di instradamento OSRM e le informazioni sui limiti di velocità presenti in OpenStreetMap, ove disponibili. Sono valori convenzionali, non velocità osservate sul campo: i tempi ottenuti descrivono una situazione statica, senza variazioni dovute all'ora o alla congestione.</w:t>
      </w:r>
    </w:p>
    <w:p>
      <w:pPr/>
      <w:r>
        <w:t>Per un generico collegamento stradale a, il tempo di percorrenza è espresso come:</w:t>
      </w:r>
    </w:p>
    <w:p>
      <w:pPr>
        <w:jc w:val="center"/>
      </w:pPr>
      <w:r>
        <w:rPr>
          <w:i w:val="0"/>
        </w:rPr>
        <w:t>t_a = ℓ_a / v_a</w:t>
      </w:r>
    </w:p>
    <w:p>
      <w:pPr/>
      <w:r>
        <w:t>dove ℓ_a rappresenta la lunghezza del collegamento e v_a la velocità operativa associata, utilizzando unità di misura coerenti.</w:t>
      </w:r>
    </w:p>
    <w:p>
      <w:pPr/>
      <w:r>
        <w:t>Per individuare gli itinerari è stato utilizzato l'algoritmo di Dijkstra, che determina i percorsi a costo minimo da un punto di origine verso gli altri punti raggiungibili della rete. Nel presente studio il costo da minimizzare corrisponde al tempo complessivo di viaggio, calcolato sommando i tempi dei collegamenti attraversati.</w:t>
      </w:r>
    </w:p>
    <w:p>
      <w:pPr/>
      <w:r>
        <w:t>L'algoritmo è stato applicato al grafo direzionato OSM, integrato con le restrizioni di svolta, così da escludere i percorsi che richiederebbero manovre non consentite.</w:t>
      </w:r>
    </w:p>
    <w:p>
      <w:pPr/>
      <w:r>
        <w:t>Il calcolo è stato eseguito a partire da ciascuno dei 645 accessi comunali. Attraverso 645 esecuzioni di Dijkstra è stato possibile ricostruire i collegamenti a tempo minimo verso tutti gli altri accessi, ottenendo una matrice di 645 × 645 combinazioni ordinate.</w:t>
      </w:r>
    </w:p>
    <w:p>
      <w:pPr/>
      <w:r>
        <w:t>Tutte le combinazioni sono risultate raggiungibili. Per ciascun itinerario sono stati conservati il tempo di percorrenza, la distanza stradale e la successione dei collegamenti attraversati.</w:t>
      </w:r>
    </w:p>
    <w:p>
      <w:pPr/>
      <w:r>
        <w:t>La distinzione tra tempo e distanza è particolarmente importante: il primo determina la scelta dell'itinerario, mentre la seconda consente di misurarne l'estensione fisica e viene utilizzata nelle successive verifiche sulla copertura delle infrastrutture di ricarica.</w:t>
      </w:r>
    </w:p>
    <w:p>
      <w:pPr>
        <w:pStyle w:val="Paragrafo"/>
      </w:pPr>
      <w:r>
        <w:t>Confronto con i riferimenti ISTAT/TomTom</w:t>
      </w:r>
    </w:p>
    <w:p>
      <w:pPr/>
      <w:r>
        <w:t>Per verificare la plausibilità dei percorsi ricostruiti sono state utilizzate anche le informazioni sulle distanze e sui tempi di viaggio tra comuni disponibili nei dati ISTAT, elaborate sulla rete TomTom MultiNet 2020 mediante ArcGIS Network Analyst.</w:t>
      </w:r>
    </w:p>
    <w:p>
      <w:pPr/>
      <w:r>
        <w:t>La fonte fornisce la distanza stradale dell'itinerario e due riferimenti per il tempo di viaggio: uno comprensivo delle impedenze di traffico e delle barriere considerate dalla fonte, l'altro teorico in condizioni ideali.</w:t>
      </w:r>
    </w:p>
    <w:p>
      <w:pPr/>
      <w:r>
        <w:t>Questi valori costituiscono un riferimento esterno rispetto alla rete OSM. Non vengono utilizzati per determinare direttamente i percorsi del modello, ma permettono di confrontare due rappresentazioni indipendenti della viabilità regionale.</w:t>
      </w:r>
    </w:p>
    <w:p>
      <w:pPr/>
      <w:r>
        <w:t>La verifica principale ha riguardato 10.951 relazioni intercomunali, corrispondenti a 98.559 combinazioni di accessi. Per ciascuna relazione è stata confrontata la distanza ISTAT/TomTom con una distanza rappresentativa ottenuta dai nove itinerari OSM, ponderati secondo i rispettivi pesi.</w:t>
      </w:r>
    </w:p>
    <w:p>
      <w:pPr/>
      <w:r>
        <w:t>Il rapporto mediano tra le distanze calcolate sulla rete OSM e quelle di riferimento è pari a circa 1,0093: espresso rispetto al valore unitario, equivale a uno scarto mediano relativo di circa +0,93%. Non è una misura dell'errore medio assoluto dei singoli itinerari.</w:t>
      </w:r>
    </w:p>
    <w:p>
      <w:pPr>
        <w:pStyle w:val="Titolo3"/>
      </w:pPr>
      <w:r>
        <w:t>Ripartizione della domanda tra gli accessi comunali</w:t>
      </w:r>
    </w:p>
    <w:p>
      <w:pPr/>
      <w:r>
        <w:t>Una volta costruito il sistema degli itinerari, è necessario collegarlo alla domanda di mobilità contenuta nella matrice Origine-Destinazione.</w:t>
      </w:r>
    </w:p>
    <w:p>
      <w:pPr/>
      <w:r>
        <w:t>Come descritto nel §4.3, ciascun comune è rappresentato mediante tre accessi stradali. Per ogni relazione tra due comuni vengono quindi considerate nove combinazioni, ottenute associando ciascun accesso dell'origine ai tre accessi della destinazione.</w:t>
      </w:r>
    </w:p>
    <w:p>
      <w:pPr/>
      <w:r>
        <w:t>Per le 46.010 relazioni intercomunali direzionali considerate nello studio si ottengono complessivamente:</w:t>
      </w:r>
    </w:p>
    <w:p>
      <w:pPr>
        <w:jc w:val="center"/>
      </w:pPr>
      <w:r>
        <w:rPr>
          <w:i w:val="0"/>
        </w:rPr>
        <w:t>46.010 × 3 × 3 = 414.090</w:t>
      </w:r>
    </w:p>
    <w:p>
      <w:pPr/>
      <w:r>
        <w:t>percorsi tra accessi appartenenti a comuni differenti.</w:t>
      </w:r>
    </w:p>
    <w:p>
      <w:pPr/>
      <w:r>
        <w:t>L'utilizzo di più accessi permette di rappresentare la distribuzione degli spostamenti sul territorio comunale senza concentrare artificialmente tutta la domanda su un unico collegamento stradale.</w:t>
      </w:r>
    </w:p>
    <w:p>
      <w:pPr/>
      <w:r>
        <w:t>La ripartizione viene effettuata utilizzando i pesi assegnati agli accessi nel §4.3. Per una relazione dal comune i al comune j, il peso associato alla combinazione tra l'accesso a dell'origine e l'accesso b della destinazione è:</w:t>
      </w:r>
    </w:p>
    <w:p>
      <w:pPr>
        <w:jc w:val="center"/>
      </w:pPr>
      <w:r>
        <w:rPr>
          <w:i w:val="0"/>
        </w:rPr>
        <w:t>w_ijab = λ_ia · λ_jb</w:t>
      </w:r>
    </w:p>
    <w:p>
      <w:pPr/>
      <w:r>
        <w:t>dove λ_ia e λ_jb rappresentano i pesi dei due accessi considerati.</w:t>
      </w:r>
    </w:p>
    <w:p>
      <w:pPr/>
      <w:r>
        <w:t>Poiché i pesi dei tre accessi di ciascun comune sommano a uno, la somma dei pesi delle nove combinazioni è anch'essa pari a uno.</w:t>
      </w:r>
    </w:p>
    <w:p>
      <w:pPr/>
      <w:r>
        <w:t>La domanda assegnata a ciascuna combinazione viene quindi calcolata mediante:</w:t>
      </w:r>
    </w:p>
    <w:p>
      <w:pPr>
        <w:jc w:val="center"/>
      </w:pPr>
      <w:r>
        <w:rPr>
          <w:i w:val="0"/>
        </w:rPr>
        <w:t>f_ijab = T_ij · w_ijab</w:t>
      </w:r>
    </w:p>
    <w:p>
      <w:pPr/>
      <w:r>
        <w:t>dove T_ij rappresenta i veicoli per giorno medio annuo della relazione tra i comuni i e j, mentre f_ijab è il numero di veicoli per giorno medio annuo assegnato allo specifico percorso che collega l'accesso a del comune i all'accesso b del comune j.</w:t>
      </w:r>
    </w:p>
    <w:p>
      <w:pPr/>
      <w:r>
        <w:t>La procedura conserva la domanda complessiva di ciascuna relazione, distribuendola tra diversi collegamenti della rete.</w:t>
      </w:r>
    </w:p>
    <w:p>
      <w:pPr/>
      <w:r>
        <w:t>È importante precisare che le nove combinazioni non costituiscono un modello probabilistico di scelta dell'itinerario da parte del singolo automobilista. Esse servono a rappresentare differenti possibilità di collegamento tra i territori comunali. A ciascuna combinazione viene associato un unico percorso a tempo minimo.</w:t>
      </w:r>
    </w:p>
    <w:p>
      <w:pPr>
        <w:pStyle w:val="Titolo3"/>
      </w:pPr>
      <w:r>
        <w:t>Assegnazione dei flussi alla rete stradale</w:t>
      </w:r>
    </w:p>
    <w:p>
      <w:pPr/>
      <w:r>
        <w:t>L'assegnazione dei flussi, comunemente indicata come traffic assignment, consiste nel trasferire la domanda di mobilità ai percorsi individuati sulla rete.</w:t>
      </w:r>
    </w:p>
    <w:p>
      <w:pPr/>
      <w:r>
        <w:t>Nel presente studio viene adottata un'assegnazione deterministica di tipo all-or-nothing: il flusso attribuito a ciascuna combinazione di accessi viene caricato interamente sul corrispondente itinerario a tempo minimo.</w:t>
      </w:r>
    </w:p>
    <w:p>
      <w:pPr/>
      <w:r>
        <w:t>Il traffico modellato su un collegamento stradale si ottiene sommando i contributi di tutti i percorsi che lo attraversano. Per un generico arco direzionale e, il flusso è espresso come:</w:t>
      </w:r>
    </w:p>
    <w:p>
      <w:pPr>
        <w:jc w:val="center"/>
      </w:pPr>
      <w:r>
        <w:rPr>
          <w:i w:val="0"/>
        </w:rPr>
        <w:t>ŷ_e = Σ_(i≠j) Σ_(a=1)^3 Σ_(b=1)^3 f_ijab · δ_(e,ijab)</w:t>
      </w:r>
    </w:p>
    <w:p>
      <w:pPr/>
      <w:r>
        <w:t>dove δ_(e,ijab) rappresenta il numero di attraversamenti dell'arco e nel percorso associato alla combinazione considerata.</w:t>
      </w:r>
    </w:p>
    <w:p>
      <w:pPr/>
      <w:r>
        <w:t>Il risultato è una stima del traffico sui singoli collegamenti della rete, espressa in veicoli per giorno medio annuo e distinta per direzione di percorrenza.</w:t>
      </w:r>
    </w:p>
    <w:p>
      <w:pPr/>
      <w:r>
        <w:t>Questa informazione permette di individuare le principali direttrici interessate dalla mobilità regionale e di valutare quali collegamenti concentrino i flussi più consistenti.</w:t>
      </w:r>
    </w:p>
    <w:p>
      <w:pPr/>
      <w:r>
        <w:t>Ai fini della pianificazione delle infrastrutture di ricarica è però necessario mantenere anche l'informazione relativa ai singoli percorsi. Conoscere il traffico complessivo su una strada non è infatti sufficiente per stabilire quali opportunità di ricarica vengano incontrate durante uno spostamento tra due comuni.</w:t>
      </w:r>
    </w:p>
    <w:p>
      <w:pPr/>
      <w:r>
        <w:t>Il flusso totale che attraversa un arco non dice da quale itinerario provenga. Per controllare la distanza percorsa senza ricarica è quindi necessario conservare, per ciascun itinerario, il flusso attribuito, la sequenza ordinata degli archi e le distanze progressive dall'origine.</w:t>
      </w:r>
    </w:p>
    <w:p>
      <w:pPr/>
      <w:r>
        <w:t>I 414.090 percorsi comprendono tutte le combinazioni tra i tre accessi di origine e i tre di destinazione. Alcune relazioni comunali hanno domanda nulla: pertanto 411.084 percorsi ricevono un flusso positivo e 3.006 non ricevono alcun flusso</w:t>
      </w:r>
      <w:r>
        <w:t>.</w:t>
      </w:r>
    </w:p>
    <w:p>
      <w:pPr/>
      <w:r>
        <w:t>Questa distinzione viene utilizzata nelle successive analisi di copertura delle infrastrutture di ricarica, nelle quali i requisiti relativi alla continuità del servizio lungo gli itinerari vengono applicati ai percorsi interessati da una domanda positiva.</w:t>
      </w:r>
    </w:p>
    <w:p>
      <w:pPr>
        <w:pStyle w:val="Titolo3"/>
      </w:pPr>
      <w:r>
        <w:t>Confronto con i conteggi di traffico ANAS</w:t>
      </w:r>
    </w:p>
    <w:p>
      <w:pPr/>
      <w:r>
        <w:t>Per il confronto con i conteggi ANAS sono state associate 16 sezioni di rilevamento ai corrispondenti collegamenti della rete OpenStreetMap, considerando posizione geografica, carreggiate e direzioni di marcia. Si tratta delle sezioni collegate alla rete modellata, non necessariamente tutte provviste di misure dirette nel 2024. Poiché i conteggi considerati rappresentano il traffico complessivo nelle due direzioni, i flussi modellati sono stati aggregati di conseguenza. Le modalità di calibrazione, gli scostamenti osservati e i limiti del confronto sono descritti nel §4.4.</w:t>
      </w:r>
    </w:p>
    <w:p>
      <w:pPr>
        <w:pStyle w:val="Titolo2"/>
      </w:pPr>
      <w:bookmarkStart w:id="43" w:name="_Toc241161218"/>
      <w:r>
        <w:t>Dimensionamento dell'infrastruttura di ricarica</w:t>
      </w:r>
      <w:bookmarkEnd w:id="43"/>
    </w:p>
    <w:p>
      <w:pPr/>
      <w:r>
        <w:t>Il dimensionamento dell'infrastruttura di ricarica ha l'obiettivo di determinare la potenza aggiuntiva necessaria in Friuli Venezia Giulia per sostenere la diffusione prevista dei veicoli elettrici al 2030.</w:t>
      </w:r>
    </w:p>
    <w:p>
      <w:pPr/>
      <w:r>
        <w:t>Il procedimento parte dalla stima del parco automobilistico elettrico regionale, determina il fabbisogno complessivo di potenza e considera la capacità delle infrastrutture già presenti. La differenza viene infine tradotta nel numero di nuove stazioni da realizzare.</w:t>
      </w:r>
    </w:p>
    <w:p>
      <w:pPr/>
      <w:r>
        <w:t>A differenza della ricostruzione della mobilità descritta nei paragrafi precedenti, questo calcolo non deriva direttamente dai flussi di traffico, ma dalla consistenza prevista del parco elettrico e dai requisiti di potenza delle infrastrutture pubblicamente accessibili.</w:t>
      </w:r>
    </w:p>
    <w:p>
      <w:pPr>
        <w:pStyle w:val="Titolo3"/>
      </w:pPr>
      <w:r>
        <w:t>Fabbisogno regionale di potenza al 2030</w:t>
      </w:r>
    </w:p>
    <w:p>
      <w:pPr/>
      <w:r/>
      <w:r/>
      <w:r>
        <w:t>La stima del parco elettrico regionale prende come riferimento il Piano Nazionale Integrato per l'Energia e il Clima (PNIEC 2024), che prevede al 2030 circa 6,6 milioni di autovetture elettrificate in Italia, di cui 4,3 milioni completamente elettriche (Battery Electric Vehicles, BEV) e 2,3 milioni ibride ricaricabili (Plug-in Hybrid Electric Vehicles, PHEV).</w:t>
      </w:r>
    </w:p>
    <w:p>
      <w:pPr/>
      <w:r>
        <w:t>Per trasferire queste previsioni alla scala regionale, le consistenze nazionali sono state rapportate al parco italiano di circa 41,3 milioni di autovetture e le quote risultanti sono state applicate alle 828.909 autovetture registrate nei comuni del Friuli Venezia Giulia secondo i dati ACI 2024.</w:t>
      </w:r>
    </w:p>
    <w:p>
      <w:pPr/>
      <w:r>
        <w:t>Si ottiene così una stima di 86.303 BEV e 46.162 PHEV, per un totale di circa 132.465 autovetture ricaricabili al 2030.</w:t>
      </w:r>
    </w:p>
    <w:p>
      <w:pPr/>
      <w:r>
        <w:t>Si tratta di una proiezione basata sull'ipotesi che la diffusione regionale delle due categorie segua proporzionalmente quella prevista a livello nazionale.</w:t>
      </w:r>
    </w:p>
    <w:p>
      <w:pPr/>
      <w:r/>
      <w:r/>
      <w:r/>
      <w:r>
        <w:t>Per determinare il corrispondente fabbisogno di potenza vengono utilizzati i coefficienti stabiliti dall'articolo 3, paragrafo 1, del Regolamento (UE) 2023/1804 (AFIR).</w:t>
      </w:r>
    </w:p>
    <w:p>
      <w:pPr/>
      <w:r>
        <w:t>Per i veicoli leggeri, il Regolamento prevede a livello nazionale una potenza complessiva delle infrastrutture di ricarica pubblicamente accessibili pari ad almeno 1,3 kW per ciascun BEV e 0,8 kW per ciascun PHEV immatricolato.</w:t>
      </w:r>
    </w:p>
    <w:p>
      <w:pPr/>
      <w:r>
        <w:t>Nel presente studio questi coefficienti vengono applicati al parco regionale stimato, assumendoli come criterio di riferimento per il dimensionamento del Friuli Venezia Giulia.</w:t>
      </w:r>
    </w:p>
    <w:p>
      <w:pPr/>
      <w:r>
        <w:t>Il fabbisogno complessivo viene quindi calcolato mediante:</w:t>
      </w:r>
    </w:p>
    <w:p>
      <w:pPr>
        <w:jc w:val="center"/>
      </w:pPr>
      <w:r>
        <w:rPr>
          <w:i w:val="0"/>
        </w:rPr>
        <w:t>P_tot = 1,3 · N_BEV + 0,8 · N_PHEV</w:t>
      </w:r>
    </w:p>
    <w:p>
      <w:pPr/>
      <w:r>
        <w:t>dove N_BEV e N_PHEV rappresentano il numero stimato di veicoli delle rispettive categorie.</w:t>
      </w:r>
    </w:p>
    <w:p>
      <w:pPr/>
      <w:r>
        <w:t>La componente BEV richiede circa 112.194 kW, mentre quella PHEV contribuisce per circa 36.930 kW. Il fabbisogno regionale complessivo assunto come riferimento è pertanto:</w:t>
      </w:r>
    </w:p>
    <w:p>
      <w:pPr>
        <w:jc w:val="center"/>
      </w:pPr>
      <w:r>
        <w:rPr>
          <w:i w:val="0"/>
        </w:rPr>
        <w:t>P_tot = 149.124 kW</w:t>
      </w:r>
    </w:p>
    <w:p>
      <w:pPr/>
      <w:r>
        <w:t>pari a circa 149,12 MW.</w:t>
      </w:r>
    </w:p>
    <w:p>
      <w:pPr/>
      <w:r>
        <w:t>Questo valore esprime la capacità nominale aggregata di ricarica pubblicamente accessibile da rendere disponibile. Non rappresenta il consumo energetico giornaliero dei veicoli né la potenza che questi assorbiranno contemporaneamente.</w:t>
      </w:r>
    </w:p>
    <w:p>
      <w:pPr>
        <w:pStyle w:val="Titolo3"/>
      </w:pPr>
      <w:r>
        <w:t>Capacità delle infrastrutture esistenti</w:t>
      </w:r>
    </w:p>
    <w:p>
      <w:pPr/>
      <w:r>
        <w:t>Una parte del fabbisogno previsto per il 2030 può essere soddisfatta dalle infrastrutture già installate sul territorio regionale.</w:t>
      </w:r>
    </w:p>
    <w:p>
      <w:pPr/>
      <w:r/>
      <w:r/>
      <w:r>
        <w:t>Il contributo delle infrastrutture esistenti è stato stimato utilizzando il dataset della Piattaforma Unica Nazionale (PUN) acquisito il 18 settembre 2026, considerando gli apparati censiti in Friuli Venezia Giulia nelle classi Ultra fast e HPC (High Power Charging). Questa data si riferisce all'acquisizione del dataset impiegato nello studio, non all'aggiornamento dei dati da parte della piattaforma.</w:t>
      </w:r>
    </w:p>
    <w:p>
      <w:pPr/>
      <w:r>
        <w:t>Il contributo delle infrastrutture esistenti è stato calcolato per singolo EVSE (Electric Vehicle Supply Equipment), ossia per unità di alimentazione e controllo della ricarica censita nella PUN, alla quale è associata una potenza nominale massima dichiarata nel dataset.</w:t>
      </w:r>
    </w:p>
    <w:p>
      <w:pPr/>
      <w:r>
        <w:t>Se lo stesso EVSE dispone di più connettori, non si sommano le potenze dei singoli connettori: nel bilancio regionale viene contabilizzata una sola volta la potenza nominale dell'unità. Non sono state introdotte ulteriori soglie di selezione rispetto alle classi PUN considerate.</w:t>
      </w:r>
    </w:p>
    <w:p>
      <w:pPr/>
      <w:r>
        <w:t>Il censimento comprende 302 EVSE, di cui 161 Ultra fast e 141 HPC, con una potenza complessiva pari a:</w:t>
      </w:r>
    </w:p>
    <w:p>
      <w:pPr>
        <w:jc w:val="center"/>
      </w:pPr>
      <w:r>
        <w:rPr>
          <w:i w:val="0"/>
        </w:rPr>
        <w:t>P_esistente = 57.601,308 kW</w:t>
      </w:r>
    </w:p>
    <w:p>
      <w:pPr/>
      <w:r>
        <w:t>corrispondente a circa 57,60 MW.</w:t>
      </w:r>
    </w:p>
    <w:p>
      <w:pPr/>
      <w:r>
        <w:t>Il dato rappresenta la capacità nominale contabilizzata nel bilancio regionale. Non tiene conto dell'eventuale condivisione della potenza tra EVSE differenti appartenenti alla stessa stazione, che potrebbe ridurre la capacità effettivamente erogabile in contemporanea.</w:t>
      </w:r>
    </w:p>
    <w:p>
      <w:pPr/>
      <w:r>
        <w:t>Inoltre, il contributo al bilancio complessivo di potenza non implica automaticamente che le infrastrutture censite soddisfino tutti i requisiti di accessibilità e copertura territoriale. Questi aspetti vengono verificati separatamente nella fase di localizzazione.</w:t>
      </w:r>
    </w:p>
    <w:p>
      <w:pPr>
        <w:pStyle w:val="Titolo3"/>
      </w:pPr>
      <w:r>
        <w:t>Determinazione delle nuove infrastrutture</w:t>
      </w:r>
    </w:p>
    <w:p>
      <w:pPr/>
      <w:r>
        <w:t>La potenza aggiuntiva necessaria viene ottenuta sottraendo dal fabbisogno complessivo la capacità esistente:</w:t>
      </w:r>
    </w:p>
    <w:p>
      <w:pPr>
        <w:jc w:val="center"/>
      </w:pPr>
      <w:r>
        <w:rPr>
          <w:i w:val="0"/>
        </w:rPr>
        <w:t>P_residua = P_tot − P_esistente</w:t>
      </w:r>
    </w:p>
    <w:p>
      <w:pPr/>
      <w:r>
        <w:t>Applicando i valori precedentemente determinati:</w:t>
      </w:r>
    </w:p>
    <w:p>
      <w:pPr>
        <w:jc w:val="center"/>
      </w:pPr>
      <w:r>
        <w:rPr>
          <w:i w:val="0"/>
        </w:rPr>
        <w:t>P_residua = 149.124 − 57.601,308 = 91.522,692 kW</w:t>
      </w:r>
    </w:p>
    <w:p>
      <w:pPr/>
      <w:r>
        <w:t>La capacità ancora da installare risulta quindi pari a circa 91,52 MW.</w:t>
      </w:r>
    </w:p>
    <w:p>
      <w:pPr/>
      <w:r>
        <w:t>Per tradurre questo fabbisogno in un numero di nuove infrastrutture è stata adottata una potenza standard di 150 kW complessivi per stazione.</w:t>
      </w:r>
    </w:p>
    <w:p>
      <w:pPr/>
      <w:r>
        <w:t>Il numero di installazioni viene calcolato dividendo la potenza residua per la potenza unitaria e arrotondando all'intero superiore:</w:t>
      </w:r>
    </w:p>
    <w:p>
      <w:pPr>
        <w:jc w:val="center"/>
      </w:pPr>
      <w:r>
        <w:rPr>
          <w:i w:val="0"/>
        </w:rPr>
        <w:t>N_nuove = ⌈91.522,692 / 150⌉ = 611</w:t>
      </w:r>
    </w:p>
    <w:p>
      <w:pPr/>
      <w:r>
        <w:t>Il dimensionamento prevede pertanto 611 nuove infrastrutture di ricarica, corrispondenti a una potenza nominale aggiuntiva di:</w:t>
      </w:r>
    </w:p>
    <w:p>
      <w:pPr>
        <w:jc w:val="center"/>
      </w:pPr>
      <w:r>
        <w:rPr>
          <w:i w:val="0"/>
        </w:rPr>
        <w:t>P_nuova = 611 × 150 = 91.650 kW</w:t>
      </w:r>
    </w:p>
    <w:p>
      <w:pPr/>
      <w:r>
        <w:t>La capacità complessiva, sommando le nuove infrastrutture a quelle esistenti, raggiunge quindi 149.251,308 kW, superando il fabbisogno di riferimento di 127,308 kW. La differenza è dovuta all'arrotondamento del numero di installazioni.</w:t>
      </w:r>
    </w:p>
    <w:p>
      <w:pPr>
        <w:pStyle w:val="Paragrafo"/>
      </w:pPr>
      <w:r>
        <w:t>Caratteristiche delle nuove infrastrutture</w:t>
      </w:r>
    </w:p>
    <w:p>
      <w:pPr/>
      <w:r>
        <w:t>Ogni nuova stazione dispone di due punti di ricarica e di una potenza complessiva di 150 kW. Quando viene utilizzato un solo punto, questo può erogare fino a 150 kW; se entrambi sono in funzione, la potenza disponibile viene condivisa tra i due.</w:t>
      </w:r>
    </w:p>
    <w:p>
      <w:pPr/>
      <w:r>
        <w:t>Questa distinzione è importante ai fini del dimensionamento: una stazione con due punti di ricarica contribuisce al bilancio con 150 kW complessivi, non con 300 kW.</w:t>
      </w:r>
    </w:p>
    <w:p>
      <w:pPr/>
      <w:r>
        <w:t>Le 611 nuove infrastrutture corrispondono quindi a un totale di 1.222 punti di ricarica, con una potenza nominale aggregata di 91,65 MW.</w:t>
      </w:r>
    </w:p>
    <w:p>
      <w:pPr>
        <w:pStyle w:val="Titolo3"/>
      </w:pPr>
      <w:r>
        <w:t>Risultato del dimensionamento</w:t>
      </w:r>
    </w:p>
    <w:p>
      <w:pPr/>
      <w:r>
        <w:t>I risultati del bilancio regionale sono riepilogati nella seguente tabella.</w:t>
      </w:r>
    </w:p>
    <w:tbl>
      <w:tblPr>
        <w:tblStyle w:val="Tabellagriglia1chiara-colore4"/>
        <w:tblW w:type="auto" w:w="0"/>
        <w:tblLook w:firstColumn="1" w:firstRow="1" w:lastColumn="0" w:lastRow="0" w:noHBand="0" w:noVBand="1" w:val="04A0"/>
      </w:tblPr>
      <w:tblGrid>
        <w:gridCol w:w="4819"/>
        <w:gridCol w:w="4819"/>
      </w:tblGrid>
      <w:tr>
        <w:trPr>
          <w:tblHeader w:val="true"/>
        </w:trPr>
        <w:tc>
          <w:tcPr>
            <w:tcW w:type="dxa" w:w="4819"/>
          </w:tcPr>
          <w:p>
            <w:r>
              <w:rPr>
                <w:b/>
                <w:sz w:val="18"/>
              </w:rPr>
              <w:t>Grandezza</w:t>
            </w:r>
          </w:p>
        </w:tc>
        <w:tc>
          <w:tcPr>
            <w:tcW w:type="dxa" w:w="4819"/>
          </w:tcPr>
          <w:p>
            <w:r>
              <w:rPr>
                <w:b/>
                <w:sz w:val="18"/>
              </w:rPr>
              <w:t>Valore</w:t>
            </w:r>
          </w:p>
        </w:tc>
      </w:tr>
      <w:tr>
        <w:tc>
          <w:tcPr>
            <w:tcW w:type="dxa" w:w="4819"/>
          </w:tcPr>
          <w:p>
            <w:r>
              <w:rPr>
                <w:sz w:val="18"/>
              </w:rPr>
              <w:t>Fabbisogno di potenza al 2030</w:t>
            </w:r>
          </w:p>
        </w:tc>
        <w:tc>
          <w:tcPr>
            <w:tcW w:type="dxa" w:w="4819"/>
          </w:tcPr>
          <w:p>
            <w:r>
              <w:rPr>
                <w:sz w:val="18"/>
              </w:rPr>
              <w:t>149.124 kW</w:t>
            </w:r>
          </w:p>
        </w:tc>
      </w:tr>
      <w:tr>
        <w:tc>
          <w:tcPr>
            <w:tcW w:type="dxa" w:w="4819"/>
          </w:tcPr>
          <w:p>
            <w:r>
              <w:rPr>
                <w:sz w:val="18"/>
              </w:rPr>
              <w:t>Potenza esistente contabilizzata</w:t>
            </w:r>
          </w:p>
        </w:tc>
        <w:tc>
          <w:tcPr>
            <w:tcW w:type="dxa" w:w="4819"/>
          </w:tcPr>
          <w:p>
            <w:r>
              <w:rPr>
                <w:sz w:val="18"/>
              </w:rPr>
              <w:t>57.601,308 kW</w:t>
            </w:r>
          </w:p>
        </w:tc>
      </w:tr>
      <w:tr>
        <w:tc>
          <w:tcPr>
            <w:tcW w:type="dxa" w:w="4819"/>
          </w:tcPr>
          <w:p>
            <w:r>
              <w:rPr>
                <w:sz w:val="18"/>
              </w:rPr>
              <w:t>Potenza aggiuntiva necessaria</w:t>
            </w:r>
          </w:p>
        </w:tc>
        <w:tc>
          <w:tcPr>
            <w:tcW w:type="dxa" w:w="4819"/>
          </w:tcPr>
          <w:p>
            <w:r>
              <w:rPr>
                <w:sz w:val="18"/>
              </w:rPr>
              <w:t>91.522,692 kW</w:t>
            </w:r>
          </w:p>
        </w:tc>
      </w:tr>
      <w:tr>
        <w:tc>
          <w:tcPr>
            <w:tcW w:type="dxa" w:w="4819"/>
          </w:tcPr>
          <w:p>
            <w:r>
              <w:rPr>
                <w:sz w:val="18"/>
              </w:rPr>
              <w:t>Potenza per nuova stazione</w:t>
            </w:r>
          </w:p>
        </w:tc>
        <w:tc>
          <w:tcPr>
            <w:tcW w:type="dxa" w:w="4819"/>
          </w:tcPr>
          <w:p>
            <w:r>
              <w:rPr>
                <w:sz w:val="18"/>
              </w:rPr>
              <w:t>150 kW</w:t>
            </w:r>
          </w:p>
        </w:tc>
      </w:tr>
      <w:tr>
        <w:tc>
          <w:tcPr>
            <w:tcW w:type="dxa" w:w="4819"/>
          </w:tcPr>
          <w:p>
            <w:r>
              <w:rPr>
                <w:sz w:val="18"/>
              </w:rPr>
              <w:t>Nuove stazioni previste</w:t>
            </w:r>
          </w:p>
        </w:tc>
        <w:tc>
          <w:tcPr>
            <w:tcW w:type="dxa" w:w="4819"/>
          </w:tcPr>
          <w:p>
            <w:r>
              <w:rPr>
                <w:sz w:val="18"/>
              </w:rPr>
              <w:t>611</w:t>
            </w:r>
          </w:p>
        </w:tc>
      </w:tr>
      <w:tr>
        <w:tc>
          <w:tcPr>
            <w:tcW w:type="dxa" w:w="4819"/>
          </w:tcPr>
          <w:p>
            <w:r>
              <w:rPr>
                <w:sz w:val="18"/>
              </w:rPr>
              <w:t>Nuovi punti di ricarica</w:t>
            </w:r>
          </w:p>
        </w:tc>
        <w:tc>
          <w:tcPr>
            <w:tcW w:type="dxa" w:w="4819"/>
          </w:tcPr>
          <w:p>
            <w:r>
              <w:rPr>
                <w:sz w:val="18"/>
              </w:rPr>
              <w:t>1.222</w:t>
            </w:r>
          </w:p>
        </w:tc>
      </w:tr>
      <w:tr>
        <w:tc>
          <w:tcPr>
            <w:tcW w:type="dxa" w:w="4819"/>
          </w:tcPr>
          <w:p>
            <w:r>
              <w:rPr>
                <w:sz w:val="18"/>
              </w:rPr>
              <w:t>Potenza delle nuove installazioni</w:t>
            </w:r>
          </w:p>
        </w:tc>
        <w:tc>
          <w:tcPr>
            <w:tcW w:type="dxa" w:w="4819"/>
          </w:tcPr>
          <w:p>
            <w:r>
              <w:rPr>
                <w:sz w:val="18"/>
              </w:rPr>
              <w:t>91.650 kW</w:t>
            </w:r>
          </w:p>
        </w:tc>
      </w:tr>
      <w:tr>
        <w:tc>
          <w:tcPr>
            <w:tcW w:type="dxa" w:w="4819"/>
          </w:tcPr>
          <w:p>
            <w:r>
              <w:rPr>
                <w:sz w:val="18"/>
              </w:rPr>
              <w:t>Potenza complessiva risultante</w:t>
            </w:r>
          </w:p>
        </w:tc>
        <w:tc>
          <w:tcPr>
            <w:tcW w:type="dxa" w:w="4819"/>
          </w:tcPr>
          <w:p>
            <w:r>
              <w:rPr>
                <w:sz w:val="18"/>
              </w:rPr>
              <w:t>149.251,308 kW</w:t>
            </w:r>
          </w:p>
        </w:tc>
      </w:tr>
    </w:tbl>
    <w:p>
      <w:pPr/>
      <w:r>
        <w:t>Il dimensionamento fornisce quindi una quantità definita di nuova capacità da distribuire sul territorio regionale.</w:t>
      </w:r>
    </w:p>
    <w:p>
      <w:pPr/>
      <w:r>
        <w:t>Il risultato dipende dalle ipotesi adottate sulla futura diffusione dei veicoli elettrici, dalla capacità nominale delle infrastrutture esistenti e dalla potenza standard assegnata alle nuove stazioni.</w:t>
      </w:r>
    </w:p>
    <w:p>
      <w:pPr/>
      <w:r>
        <w:t>Non costituisce inoltre una verifica della capacità delle infrastrutture di soddisfare un determinato numero di sessioni giornaliere, né consente di valutare direttamente eventuali tempi di attesa degli utenti.</w:t>
      </w:r>
    </w:p>
    <w:p>
      <w:pPr/>
      <w:r>
        <w:t>La potenza aggiuntiva individuata rappresenta pertanto il riferimento quantitativo della successiva fase di localizzazione, nella quale verrà valutata la distribuzione delle 611 nuove infrastrutture in relazione all'accessibilità territoriale, alla copertura dei percorsi e ai requisiti previsti sulla rete TEN-T.</w:t>
      </w:r>
    </w:p>
    <w:p>
      <w:pPr>
        <w:pStyle w:val="Titolo2"/>
      </w:pPr>
      <w:bookmarkStart w:id="44" w:name="_Toc241161219"/>
      <w:r>
        <w:t>Metodologia di localizzazione</w:t>
      </w:r>
      <w:bookmarkEnd w:id="44"/>
    </w:p>
    <w:p>
      <w:pPr/>
      <w:r>
        <w:t>Il dimensionamento sviluppato nel §4.6 ha individuato la necessità di realizzare 611 nuove infrastrutture di ricarica, ciascuna con una potenza complessiva di 150 kW. La fase di localizzazione ha l'obiettivo di determinarne la distribuzione sulla rete stradale del Friuli Venezia Giulia, garantendo un livello adeguato di copertura sia lungo gli itinerari percorsi dai veicoli sia nei diversi comuni della regione.</w:t>
      </w:r>
    </w:p>
    <w:p>
      <w:pPr/>
      <w:r>
        <w:t>La scelta delle ubicazioni non può dipendere esclusivamente dal traffico che interessa una determinata strada. Una distribuzione concentrata lungo le direttrici più frequentate potrebbe infatti lasciare alcuni territori e itinerari privi di opportunità di ricarica sufficientemente vicine. Per questo motivo, il modello impone requisiti minimi di copertura che devono essere soddisfatti indipendentemente dall'intensità dei flussi.</w:t>
      </w:r>
    </w:p>
    <w:p>
      <w:pPr/>
      <w:r>
        <w:t>La metodologia considera inoltre le condizioni fisiche di installazione e gli specifici requisiti previsti sulla rete transeuropea dei trasporti (TEN-T). Una volta garantite queste condizioni, l'ottimizzazione ricerca una distribuzione delle infrastrutture capace di ridurre gli intervalli privi di ricarica, attribuendo progressivamente maggiore importanza ai percorsi caratterizzati da traffico più elevato.</w:t>
      </w:r>
    </w:p>
    <w:p>
      <w:pPr>
        <w:pStyle w:val="Titolo3"/>
      </w:pPr>
      <w:r>
        <w:t>4.7.1 Impostazione del problema e dati di ingresso</w:t>
      </w:r>
    </w:p>
    <w:p>
      <w:pPr/>
      <w:r>
        <w:t>Il problema di localizzazione viene formulato sulla rete stradale OpenStreetMap descritta nel §4.3, utilizzando i percorsi e i flussi di mobilità ricostruiti nel §4.5.</w:t>
      </w:r>
    </w:p>
    <w:p>
      <w:pPr/>
      <w:r>
        <w:t>I principali dati di ingresso comprendono la rete stradale direzionata, i percorsi tra accessi comunali, le rispettive distanze progressive, i flussi giornalieri assegnati e le infrastrutture di ricarica esistenti censite nella Piattaforma Unica Nazionale (PUN).</w:t>
      </w:r>
    </w:p>
    <w:p>
      <w:pPr/>
      <w:r>
        <w:t>La localizzazione sceglie dove assegnare le nuove stazioni, utilizzando come dati di ingresso gli itinerari e i flussi già ricostruiti. Non ricalcola gli itinerari in funzione delle infrastrutture collocate.</w:t>
      </w:r>
    </w:p>
    <w:p>
      <w:pPr/>
      <w:r>
        <w:t>Le 611 nuove stazioni hanno le caratteristiche di potenza e i due punti di ricarica definiti nel §4.6, senza duplicare il conteggio della capacità condivisa.</w:t>
      </w:r>
    </w:p>
    <w:p>
      <w:pPr/>
      <w:r>
        <w:t>Le infrastrutture esistenti mantengono la propria posizione. Le 611 nuove stazioni, invece, sono tutte disponibili per l'allocazione e non vengono preventivamente assegnate a specifici comuni o strade.</w:t>
      </w:r>
    </w:p>
    <w:p>
      <w:pPr>
        <w:pStyle w:val="Paragrafo"/>
      </w:pPr>
      <w:r>
        <w:t>Unità decisionale</w:t>
      </w:r>
    </w:p>
    <w:p>
      <w:pPr/>
      <w:r>
        <w:t>L'unità elementare del problema è costituita da un arco topologico direzionale della rete stradale OSM. Tale scelta permette di distinguere le due direzioni di percorrenza quando necessario e di mantenere la relazione tra le infrastrutture e i percorsi che possono effettivamente raggiungerle.</w:t>
      </w:r>
    </w:p>
    <w:p>
      <w:pPr/>
      <w:r>
        <w:t>Per ogni arco ammissibile e viene definita una variabile intera non negativa:</w:t>
      </w:r>
    </w:p>
    <w:p>
      <w:pPr/>
      <w:r>
        <w:t>n_e ∈ ℤ_{≥0}</w:t>
      </w:r>
    </w:p>
    <w:p>
      <w:pPr/>
      <w:r>
        <w:t>che indica il numero di nuove stazioni attribuite a quel collegamento.</w:t>
      </w:r>
    </w:p>
    <w:p>
      <w:pPr/>
      <w:r>
        <w:t>La somma delle infrastrutture allocate deve essere esattamente pari a 611:</w:t>
      </w:r>
    </w:p>
    <w:p>
      <w:pPr>
        <w:jc w:val="center"/>
      </w:pPr>
      <w:r>
        <w:rPr>
          <w:i w:val="0"/>
        </w:rPr>
        <w:t>Σ_{e∈E_amm} n_e = 611</w:t>
      </w:r>
    </w:p>
    <w:p>
      <w:pPr/>
      <w:r>
        <w:t>dove E_{\mathrm{amm}} rappresenta l'insieme degli archi sui quali è consentita l'installazione.</w:t>
      </w:r>
    </w:p>
    <w:p>
      <w:pPr/>
      <w:r>
        <w:t>La decisione viene quindi assunta sul singolo arco, identificato univocamente nella rete. Il comune, la denominazione stradale e la direzione costituiscono attributi utili a interpretare e aggregare i risultati, ma non sostituiscono l'arco come unità del calcolo.</w:t>
      </w:r>
    </w:p>
    <w:p>
      <w:pPr>
        <w:pStyle w:val="Titolo3"/>
      </w:pPr>
      <w:r>
        <w:t>4.7.2 Ammissibilità delle ubicazioni e vincoli fisici</w:t>
      </w:r>
    </w:p>
    <w:p>
      <w:pPr/>
      <w:r>
        <w:t>L'attribuzione di una o più stazioni a un arco stradale non determina automaticamente il punto esatto nel quale saranno installate.</w:t>
      </w:r>
    </w:p>
    <w:p>
      <w:pPr/>
      <w:r>
        <w:t>Un arco può contenere una o più ubicazioni fisicamente ammissibili. Ciascuna ubicazione può ospitare al massimo quattro nuove stazioni, nel rispetto degli altri vincoli.</w:t>
      </w:r>
    </w:p>
    <w:p>
      <w:pPr/>
      <w:r>
        <w:t>Le nuove infrastrutture devono essere collocate esclusivamente entro i confini del Friuli Venezia Giulia e sulla porzione ammissibile della geometria stradale selezionata. Per gli archi che attraversano il confine regionale può essere utilizzata soltanto la parte interna alla regione.</w:t>
      </w:r>
    </w:p>
    <w:p>
      <w:pPr/>
      <w:r>
        <w:t>Sono esclusi dalle nuove localizzazioni gli archi OSM classificati come motorway e motorway_link, corrispondenti alle autostrade e ai relativi raccordi. Questa esclusione riguarda unicamente l'installazione: gli stessi collegamenti continuano a essere utilizzabili per la circolazione e per raggiungere le stazioni attraverso gli itinerari consentiti.</w:t>
      </w:r>
    </w:p>
    <w:p>
      <w:pPr>
        <w:pStyle w:val="Paragrafo"/>
      </w:pPr>
      <w:r>
        <w:t>Numero massimo di stazioni e separazione delle ubicazioni</w:t>
      </w:r>
    </w:p>
    <w:p>
      <w:pPr/>
      <w:r>
        <w:t>Una singola ubicazione fisica può ospitare al massimo quattro nuove stazioni. Il limite si applica al punto di installazione, non all'intero arco stradale.</w:t>
      </w:r>
    </w:p>
    <w:p>
      <w:pPr/>
      <w:r>
        <w:t>Di conseguenza, un arco sufficientemente esteso può comprendere più ubicazioni distinte, ciascuna delle quali può ospitare da una a quattro nuove stazioni.</w:t>
      </w:r>
    </w:p>
    <w:p>
      <w:pPr/>
      <w:r>
        <w:t>Il requisito di separazione minima si applica a ogni coppia di ubicazioni fisiche distinte delle quali almeno una ospita una nuova infrastruttura: comprende quindi coppie nuova–nuova e nuova–esistente, mentre non impone di modificare le distanze tra ubicazioni esclusivamente esistenti. La soglia è rappresentata dal parametro d_{\min}.</w:t>
      </w:r>
    </w:p>
    <w:p>
      <w:pPr/>
      <w:r>
        <w:t>La condizione viene valutata con distanza euclidea:</w:t>
      </w:r>
    </w:p>
    <w:p>
      <w:pPr>
        <w:jc w:val="center"/>
      </w:pPr>
      <w:r>
        <w:rPr>
          <w:i w:val="0"/>
        </w:rPr>
        <w:t>d_euclidea(x,y) ≥ d_min</w:t>
      </w:r>
    </w:p>
    <w:p>
      <w:pPr/>
      <w:r>
        <w:t>per le coppie di ubicazioni distinte alle quali il requisito si applica.</w:t>
      </w:r>
    </w:p>
    <w:p>
      <w:pPr/>
      <w:r>
        <w:t>La formulazione parametrica permette di analizzare configurazioni caratterizzate da soglie differenti. Nella configurazione di riferimento attualmente adottata, d_{\min}=1.000 m.</w:t>
      </w:r>
    </w:p>
    <w:p>
      <w:pPr/>
      <w:r>
        <w:rPr>
          <w:b/>
        </w:rPr>
        <w:t>[DA REVISIONARE — Eventuali scenari alternativi relativi alla distanza minima di separazione devono essere definiti e approvati separatamente. In assenza di una nuova decisione, resta valido il valore di riferimento di 1.000 m.</w:t>
      </w:r>
      <w:r>
        <w:t>]</w:t>
      </w:r>
    </w:p>
    <w:p>
      <w:pPr/>
      <w:r>
        <w:t>La separazione non sostituisce gli altri requisiti: un'ubicazione può risultare non ammissibile anche quando rispetta la distanza minima, se non soddisfa le condizioni di copertura o di accessibilità.</w:t>
      </w:r>
    </w:p>
    <w:p>
      <w:pPr>
        <w:pStyle w:val="Paragrafo"/>
      </w:pPr>
      <w:r>
        <w:t>Verifica della posizione fisica</w:t>
      </w:r>
    </w:p>
    <w:p>
      <w:pPr/>
      <w:r>
        <w:t>La scelta dell'arco e la verifica della posizione sono trattate come due livelli distinti del problema.</w:t>
      </w:r>
    </w:p>
    <w:p>
      <w:pPr/>
      <w:r>
        <w:t>Il modello considera l'intero dominio geometricamente ammissibile dell'arco, senza introdurre una griglia prestabilita di punti candidati. Per ciascun requisito viene verificato se esso risulti soddisfatto indipendentemente dalla posizione, impossibile da soddisfare oppure dipendente dalla posizione esatta.</w:t>
      </w:r>
    </w:p>
    <w:p>
      <w:pPr/>
      <w:r>
        <w:t>Una posizione geometrica precisa viene individuata solo quando è necessaria per verificare un vincolo. Per esempio, due ubicazioni distinte sullo stesso arco potrebbero rispettare oppure violare la separazione minima di 1 km a seconda della posizione effettivamente scelta lungo la strada.</w:t>
      </w:r>
    </w:p>
    <w:p>
      <w:pPr/>
      <w:r>
        <w:t>La stessa posizione deve soddisfare contemporaneamente tutti i vincoli che la riguardano. Quando su un arco sono necessarie più ubicazioni, ciascuna viene verificata separatamente, anche rispetto alla distanza minima dalle altre.</w:t>
      </w:r>
    </w:p>
    <w:p>
      <w:pPr/>
      <w:r>
        <w:t>Queste posizioni costituiscono una rappresentazione geometrica della soluzione di pianificazione. Non identificano ancora una particella disponibile, un parcheggio autorizzato o una piazzola definitivamente realizzabile.</w:t>
      </w:r>
    </w:p>
    <w:p>
      <w:pPr>
        <w:pStyle w:val="Titolo3"/>
      </w:pPr>
      <w:r>
        <w:t>4.7.3 Vincoli di copertura della rete e dei comuni</w:t>
      </w:r>
    </w:p>
    <w:p>
      <w:pPr/>
      <w:r>
        <w:t>La distribuzione delle infrastrutture deve rispettare due requisiti complementari: la continuità del servizio lungo gli itinerari e l'accessibilità territoriale per tutti i comuni della regione.</w:t>
      </w:r>
    </w:p>
    <w:p>
      <w:pPr>
        <w:pStyle w:val="Paragrafo"/>
      </w:pPr>
      <w:r>
        <w:t>Copertura dei percorsi: massimo 100 km di distanza stradale senza ricarica</w:t>
      </w:r>
    </w:p>
    <w:p>
      <w:pPr/>
      <w:r>
        <w:t>Il primo requisito stabilisce che, lungo ciascun percorso stradale con flusso positivo, la lunghezza effettivamente percorsa tra opportunità di ricarica successive, inclusi i tratti iniziale e finale, non possa superare 100 km.</w:t>
      </w:r>
    </w:p>
    <w:p>
      <w:pPr/>
      <w:r>
        <w:t>Il modello utilizza i 411.084 itinerari ai quali è stata attribuita una domanda positiva, mantenendo la loro sequenza stradale e le distanze progressive già calcolate.</w:t>
      </w:r>
    </w:p>
    <w:p>
      <w:pPr/>
      <w:r>
        <w:t>Per ogni percorso vengono considerate le opportunità effettivamente utilizzabili, comprendendo le nuove stazioni e quelle esistenti la cui relazione con la rete è stata verificata.</w:t>
      </w:r>
    </w:p>
    <w:p>
      <w:pPr/>
      <w:r>
        <w:t>L'intervallo privo di ricarica viene misurato considerando l'intero itinerario dall'origine alla destinazione. Sono inclusi il tratto dall'origine alla prima opportunità, gli intervalli tra opportunità consecutive e il tratto dall'ultima opportunità alla destinazione.</w:t>
      </w:r>
    </w:p>
    <w:p>
      <w:pPr/>
      <w:r>
        <w:t>Indicando con g_p il maggiore intervallo senza ricarica lungo il percorso p, il vincolo è:</w:t>
      </w:r>
    </w:p>
    <w:p>
      <w:pPr>
        <w:jc w:val="center"/>
      </w:pPr>
      <w:r>
        <w:rPr>
          <w:i w:val="0"/>
        </w:rPr>
        <w:t>g_p ≤ 100 km    ∀ p ∈ P⁺</w:t>
      </w:r>
    </w:p>
    <w:p>
      <w:pPr/>
      <w:r>
        <w:t>dove P^+ rappresenta l'insieme dei percorsi con flusso positivo.</w:t>
      </w:r>
    </w:p>
    <w:p>
      <w:pPr/>
      <w:r>
        <w:t>Il requisito si applica indipendentemente dal volume di traffico. Anche gli itinerari meno frequentati devono quindi rispettare il limite previsto.</w:t>
      </w:r>
    </w:p>
    <w:p>
      <w:pPr/>
      <w:r>
        <w:t>Un'infrastruttura contribuisce alla copertura soltanto quando è effettivamente utilizzabile dal percorso considerato. La presenza di una stazione sullo stesso arco o sulla stessa strada non è sufficiente se la sua ubicazione non risulta compatibile con il passaggio del veicolo.</w:t>
      </w:r>
    </w:p>
    <w:p>
      <w:pPr/>
      <w:r>
        <w:t>Per le opportunità raggiungibili dalla TEN-T attraverso uscite e rientri, il controllo delle distanze tiene conto anche dei collegamenti necessari a raggiungere la stazione, secondo le regole illustrate nel §4.7.4.</w:t>
      </w:r>
    </w:p>
    <w:p>
      <w:pPr>
        <w:pStyle w:val="Paragrafo"/>
      </w:pPr>
      <w:r>
        <w:t>Copertura dei comuni: almeno un'opportunità entro 10 km</w:t>
      </w:r>
    </w:p>
    <w:p>
      <w:pPr/>
      <w:r>
        <w:t>Il secondo requisito stabilisce che ciascuno dei 215 comuni del Friuli Venezia Giulia debba disporre di almeno un'opportunità di ricarica raggiungibile entro 10 km di distanza stradale.</w:t>
      </w:r>
    </w:p>
    <w:p>
      <w:pPr/>
      <w:r>
        <w:t>La verifica utilizza i tre accessi stradali associati a ciascun comune. La distanza è calcolata dal più favorevole dei tre accessi alla posizione dell'infrastruttura, considerando la lunghezza fisica del percorso sulla rete.</w:t>
      </w:r>
    </w:p>
    <w:p>
      <w:pPr/>
      <w:r>
        <w:t>Per un comune c e una possibile ubicazione x:</w:t>
      </w:r>
    </w:p>
    <w:p>
      <w:pPr>
        <w:jc w:val="center"/>
      </w:pPr>
      <w:r>
        <w:rPr>
          <w:i w:val="0"/>
        </w:rPr>
        <w:t>d_c(x) = min_{a∈Γ_c} d_G(a,x)</w:t>
      </w:r>
    </w:p>
    <w:p>
      <w:pPr/>
      <w:r>
        <w:t>dove \Gamma_c è l'insieme degli accessi comunali e d_G rappresenta la distanza percorribile sulla rete.</w:t>
      </w:r>
    </w:p>
    <w:p>
      <w:pPr/>
      <w:r>
        <w:t>Il requisito è soddisfatto quando esiste almeno un'infrastruttura valida tale che:</w:t>
      </w:r>
    </w:p>
    <w:p>
      <w:pPr>
        <w:jc w:val="center"/>
      </w:pPr>
      <w:r>
        <w:rPr>
          <w:i w:val="0"/>
        </w:rPr>
        <w:t>d_c(x) ≤ 10 km</w:t>
      </w:r>
    </w:p>
    <w:p>
      <w:pPr/>
      <w:r>
        <w:t>La condizione si applica a tutti i comuni, senza introdurre soglie minime di popolazione, superficie o traffico.</w:t>
      </w:r>
    </w:p>
    <w:p>
      <w:pPr/>
      <w:r>
        <w:t>I due requisiti di copertura sono indipendenti: la presenza di una stazione entro 10 km da un comune non garantisce automaticamente la continuità della ricarica lungo gli itinerari, così come la copertura delle principali direttrici non assicura necessariamente l'accessibilità di tutti i territori comunali.</w:t>
      </w:r>
    </w:p>
    <w:p>
      <w:pPr>
        <w:pStyle w:val="Paragrafo"/>
      </w:pPr>
      <w:r>
        <w:t>Contributo delle infrastrutture esistenti</w:t>
      </w:r>
    </w:p>
    <w:p>
      <w:pPr/>
      <w:r>
        <w:t>Ai fini dei vincoli geografici si considerano soltanto le infrastrutture PUN la cui posizione è stata associata in modo verificato agli archi della rete stradale.</w:t>
      </w:r>
    </w:p>
    <w:p>
      <w:pPr/>
      <w:r>
        <w:t>Il censimento utilizzato per il dimensionamento comprende 302 EVSE eleggibili, distribuiti in 90 ubicazioni fisiche.</w:t>
      </w:r>
    </w:p>
    <w:p>
      <w:pPr/>
      <w:r>
        <w:t>Di queste, 61 ubicazioni, comprendenti 163 EVSE, dispongono di un'associazione validata agli archi della rete e possono essere considerate nella copertura dei percorsi e dei comuni.</w:t>
      </w:r>
    </w:p>
    <w:p>
      <w:pPr/>
      <w:r>
        <w:t>Le restanti 29 ubicazioni, comprendenti 139 EVSE, contribuiscono al bilancio regionale della potenza esistente ma non vengono automaticamente utilizzate per soddisfare i requisiti geografici.</w:t>
      </w:r>
    </w:p>
    <w:p>
      <w:pPr/>
      <w:r>
        <w:t>Le infrastrutture esistenti rimangono fisse. Non vengono spostate, duplicate o attribuite artificialmente a percorsi per migliorare la copertura.</w:t>
      </w:r>
    </w:p>
    <w:p>
      <w:pPr>
        <w:pStyle w:val="Titolo3"/>
      </w:pPr>
      <w:r>
        <w:t>4.7.4 Localizzazione sulla TEN-T e requisiti AFIR</w:t>
      </w:r>
    </w:p>
    <w:p>
      <w:pPr/>
      <w:r/>
      <w:r/>
      <w:r/>
      <w:r>
        <w:t>Sulla rete transeuropea dei trasporti (TEN-T), ai requisiti generali di copertura si aggiungono quelli previsti dal Regolamento (UE) 2023/1804 (AFIR).</w:t>
      </w:r>
    </w:p>
    <w:p>
      <w:pPr/>
      <w:r>
        <w:t>Nel presente studio tali requisiti vengono integrati nel problema di localizzazione e verificati separatamente per ciascuna direzione di percorrenza.</w:t>
      </w:r>
    </w:p>
    <w:p>
      <w:pPr/>
      <w:r>
        <w:t>L'applicazione alla TEN-T richiede quattro passaggi: identificazione degli accessi ammissibili, verifica dell'accessibilità delle possibili ubicazioni, definizione dei gruppi di ricarica e controllo della continuità del servizio lungo il corridoio.</w:t>
      </w:r>
    </w:p>
    <w:p>
      <w:pPr>
        <w:pStyle w:val="Paragrafo"/>
      </w:pPr>
      <w:r>
        <w:t>Identificazione e qualificazione degli svincoli</w:t>
      </w:r>
    </w:p>
    <w:p>
      <w:pPr/>
      <w:r>
        <w:t>Il primo passaggio consiste nell'individuare gli accessi attraverso i quali un veicolo può abbandonare temporaneamente un corridoio TEN-T, raggiungere un'infrastruttura di ricarica e successivamente riprendere il viaggio.</w:t>
      </w:r>
    </w:p>
    <w:p>
      <w:pPr/>
      <w:r/>
      <w:r/>
      <w:r>
        <w:t>L'identificazione degli accessi utilizza come riferimento ufficiale la ricostruzione dei corridoi TEN-T disponibile attraverso TENtec. Tale riferimento viene collegato al grafo stradale OSM, verificando le geometrie, la continuità della rete, la classificazione degli archi e le direzioni consentite.</w:t>
      </w:r>
    </w:p>
    <w:p>
      <w:pPr/>
      <w:r>
        <w:t>L'identità di uno svincolo, di un accesso a un'area di servizio o di un parcheggio deve essere sostenuta da una fonte ufficiale o documentale verificabile. La sola presenza di rampe nella cartografia, la vicinanza alla carreggiata o la condivisione di un nodo stradale non dimostrano automaticamente l'esistenza di un accesso utilizzabile.</w:t>
      </w:r>
    </w:p>
    <w:p>
      <w:pPr/>
      <w:r>
        <w:t>È inoltre necessario distinguere le vere rampe di uscita dai collegamenti che, pur essendo classificati cartograficamente come raccordi, costituiscono una prosecuzione longitudinale del corridoio.</w:t>
      </w:r>
    </w:p>
    <w:p>
      <w:pPr/>
      <w:r>
        <w:t>Il risultato previsto è un insieme di accessi qualificati per corridoio e direzione. La qualificazione di un accesso non implica ancora che tutte le possibili stazioni nelle sue vicinanze siano ammissibili, né che debba necessariamente esservi realizzato un gruppo di ricarica.</w:t>
      </w:r>
    </w:p>
    <w:p>
      <w:pPr/>
      <w:r>
        <w:rPr>
          <w:b/>
        </w:rPr>
        <w:t>[DA REVISIONARE — Completare l'elenco degli accessi TEN-T qualificati, non qualificati e ancora da verificare, distinguendo corridoio, direzione, uscita, rientro e fonte utilizzata. Restano da risolvere le associazioni ufficiali ancora aperte e le classificazioni direzionali non confermate.</w:t>
      </w:r>
      <w:r>
        <w:t>]</w:t>
      </w:r>
    </w:p>
    <w:p>
      <w:pPr>
        <w:pStyle w:val="Paragrafo"/>
      </w:pPr>
      <w:r>
        <w:t>Accessibilità delle stazioni esterne all'autostrada</w:t>
      </w:r>
    </w:p>
    <w:p>
      <w:pPr/>
      <w:r>
        <w:t>Il modello non prevede nuove installazioni sugli archi autostradali o sulle relative rampe. Le infrastrutture destinate a servire la TEN-T vengono localizzate sulla viabilità ammissibile esterna alla carreggiata principale.</w:t>
      </w:r>
    </w:p>
    <w:p>
      <w:pPr/>
      <w:r>
        <w:t>Questa impostazione tiene conto della possibilità, prevista dall'AFIR, di considerare infrastrutture collocate entro 3 km di percorrenza stradale dall'uscita pertinente.</w:t>
      </w:r>
    </w:p>
    <w:p>
      <w:pPr/>
      <w:r>
        <w:t>Ai fini del modello, tuttavia, la sola distanza dall'uscita non è sufficiente: occorre verificare anche la possibilità di rientrare sul corridoio e proseguire il viaggio nella direzione originaria.</w:t>
      </w:r>
    </w:p>
    <w:p>
      <w:pPr/>
      <w:r>
        <w:t>Per ogni possibile ubicazione x associata a un corridoio direzionale vengono individuati un accesso di uscita A e un accesso di rientro B.</w:t>
      </w:r>
    </w:p>
    <w:p>
      <w:pPr/>
      <w:r>
        <w:t>Il rientro può avvenire attraverso lo stesso complesso di accesso oppure attraverso un accesso successivo lungo il medesimo corridoio. Non è invece ammissibile un rientro a monte rispetto alla direzione di provenienza.</w:t>
      </w:r>
    </w:p>
    <w:p>
      <w:pPr/>
      <w:r>
        <w:t>Devono essere rispettate due condizioni indipendenti:</w:t>
      </w:r>
    </w:p>
    <w:p>
      <w:pPr>
        <w:jc w:val="center"/>
      </w:pPr>
      <w:r>
        <w:rPr>
          <w:i w:val="0"/>
        </w:rPr>
        <w:t>d_G(A,x) ≤ 3 km</w:t>
      </w:r>
    </w:p>
    <w:p>
      <w:pPr>
        <w:jc w:val="center"/>
      </w:pPr>
      <w:r>
        <w:rPr>
          <w:i w:val="0"/>
        </w:rPr>
        <w:t>d_G(x,B) ≤ 3 km</w:t>
      </w:r>
    </w:p>
    <w:p>
      <w:pPr/>
      <w:r>
        <w:t>La prima verifica misura la distanza stradale dall'uscita all'infrastruttura. La seconda misura quella necessaria per raggiungere nuovamente il corridoio.</w:t>
      </w:r>
    </w:p>
    <w:p>
      <w:pPr/>
      <w:r>
        <w:t>Entrambi i percorsi devono rispettare i sensi di marcia, le connessioni e le restrizioni della rete OSM.</w:t>
      </w:r>
    </w:p>
    <w:p>
      <w:pPr/>
      <w:r>
        <w:t>Non sono ammesse inversioni di marcia che comportino un ritorno lungo il corridoio nella direzione opposta, né rientri in punti precedenti rispetto al senso originario di avanzamento.</w:t>
      </w:r>
    </w:p>
    <w:p>
      <w:pPr/>
      <w:r>
        <w:t>I collegamenti locali possono invece utilizzare altri assi stradali e differenti sensi di percorrenza intermedi, quando consentiti dalla rete, purché la reimmissione avvenga sulla prosecuzione corretta del corridoio originario.</w:t>
      </w:r>
    </w:p>
    <w:p>
      <w:pPr/>
      <w:r>
        <w:t>La verifica dei due tratti da 3 km è una condizione specifica della metodologia adottata, che integra il riferimento normativo AFIR relativo alla distanza dall'uscita.</w:t>
      </w:r>
    </w:p>
    <w:p>
      <w:pPr/>
      <w:r>
        <w:rPr>
          <w:b/>
        </w:rPr>
        <w:t>[DA REVISIONARE — Completare la verifica direzionale dei due tratti da massimo 3 km per gli accessi qualificati e le ubicazioni candidate. Le ubicazioni non verificate non devono essere considerate automaticamente ammissibili.</w:t>
      </w:r>
      <w:r>
        <w:t>]</w:t>
      </w:r>
    </w:p>
    <w:p>
      <w:pPr>
        <w:pStyle w:val="Paragrafo"/>
      </w:pPr>
      <w:r>
        <w:t>Costruzione dei gruppi di ricarica AFIR</w:t>
      </w:r>
    </w:p>
    <w:p>
      <w:pPr/>
      <w:r>
        <w:t>Le stazioni destinate a soddisfare i requisiti TEN-T vengono organizzate in gruppi di ricarica, denominati recharging pool.</w:t>
      </w:r>
    </w:p>
    <w:p>
      <w:pPr/>
      <w:r>
        <w:t>Nello scenario di riferimento al 2030 vengono applicati i seguenti requisiti di potenza e di disponibilità dei punti:</w:t>
      </w:r>
    </w:p>
    <w:tbl>
      <w:tblPr>
        <w:tblStyle w:val="Tabellagriglia1chiara-colore4"/>
        <w:tblW w:type="auto" w:w="0"/>
        <w:tblLook w:firstColumn="1" w:firstRow="1" w:lastColumn="0" w:lastRow="0" w:noHBand="0" w:noVBand="1" w:val="04A0"/>
      </w:tblPr>
      <w:tblGrid>
        <w:gridCol w:w="3213"/>
        <w:gridCol w:w="3213"/>
        <w:gridCol w:w="3213"/>
      </w:tblGrid>
      <w:tr>
        <w:trPr>
          <w:tblHeader w:val="true"/>
        </w:trPr>
        <w:tc>
          <w:tcPr>
            <w:tcW w:type="dxa" w:w="3213"/>
          </w:tcPr>
          <w:p>
            <w:r>
              <w:rPr>
                <w:b/>
                <w:sz w:val="18"/>
              </w:rPr>
              <w:t>Requisito</w:t>
            </w:r>
          </w:p>
        </w:tc>
        <w:tc>
          <w:tcPr>
            <w:tcW w:type="dxa" w:w="3213"/>
          </w:tcPr>
          <w:p>
            <w:r>
              <w:rPr>
                <w:b/>
                <w:sz w:val="18"/>
              </w:rPr>
              <w:t>Rete centrale (Core)</w:t>
            </w:r>
          </w:p>
        </w:tc>
        <w:tc>
          <w:tcPr>
            <w:tcW w:type="dxa" w:w="3213"/>
          </w:tcPr>
          <w:p>
            <w:r>
              <w:rPr>
                <w:b/>
                <w:sz w:val="18"/>
              </w:rPr>
              <w:t>Rete globale (Comprehensive)</w:t>
            </w:r>
          </w:p>
        </w:tc>
      </w:tr>
      <w:tr>
        <w:tc>
          <w:tcPr>
            <w:tcW w:type="dxa" w:w="3213"/>
          </w:tcPr>
          <w:p>
            <w:r>
              <w:rPr>
                <w:sz w:val="18"/>
              </w:rPr>
              <w:t>Potenza complessiva minima per pool</w:t>
            </w:r>
          </w:p>
        </w:tc>
        <w:tc>
          <w:tcPr>
            <w:tcW w:type="dxa" w:w="3213"/>
          </w:tcPr>
          <w:p>
            <w:r>
              <w:rPr>
                <w:sz w:val="18"/>
              </w:rPr>
              <w:t>600 kW</w:t>
            </w:r>
          </w:p>
        </w:tc>
        <w:tc>
          <w:tcPr>
            <w:tcW w:type="dxa" w:w="3213"/>
          </w:tcPr>
          <w:p>
            <w:r>
              <w:rPr>
                <w:sz w:val="18"/>
              </w:rPr>
              <w:t>300 kW</w:t>
            </w:r>
          </w:p>
        </w:tc>
      </w:tr>
      <w:tr>
        <w:tc>
          <w:tcPr>
            <w:tcW w:type="dxa" w:w="3213"/>
          </w:tcPr>
          <w:p>
            <w:r>
              <w:rPr>
                <w:sz w:val="18"/>
              </w:rPr>
              <w:t>Punti individuali richiesti</w:t>
            </w:r>
          </w:p>
        </w:tc>
        <w:tc>
          <w:tcPr>
            <w:tcW w:type="dxa" w:w="3213"/>
          </w:tcPr>
          <w:p>
            <w:r>
              <w:rPr>
                <w:sz w:val="18"/>
              </w:rPr>
              <w:t>Almeno 2 da 150 kW</w:t>
            </w:r>
          </w:p>
        </w:tc>
        <w:tc>
          <w:tcPr>
            <w:tcW w:type="dxa" w:w="3213"/>
          </w:tcPr>
          <w:p>
            <w:r>
              <w:rPr>
                <w:sz w:val="18"/>
              </w:rPr>
              <w:t>Almeno 1 da 150 kW</w:t>
            </w:r>
          </w:p>
        </w:tc>
      </w:tr>
    </w:tbl>
    <w:p>
      <w:pPr/>
      <w:r>
        <w:t>Con le nuove infrastrutture standard da 150 kW complessivi, un pool realizzato esclusivamente con nuove stazioni richiede almeno quattro unità sulla rete centrale oppure due sulla rete globale.</w:t>
      </w:r>
    </w:p>
    <w:p>
      <w:pPr/>
      <w:r>
        <w:t>Le stazioni che concorrono allo stesso pool devono essere collocate nella medesima ubicazione fisica identificabile. Non è sufficiente che appartengano allo stesso svincolo o che si trovino genericamente nelle vicinanze.</w:t>
      </w:r>
    </w:p>
    <w:p>
      <w:pPr/>
      <w:r>
        <w:t>Le infrastrutture esistenti possono contribuire alla potenza del pool soltanto quando la loro effettiva appartenenza alla stessa ubicazione risulta verificata. In presenza di capacità esistente utilizzabile, il numero delle nuove stazioni necessarie dipende dalla potenza ancora mancante.</w:t>
      </w:r>
    </w:p>
    <w:p>
      <w:pPr/>
      <w:r>
        <w:t>Il modello non impone di attivare tutti gli accessi TEN-T qualificati. Può selezionare soltanto quelli necessari per ottenere una distribuzione che soddisfi i requisiti complessivi.</w:t>
      </w:r>
    </w:p>
    <w:p>
      <w:pPr>
        <w:pStyle w:val="Paragrafo"/>
      </w:pPr>
      <w:r>
        <w:t>Continuità di copertura lungo il corridoio</w:t>
      </w:r>
    </w:p>
    <w:p>
      <w:pPr/>
      <w:r/>
      <w:r/>
      <w:r>
        <w:t>Per ciascuna direzione TEN-T viene imposto un limite massimo di 60 km tra opportunità di ricarica qualificate e consecutive. Lo studio applica tale limite ordinario senza avvalersi della deroga prevista dall'art. 3, paragrafo 9, del Regolamento (UE) 2023/1804, che consente agli Stati membri, alle condizioni previste, di autorizzare fino a 100 km su strade TEN-T con traffico medio giornaliero annuo inferiore a 3.000 veicoli leggeri.</w:t>
      </w:r>
    </w:p>
    <w:p>
      <w:pPr/>
      <w:r>
        <w:t>Nella metodologia adottata, la distanza operativa comprende il tratto percorso sul corridoio e i collegamenti stradali di accesso e rientro pertinenti. L'inclusione di tali collegamenti è un criterio aggiuntivo del modello rispetto alla formulazione normativa, e il controllo non si riduce alla distanza geometrica tra due svincoli.</w:t>
      </w:r>
    </w:p>
    <w:p>
      <w:pPr/>
      <w:r>
        <w:t>Un gruppo di ricarica accessibile soltanto dalla direzione opposta non può essere utilizzato per certificare la copertura del senso di marcia considerato.</w:t>
      </w:r>
    </w:p>
    <w:p>
      <w:pPr/>
      <w:r>
        <w:t>La copertura TEN-T è un requisito aggiuntivo rispetto al limite generale dei 100 km sui percorsi con flusso positivo.</w:t>
      </w:r>
    </w:p>
    <w:p>
      <w:pPr/>
      <w:r>
        <w:t>In prossimità dei confini regionali, la verifica del rientro può considerare la prosecuzione effettiva del medesimo corridoio anche oltre il confine, purché rispetti il senso originario di marcia. Non vengono tuttavia assunte né certificate, in questo modello, la disponibilità di pool esteri o la conformità AFIR dei tratti esterni al Friuli Venezia Giulia.</w:t>
      </w:r>
    </w:p>
    <w:p>
      <w:pPr/>
      <w:r>
        <w:rPr>
          <w:b/>
        </w:rPr>
        <w:t>[DA REVISIONARE — Verificare la copertura dei corridoi TEN-T nelle due direzioni, la composizione dei pool e il rispetto dei 60 km. Non dichiarare la conformità complessiva prima del completamento delle verifiche.</w:t>
      </w:r>
      <w:r>
        <w:t>]</w:t>
      </w:r>
    </w:p>
    <w:p>
      <w:pPr>
        <w:pStyle w:val="Titolo3"/>
      </w:pPr>
      <w:r>
        <w:t>4.7.5 Criteri e obiettivi dell'ottimizzazione</w:t>
      </w:r>
    </w:p>
    <w:p>
      <w:pPr/>
      <w:r>
        <w:t>Il problema viene risolto attraverso una procedura gerarchica, nella quale il rispetto dei requisiti precede l'ottimizzazione della qualità della copertura.</w:t>
      </w:r>
    </w:p>
    <w:p>
      <w:pPr/>
      <w:r>
        <w:t>La sequenza comprende tre fasi.</w:t>
      </w:r>
    </w:p>
    <w:p>
      <w:pPr>
        <w:pStyle w:val="Paragrafo"/>
      </w:pPr>
      <w:r>
        <w:t>Fase I — Ricerca di una configurazione ammissibile</w:t>
      </w:r>
    </w:p>
    <w:p>
      <w:pPr/>
      <w:r>
        <w:t>La prima fase ha l'obiettivo di verificare se sia possibile distribuire esattamente 611 nuove infrastrutture rispettando contemporaneamente tutti i vincoli obbligatori:</w:t>
      </w:r>
    </w:p>
    <w:p>
      <w:pPr/>
      <w:r>
        <w:t>• ammissibilità geometrica delle ubicazioni;</w:t>
      </w:r>
    </w:p>
    <w:p>
      <w:pPr/>
      <w:r>
        <w:t>• separazione minima tra posizioni distinte e massimo quattro nuove stazioni per ubicazione;</w:t>
      </w:r>
    </w:p>
    <w:p>
      <w:pPr/>
      <w:r>
        <w:t>• copertura dei percorsi con intervalli senza ricarica non superiori a 100 km;</w:t>
      </w:r>
    </w:p>
    <w:p>
      <w:pPr/>
      <w:r>
        <w:t>• accessibilità di tutti i comuni entro 10 km;</w:t>
      </w:r>
    </w:p>
    <w:p>
      <w:pPr/>
      <w:r>
        <w:t>• requisiti TEN-T/AFIR relativi a potenza, distanza e direzionalità.</w:t>
      </w:r>
    </w:p>
    <w:p>
      <w:pPr/>
      <w:r>
        <w:t>La fattibilità non viene presupposta e non è necessario disporre preventivamente di una configurazione ammissibile.</w:t>
      </w:r>
    </w:p>
    <w:p>
      <w:pPr/>
      <w:r>
        <w:t>Se non è possibile dimostrare l'esistenza di una soluzione, il risultato deve evidenziare le criticità riscontrate senza modificare automaticamente la cardinalità, le soglie di copertura o gli altri vincoli del modello.</w:t>
      </w:r>
    </w:p>
    <w:p>
      <w:pPr/>
      <w:r>
        <w:rPr>
          <w:b/>
        </w:rPr>
        <w:t>[DA REVISIONARE — Inserire l'esito della Fase I: configurazione ammissibile verificata, impossibilità dimostrata oppure stato non conclusivo, riportando le verifiche effettivamente completate.</w:t>
      </w:r>
      <w:r>
        <w:t>]</w:t>
      </w:r>
    </w:p>
    <w:p>
      <w:pPr>
        <w:pStyle w:val="Paragrafo"/>
      </w:pPr>
      <w:r>
        <w:t>Fase II-A — Minimizzazione del massimo intervallo senza ricarica</w:t>
      </w:r>
    </w:p>
    <w:p>
      <w:pPr/>
      <w:r>
        <w:t>Una volta accertata la fattibilità, il modello ricerca la distribuzione che minimizza il maggiore intervallo privo di opportunità di ricarica tra tutti i percorsi con flusso positivo.</w:t>
      </w:r>
    </w:p>
    <w:p>
      <w:pPr/>
      <w:r>
        <w:t>L'obiettivo è:</w:t>
      </w:r>
    </w:p>
    <w:p>
      <w:pPr>
        <w:jc w:val="center"/>
      </w:pPr>
      <w:r>
        <w:rPr>
          <w:i w:val="0"/>
        </w:rPr>
        <w:t>G* = min_{configurazioni ammissibili} max_{p∈P⁺} g_p</w:t>
      </w:r>
    </w:p>
    <w:p>
      <w:pPr/>
      <w:r>
        <w:t>Il criterio permette di migliorare la continuità del servizio sull'intera rete rappresentata, dando priorità alla riduzione degli intervalli più critici.</w:t>
      </w:r>
    </w:p>
    <w:p>
      <w:pPr/>
      <w:r>
        <w:t>La minimizzazione viene effettuata mantenendo tutti i requisiti obbligatori della prima fase.</w:t>
      </w:r>
    </w:p>
    <w:p>
      <w:pPr>
        <w:pStyle w:val="Paragrafo"/>
      </w:pPr>
      <w:r>
        <w:t>Fase II-B — Miglioramento ponderato per i flussi</w:t>
      </w:r>
    </w:p>
    <w:p>
      <w:pPr/>
      <w:r>
        <w:t>Determinato il valore ottimo G^*, la fase successiva ricerca una distribuzione che migliori ulteriormente la copertura dei percorsi, attribuendo maggiore importanza a quelli interessati da flussi più elevati.</w:t>
      </w:r>
    </w:p>
    <w:p>
      <w:pPr/>
      <w:r>
        <w:t>L'obiettivo consiste nel minimizzare:</w:t>
      </w:r>
    </w:p>
    <w:p>
      <w:pPr/>
      <w:r>
        <w:t>Σ_{p∈P⁺} f_p · g_p</w:t>
      </w:r>
    </w:p>
    <w:p>
      <w:pPr/>
      <w:r>
        <w:t>dove f_p è il flusso giornaliero associato al percorso p.</w:t>
      </w:r>
    </w:p>
    <w:p>
      <w:pPr/>
      <w:r>
        <w:t>La soluzione deve mantenere:</w:t>
      </w:r>
    </w:p>
    <w:p>
      <w:pPr>
        <w:jc w:val="center"/>
      </w:pPr>
      <w:r>
        <w:rPr>
          <w:i w:val="0"/>
        </w:rPr>
        <w:t>g_p ≤ G*    ∀ p ∈ P⁺</w:t>
      </w:r>
    </w:p>
    <w:p>
      <w:pPr/>
      <w:r>
        <w:t>In questo modo, la riduzione dei gap sui percorsi più trafficati non può peggiorare il massimo intervallo già minimizzato.</w:t>
      </w:r>
    </w:p>
    <w:p>
      <w:pPr/>
      <w:r>
        <w:t>Il traffico non determina una distribuzione delle infrastrutture proporzionale ai flussi degli archi. Viene utilizzato come criterio di ponderazione dei percorsi nella fase finale, dopo aver garantito la fattibilità e minimizzato il maggiore intervallo senza ricarica.</w:t>
      </w:r>
    </w:p>
    <w:p>
      <w:pPr/>
      <w:r>
        <w:t>La formulazione non prevede, nella configurazione attuale, il calcolo delle sessioni di ricarica, dei consumi energetici o dei tempi di attesa per singola stazione.</w:t>
      </w:r>
    </w:p>
    <w:p>
      <w:pPr/>
      <w:r>
        <w:rPr>
          <w:b/>
        </w:rPr>
        <w:t>[DA REVISIONARE — Inserire i risultati delle Fasi II-A e II-B soltanto dopo la verifica della Fase I. Riportare il valore ottimo del massimo gap, l'obiettivo ponderato e lo stato di ottimalità effettivamente raggiunto.</w:t>
      </w:r>
      <w:r>
        <w:t>]</w:t>
      </w:r>
    </w:p>
    <w:p>
      <w:pPr>
        <w:pStyle w:val="Titolo3"/>
      </w:pPr>
      <w:r>
        <w:t>4.7.6 Procedura di risoluzione e verifiche</w:t>
      </w:r>
    </w:p>
    <w:p>
      <w:pPr/>
      <w:r>
        <w:t>La formulazione computazionale utilizza un modello di programmazione lineare intera mista (Mixed-Integer Linear Programming, MILP), nel quale le variabili principali rappresentano il numero di infrastrutture assegnate agli archi direzionali ammissibili.</w:t>
      </w:r>
    </w:p>
    <w:p>
      <w:pPr/>
      <w:r>
        <w:t>La procedura è organizzata per evitare di introdurre contemporaneamente nel modello tutte le condizioni geometriche e tutti i vincoli associati ai numerosi percorsi.</w:t>
      </w:r>
    </w:p>
    <w:p>
      <w:pPr/>
      <w:r>
        <w:t>In una fase preliminare vengono costruiti e verificati l'insieme degli archi candidati, i collegamenti delle infrastrutture PUN alla rete, le distanze di accessibilità comunale e le opportunità TEN-T qualificate.</w:t>
      </w:r>
    </w:p>
    <w:p>
      <w:pPr/>
      <w:r>
        <w:t>Il vincolo di cardinalità, le condizioni di copertura comunale e i requisiti TEN-T rappresentabili attraverso insiemi finiti vengono incorporati nella formulazione iniziale.</w:t>
      </w:r>
    </w:p>
    <w:p>
      <w:pPr>
        <w:pStyle w:val="Paragrafo"/>
      </w:pPr>
      <w:r>
        <w:t>Generazione progressiva dei vincoli longitudinali</w:t>
      </w:r>
    </w:p>
    <w:p>
      <w:pPr/>
      <w:r>
        <w:t>Il numero elevato di percorsi con flusso positivo rende opportuno trattare i requisiti dei 100 km attraverso una procedura iterativa.</w:t>
      </w:r>
    </w:p>
    <w:p>
      <w:pPr/>
      <w:r>
        <w:t>Il modello determina una configurazione candidata, ne verifica la copertura sui percorsi interessati e introduce ulteriori vincoli quando vengono individuate violazioni. La ricerca prosegue mantenendo tutte le condizioni già accertate.</w:t>
      </w:r>
    </w:p>
    <w:p>
      <w:pPr/>
      <w:r>
        <w:t>I nuovi vincoli devono derivare dalle violazioni effettivamente dimostrate e non possono escludere arbitrariamente configurazioni potenzialmente ammissibili.</w:t>
      </w:r>
    </w:p>
    <w:p>
      <w:pPr>
        <w:pStyle w:val="Paragrafo"/>
      </w:pPr>
      <w:r>
        <w:t>Verifica geometrica delle allocazioni</w:t>
      </w:r>
    </w:p>
    <w:p>
      <w:pPr/>
      <w:r>
        <w:t>La fattibilità delle posizioni fisiche viene verificata separatamente rispetto alle decisioni discrete sugli archi.</w:t>
      </w:r>
    </w:p>
    <w:p>
      <w:pPr/>
      <w:r>
        <w:t>Le condizioni che non dipendono dalla posizione esatta vengono valutate preventivamente. Quando invece l'ammissibilità varia lungo la geometria dell'arco, viene ricercata una posizione specifica che soddisfi contemporaneamente tutti i requisiti applicabili.</w:t>
      </w:r>
    </w:p>
    <w:p>
      <w:pPr/>
      <w:r>
        <w:t>La verifica deve considerare, quando pertinenti, la separazione dalle altre ubicazioni, la copertura dei percorsi, l'accessibilità comunale e le condizioni direzionali TEN-T.</w:t>
      </w:r>
    </w:p>
    <w:p>
      <w:pPr/>
      <w:r>
        <w:t>Se un'allocazione non può essere realizzata geometricamente, il modello deve ricevere una condizione correttiva fondata sull'impossibilità dimostrata, senza modificare la rete o i percorsi di ingresso.</w:t>
      </w:r>
    </w:p>
    <w:p>
      <w:pPr>
        <w:pStyle w:val="Paragrafo"/>
      </w:pPr>
      <w:r>
        <w:t>Strumenti di ottimizzazione</w:t>
      </w:r>
    </w:p>
    <w:p>
      <w:pPr/>
      <w:r>
        <w:t>Per il primo calcolo diagnostico è previsto l'utilizzo di HiGHS tramite l'interfaccia Python highspy, con SCIP/PySCIPOpt come alternativa per verifiche comparative.</w:t>
      </w:r>
    </w:p>
    <w:p>
      <w:pPr/>
      <w:r>
        <w:t>La scelta del software di ottimizzazione non modifica le variabili decisionali, i vincoli o gli obiettivi scientifici.</w:t>
      </w:r>
    </w:p>
    <w:p>
      <w:pPr/>
      <w:r>
        <w:t>Il modello non introduce un criterio aggiuntivo di penalizzazione della concentrazione locale delle stazioni. L'eventuale adozione di un simile criterio richiederebbe una decisione separata e non può essere assunta implicitamente durante l'implementazione.</w:t>
      </w:r>
    </w:p>
    <w:p>
      <w:pPr/>
      <w:r>
        <w:rPr>
          <w:b/>
        </w:rPr>
        <w:t>[DA REVISIONARE — Documentare l'implementazione effettiva, i controlli eseguiti e l'esito del calcolo. Distinguere il completamento tecnico dalla dimostrazione di fattibilità e ottimalità.</w:t>
      </w:r>
      <w:r>
        <w:t>]</w:t>
      </w:r>
    </w:p>
    <w:p>
      <w:pPr>
        <w:pStyle w:val="Titolo3"/>
      </w:pPr>
      <w:r>
        <w:t>4.7.7 Risultati previsti, assunzioni e limiti</w:t>
      </w:r>
    </w:p>
    <w:p>
      <w:pPr/>
      <w:r>
        <w:t>La metodologia è finalizzata alla produzione di una distribuzione verificata delle 611 nuove infrastrutture lungo la rete regionale.</w:t>
      </w:r>
    </w:p>
    <w:p>
      <w:pPr/>
      <w:r>
        <w:t>I risultati dovranno essere presentati attraverso una struttura leggibile anche senza conoscere gli identificativi tecnici degli archi OSM.</w:t>
      </w:r>
    </w:p>
    <w:p>
      <w:pPr/>
      <w:r>
        <w:t>Le allocazioni saranno quindi organizzate principalmente per comune e strada, distinguendo la direzione di marcia quando questa incide sull'accessibilità delle infrastrutture.</w:t>
      </w:r>
    </w:p>
    <w:p>
      <w:pPr/>
      <w:r>
        <w:t>Per ogni gruppo territoriale sarà necessario indicare il numero delle ubicazioni fisiche individuate e delle stazioni previste presso ciascuna di esse, oltre al totale delle infrastrutture attribuite al gruppo.</w:t>
      </w:r>
    </w:p>
    <w:p>
      <w:pPr/>
      <w:r>
        <w:t>Una stessa coppia comune–strada può contenere più ubicazioni distinte; allo stesso tempo, una singola ubicazione può ospitare fino a quattro stazioni. I risultati aggregati dovranno conservare questa distinzione.</w:t>
      </w:r>
    </w:p>
    <w:p>
      <w:pPr/>
      <w:r>
        <w:t>Quando una posizione può offrire servizio a più direzioni, la stessa infrastruttura non deve essere conteggiata più volte nel totale delle 611 nuove unità.</w:t>
      </w:r>
    </w:p>
    <w:p>
      <w:pPr/>
      <w:r>
        <w:t>Il quadro dei risultati dovrà inoltre riportare il contributo delle infrastrutture alla copertura longitudinale dei percorsi, all'accessibilità dei comuni e agli eventuali requisiti TEN-T, mantenendo la possibilità di risalire ai singoli archi e alle posizioni geometriche utilizzate nelle verifiche.</w:t>
      </w:r>
    </w:p>
    <w:p>
      <w:pPr>
        <w:pStyle w:val="Paragrafo"/>
      </w:pPr>
      <w:r>
        <w:t>Assunzioni e campo di applicazione</w:t>
      </w:r>
    </w:p>
    <w:p>
      <w:pPr/>
      <w:r>
        <w:t>Il modello utilizza percorsi di mobilità determinati, che non vengono modificati durante l'ottimizzazione. I flussi sono espressi in veicoli per giorno medio annuo e costituiscono pesi di mobilità, non misure dirette della domanda di energia presso le future stazioni.</w:t>
      </w:r>
    </w:p>
    <w:p>
      <w:pPr/>
      <w:r>
        <w:t>Le infrastrutture esistenti mantengono la propria posizione e contribuiscono alla copertura soltanto quando ne è stata verificata l'effettiva relazione con la rete.</w:t>
      </w:r>
    </w:p>
    <w:p>
      <w:pPr/>
      <w:r>
        <w:t>Le nuove infrastrutture hanno taglia standard di 150 kW complessivi e il loro numero rimane fissato a 611. La potenza disponibile non viene convertita automaticamente in capacità di servizio giornaliera o in tempi di attesa.</w:t>
      </w:r>
    </w:p>
    <w:p>
      <w:pPr/>
      <w:r>
        <w:t>Le posizioni individuate sulla geometria degli archi rappresentano soluzioni del problema di pianificazione e non costituiscono ancora siti esecutivi già verificati sotto il profilo urbanistico, proprietario, impiantistico ed economico.</w:t>
      </w:r>
    </w:p>
    <w:p>
      <w:pPr>
        <w:pStyle w:val="Paragrafo"/>
      </w:pPr>
      <w:r>
        <w:t>Risultati della localizzazione</w:t>
      </w:r>
    </w:p>
    <w:p>
      <w:pPr/>
      <w:r>
        <w:rPr>
          <w:b/>
        </w:rPr>
        <w:t>[DA REVISIONARE — Inserire la distribuzione territoriale delle 611 infrastrutture dopo l'ottimizzazione e la verifica globale dei vincoli. Riportare ubicazioni, quantità per comune/strada/direzione, indicatori di copertura ed eventuali rappresentazioni cartografiche. Non presentare come definitive localizzazioni ancora prive di verifica.</w:t>
      </w:r>
      <w:r>
        <w:t>]</w:t>
      </w:r>
    </w:p>
    <w:p>
      <w:pPr/>
      <w:r>
        <w:t>La metodologia permette di collegare il dimensionamento regionale alla distribuzione territoriale delle infrastrutture, mantenendo distinti i requisiti di copertura, gli obiettivi di ottimizzazione e l'effettiva realizzabilità degli interventi.</w:t>
      </w:r>
    </w:p>
    <w:p>
      <w:pPr>
        <w:pStyle w:val="Paragrafo"/>
      </w:pPr>
      <w:r>
        <w:t>Fonti citate nel Capitolo 4</w:t>
      </w:r>
    </w:p>
    <w:p>
      <w:pPr/>
      <w:r>
        <w:t>Ortúzar, J. de D., e Willumsen, L. G. (2011). Modelling Transport, 4ª ed. Wiley. DOI: 10.1002/9781119993308.</w:t>
      </w:r>
    </w:p>
    <w:p>
      <w:pPr/>
      <w:r>
        <w:t>Regolamento (UE) 2023/1804 (AFIR).</w:t>
      </w:r>
    </w:p>
    <w:p>
      <w:pPr/>
      <w:r>
        <w:t>Regolamento (UE) 2024/1679 (rete TEN-T).</w:t>
      </w:r>
    </w:p>
    <w:p>
      <w:pPr>
        <w:pStyle w:val="Titolo1"/>
        <w:keepNext/>
        <w:pageBreakBefore/>
      </w:pPr>
      <w:r>
        <w:t>Metodologia per la valutazione delle aree candidate a Hub Energetici Green</w:t>
      </w:r>
    </w:p>
    <w:p>
      <w:pPr/>
      <w:r>
        <w:t>Il capitolo presenta il metodo di valutazione delle aree candidate a Hub Energetici Green in Friuli Venezia Giulia, le fonti dei dati e il significato dei risultati ottenuti. L'esito scientifico principale è la graduatoria regionale generale dei 4.112 candidati, costruita sui punteggi multicriteriali aggiornati. Per favorire una consultazione più immediata delle alternative, gli stessi risultati sono organizzati anche secondo le quattro province di Gorizia, Pordenone, Trieste e Udine. Il confronto non equivale alla selezione di siti realizzabili né a una verifica di conformità AFIR o di fattibilità economica.</w:t>
      </w:r>
    </w:p>
    <w:p>
      <w:pPr>
        <w:pStyle w:val="Titolo2"/>
        <w:keepNext/>
      </w:pPr>
      <w:r>
        <w:t>Approccio metodologico generale</w:t>
      </w:r>
    </w:p>
    <w:p>
      <w:pPr/>
      <w:r>
        <w:t>La metodologia per la localizzazione degli Hub Energetici Green è finalizzata a individuare e confrontare, nel territorio del Friuli Venezia Giulia, le aree che presentano condizioni relativamente più favorevoli allo sviluppo di infrastrutture integrate a servizio della mobilità sostenibile. L'analisi costituisce un supporto alla pianificazione strategica: il suo risultato è l'ordinamento delle alternative territoriali, non la scelta definitiva dei terreni sui quali costruire gli impianti. Lo studio non determina in questa fase un numero prestabilito di siti da realizzare.</w:t>
      </w:r>
    </w:p>
    <w:p>
      <w:pPr/>
      <w:r>
        <w:t>Nella configurazione funzionale di riferimento, un Hub Energetico Green riunisce nel medesimo sito una stazione di rifornimento di idrogeno accessibile al pubblico, infrastrutture pubbliche di ricarica elettrica rapida in corrente continua per veicoli leggeri e pesanti e un elettrolizzatore in sito. Possono inoltre essere previsti sistemi di accumulo a batterie (BESS) e impianti di produzione da fonti energetiche rinnovabili (FER), senza che tali componenti aggiuntive debbano necessariamente essere presenti fisicamente in ogni localizzazione. La definizione descrive le funzioni dell’Hub; non determina in questa fase potenze, dimensioni, assetto impiantistico, modalità di approvvigionamento o condizioni effettive di allacciamento.</w:t>
      </w:r>
    </w:p>
    <w:p>
      <w:pPr/>
      <w:r>
        <w:t>Nella successiva fase di progettazione effettiva della rete infrastrutturale si propone di adottare una metodologia Hub-and-Spoke, organizzando gli Hub come poli principali e definendo le possibili infrastrutture di servizio distribuite sul territorio. L'applicazione di questo approccio richiederà di individuare i nodi secondari, i rispettivi bacini di servizio, i collegamenti e i flussi tra le diverse componenti della rete. Si tratta di una prospettiva per la progettazione successiva, distinta dal modello di valutazione e ranking delle aree candidate sviluppato nel presente studio.</w:t>
      </w:r>
    </w:p>
    <w:p>
      <w:pPr/>
      <w:r>
        <w:t>L’unità elementare della valutazione è il poligono candidato, inteso come alternativa localizzativa rappresentata attraverso una geometria territoriale e gli attributi ad essa associati. A partire dalle informazioni urbanistiche e territoriali disponibili è stato costruito un universo di 4.112 aree candidate, sottoposte a confronto mediante un modello geografico multicriterio. L’inclusione in tale universo non certifica la disponibilità dei terreni, la piena conformità urbanistica, la concreta accessibilità o la fattibilità tecnica e autorizzativa di un futuro impianto. Analogamente, le informazioni utilizzate comprendono dati osservati, elaborazioni modellistiche e indicatori territoriali di tipo proxy, la cui diversa natura deve essere tenuta presente nell’interpretazione dei risultati.</w:t>
      </w:r>
    </w:p>
    <w:p>
      <w:pPr/>
      <w:r>
        <w:t>La valutazione considera otto dimensioni: mobilità veicolare leggera (LIGHT) e pesante (HEAVY), prossimità alle infrastrutture elettriche (GRID), relazione con i poli logistici (LOGISTICS) e industriali (INDUSTRY), pericolosità idraulica (PGRA), prossimità ai riferimenti territoriali della filiera dell’idrogeno (H₂) e relazione con il trasporto pubblico locale (TPL). Gli indicatori sono trattati secondo regole comuni di normalizzazione e ponderazione per ricavare, per ciascun candidato, un punteggio sintetico individuale R_i. Il punteggio esprime una preferibilità comparativa nel confronto territoriale: non misura direttamente la capacità elettrica disponibile, la domanda reale di un singolo impianto o la sua autorizzabilità.</w:t>
      </w:r>
    </w:p>
    <w:p>
      <w:pPr/>
      <w:r>
        <w:t>L'elaborazione ha prodotto un punteggio individuale per tutti i 4.112 candidati, comprensivo della componente H₂ aggiornata, e un'unica graduatoria regionale generale. Per rendere più agevole la lettura e il confronto delle alternative, i risultati sono presentati anche secondo le quattro province di Gorizia (GO), Pordenone (PN), Trieste (TS) e Udine (UD), mantenendo invariati i punteggi individuali e senza introdurre criteri di preferenza territoriale.</w:t>
      </w:r>
    </w:p>
    <w:p>
      <w:pPr/>
      <w:r>
        <w:t>La graduatoria regionale è la base per eventuali successive scelte progettuali e approfondimenti su un numero più ristretto di alternative. Le verifiche di accessibilità stradale e dei requisiti relativi alla rete TEN-T e al Regolamento AFIR riguarderanno siti concretamente individuati, dopo aver definito la posizione dell'impianto all'interno del poligono e i possibili accessi; non sono applicate come filtro eliminatorio ai candidati nella fase di ranking. Le sezioni seguenti illustrano il quadro TEN-T/AFIR, le fonti dei dati, la costruzione dell'universo candidato, i criteri di punteggio e la lettura dei risultati.</w:t>
      </w:r>
    </w:p>
    <w:p>
      <w:pPr>
        <w:pStyle w:val="Titolo2"/>
        <w:keepNext/>
      </w:pPr>
      <w:r>
        <w:t>Relazione con la rete TEN-T e requisiti AFIR</w:t>
      </w:r>
    </w:p>
    <w:p>
      <w:pPr/>
      <w:r>
        <w:t>La relazione con la rete transeuropea dei trasporti (TEN-T) è rilevante per valutare il possibile contributo degli Hub Energetici Green alla disponibilità di rifornimento di idrogeno lungo le principali direttrici di mobilità e logistica. Tale contributo non discende però dalla sola vicinanza geografica alla rete: dipende dalle caratteristiche della stazione, dalla sua effettiva accessibilità e dalla funzione che potrà svolgere nel sistema infrastrutturale. Il quadro regolatorio è definito dal Regolamento (UE) 2023/1804 (AFIR) [27], da leggere in coerenza con la classificazione della rete TEN-T aggiornata dal Regolamento (UE) 2024/1679 [28].</w:t>
      </w:r>
    </w:p>
    <w:p>
      <w:pPr/>
      <w:r>
        <w:t>Ai sensi dell'articolo 2, punto 3, dell'AFIR, una stazione di rifornimento di idrogeno si considera situata «lungo la rete stradale TEN-T» quando si trova sulla rete stessa oppure entro 10 km di distanza percorribile su strada dall'uscita più vicina di una strada TEN-T. Secondo i chiarimenti tecnici pubblicati dai servizi della Commissione europea, tale distanza si calcola sulla sola andata dall'inizio dell'uscita TEN-T, nel punto in cui la rampa si separa dalla strada TEN-T, fino alla stazione (chiarimenti della Commissione europea sull'AFIR, quesiti 4.10–4.11 [29]): non si tratta di una distanza in linea d'aria né della somma di andata e ritorno. La successiva verifica richiederà l'identificazione dell'uscita pertinente e di un percorso stradale effettivo; non è sufficiente assimilare automaticamente qualunque connessione cartografica a un'uscita qualificata.</w:t>
      </w:r>
    </w:p>
    <w:p>
      <w:pPr/>
      <w:r>
        <w:t>Per l'idrogeno, l'articolo 6 dell'AFIR stabilisce che entro il 31 dicembre 2030 gli Stati membri assicurino, lungo la rete centrale TEN-T, stazioni di rifornimento accessibili al pubblico poste a una distanza massima di 200 km fra loro, progettate per una capacità cumulativa minima di una tonnellata di idrogeno al giorno e dotate di almeno un distributore a 700 bar. È inoltre richiesta almeno una stazione accessibile al pubblico in ciascun nodo urbano, la cui localizzazione deve essere valutata considerando in particolare le opportunità offerte dai nodi multimodali. Le stazioni devono essere progettate per servire veicoli leggeri e pesanti; il principio di continuità vale anche per i tratti transfrontalieri della rete centrale. Il Regolamento contempla deroghe soggette a condizioni specifiche, che non possono essere considerate automaticamente applicabili al territorio analizzato.</w:t>
      </w:r>
    </w:p>
    <w:p>
      <w:pPr/>
      <w:r>
        <w:t>Il limite dei 200 km esprime quindi un obiettivo di continuità del servizio fra infrastrutture qualificate lungo la rete centrale: non costituisce una distanza minima fra futuri Hub e non richiede che gli Hub siano tra loro equidistanti. La presenza in un Hub di un impianto di rifornimento di idrogeno non basta, da sola, a dimostrare il conseguimento dei target AFIR o la conformità tecnica della stazione.</w:t>
      </w:r>
    </w:p>
    <w:p>
      <w:pPr/>
      <w:r>
        <w:t>L'unità iniziale di analisi è il poligono candidato, non l'impronta di una stazione già progettata. La valutazione multicriteriale confronta 4.112 poligoni e produce un ranking regionale generale. La prossimità alla TEN-T non costituisce un ulteriore indicatore di punteggio né un requisito rigido di inclusione: la soglia di 10 km prevista per l'idrogeno non viene applicata per escludere candidati o modificarne il punteggio. Eventuali misure preliminari di prossimità riferite ai poligoni hanno valore orientativo e non certificano la conformità AFIR di un futuro impianto.</w:t>
      </w:r>
    </w:p>
    <w:p>
      <w:pPr/>
      <w:r>
        <w:t>Questa separazione dipende dalla scala dell'analisi. Un poligono può estendersi ben oltre l'area effettivamente occupata dall'Hub; in assenza di una localizzazione interna definita non sono ancora noti l'ingombro degli impianti, il punto di ingresso, i collegamenti viari realizzabili, l'uscita TEN-T utilizzabile e il percorso di rientro coerente con la direzione di marcia. Una distanza stimata dalla geometria del candidato o da un collegamento cartografico alla rete stradale non equivale quindi alla percorrenza effettiva che un mezzo leggero o pesante potrà compiere per raggiungere e lasciare il sito.</w:t>
      </w:r>
    </w:p>
    <w:p>
      <w:pPr/>
      <w:r>
        <w:t>La successiva verifica dei candidati da approfondire dovrà partire da una localizzazione plausibile dell'Hub all'interno del poligono e da un'ipotesi verificabile di accessibilità. Ai fini della definizione AFIR «lungo la TEN-T», il percorso da controllare è quello di sola andata dall'uscita TEN-T pertinente alla stazione. Distintamente, per valutarne l'accessibilità pratica e la funzionalità, potranno essere studiati anche direzioni di marcia, percorsi di rientro e continuità dei collegamenti, incluse le possibili interazioni transfrontaliere. I dati cartografici della rete costituiscono un riferimento per questi approfondimenti, non una verifica già svolta. Il metodo puntuale di calcolo e verifica dei siti dovrà essere definito prima dell'applicazione.</w:t>
      </w:r>
    </w:p>
    <w:p>
      <w:pPr/>
      <w:r>
        <w:t>Rimarranno inoltre da verificare, per gli impianti di rifornimento di idrogeno che intendano contribuire agli obiettivi AFIR, l'accessibilità pubblica, la capacità di rifornimento, la pressione di erogazione, l'idoneità al servizio di veicoli leggeri e pesanti e le ulteriori condizioni tecniche e autorizzative applicabili. Anche la relazione con i nodi urbani richiede una valutazione specifica: l'eventuale rappresentazione preliminare mediante confini comunali, come nel caso di Trieste e Udine, non sostituisce la delimitazione normativa e non impone di collocare automaticamente un Hub in ciascuno di tali Comuni. La valutazione strategica delle aree e la successiva verifica di conformità delle singole infrastrutture rimangono pertanto passaggi distinti del processo di pianificazione.</w:t>
      </w:r>
    </w:p>
    <w:p>
      <w:pPr>
        <w:pStyle w:val="Titolo2"/>
        <w:keepNext/>
      </w:pPr>
      <w:r>
        <w:t>Dati di input</w:t>
      </w:r>
    </w:p>
    <w:p>
      <w:pPr/>
      <w:r>
        <w:t>L’analisi localizzativa degli Hub Energetici Green utilizza informazioni territoriali, trasportistiche, energetiche e ambientali con funzioni differenti. Una prima famiglia di dati serve a costruire e descrivere l’universo delle aree candidate; una seconda alimenta gli otto indicatori di valutazione individuale; una terza comprende i riferimenti geografici e infrastrutturali utili alla lettura territoriale dei risultati e alle eventuali verifiche successive sui siti più promettenti. Queste famiglie non hanno lo stesso grado di osservabilità, completezza o precisione: dati ufficiali, risultati modellati e riferimenti spaziali di tipo proxy vengono pertanto mantenuti distinti.</w:t>
      </w:r>
    </w:p>
    <w:p>
      <w:pPr/>
      <w:r>
        <w:t>La base territoriale dello studio è stata ricostruita a partire dai Piani regolatori generali comunali (PRGC), dalle tavole di zonizzazione e dalle informazioni geografiche pubblicate dai Comuni e dai servizi regionali IRDAT ed Eagle.fvg [1–2]. Quando la cartografia urbanistica comunale non era sufficientemente documentata o disponibile in forma utilizzabile, sono stati impiegati anche poligoni industriali, artigianali e commerciali derivati dalla Mosaicatura PRG 2018, la cui provenienza è descritta in una relazione tecnica pubblicata per la Regione FVG [3]. Si tratta di una base geometrica storica che non sostituisce la verifica della disciplina urbanistica vigente. Da queste informazioni lo studio ha ricavato 4.112 poligoni candidati, non un inventario istituzionale di terreni disponibili. I dati ISTAT sulle unità amministrative sono stati utilizzati per armonizzare i riferimenti comunali [4].</w:t>
      </w:r>
    </w:p>
    <w:p>
      <w:pPr/>
      <w:r>
        <w:t>Per la mobilità leggera (LIGHT) sono stati utilizzati flussi giornalieri modellati sulla rete stradale derivata da OpenStreetMap [5]. La costruzione della domanda origine–destinazione, comprendente le relazioni di pendolarismo per lavoro della matrice ISTAT riferita al 2021 [6] e una componente non pendolare stimata, e la successiva assegnazione dei percorsi alla rete sono illustrate nel capitolo «Metodologia per la localizzazione delle infrastrutture di ricarica per veicoli leggeri», al quale si rimanda per la determinazione del modello e dei flussi sugli archi. Ai fini della valutazione degli Hub, il criterio LIGHT utilizza tali flussi modellati sui singoli archi, espressi in veicoli al giorno e associati alle geometrie stradali. Non si tratta di conteggi osservati sui singoli segmenti né di una misura diretta della domanda di un futuro Hub.</w:t>
      </w:r>
    </w:p>
    <w:p>
      <w:pPr/>
      <w:r>
        <w:t>Per il traffico pesante (HEAVY) il riferimento scientifico è lo studio di Speth e collaboratori, «Synthetic European road freight transport flow data» (2022), basato su ETISplus e su informazioni statistiche Eurostat [7]. Il dataset Mendeley Data pubblicato nella versione 1 nel 2021 costituisce il riferimento sorgente della raccolta Speth/ETISplus acquisita per il progetto [8]. Questi dati sono stati rielaborati per ricostruire i percorsi e stimare i flussi di traffico pesante sugli archi stradali del Friuli Venezia Giulia. Il criterio utilizza lo scenario sintetico 2030, espresso in veicoli pesanti al giorno, mentre il 2019 costituisce il riferimento storico. I valori risultano da elaborazioni modellistiche, non da conteggi locali direttamente osservati. Le misure ANAS [9] sono state utilizzate separatamente come riscontro di plausibilità, senza calibrare il traffico sintetico.</w:t>
      </w:r>
    </w:p>
    <w:p>
      <w:pPr/>
      <w:r>
        <w:t>La relazione con le infrastrutture elettriche (GRID) è stata rappresentata attraverso 92 posizioni territoriali di sottostazioni selezionate da OpenStreetMap mediante estrazione cartografica e sottoposte a controlli con dati regionali e documenti dei distributori [5, 10–13]. I 92 riferimenti sono proxy geografici del modello, non 92 cabine primarie ufficialmente censite. Le aree convenzionali delle cabine primarie pubblicate dalla Regione Autonoma Friuli Venezia Giulia sono state utilizzate a supporto della verifica e non come coordinate fisiche delle sottostazioni [10]. La prossimità geografica non fornisce informazioni sulla potenza residua disponibile, sul punto effettivo di connessione o sui costi di allacciamento.</w:t>
      </w:r>
    </w:p>
    <w:p>
      <w:pPr/>
      <w:r>
        <w:t>La prossimità alle funzioni di trasporto merci e alle attività produttive è rappresentata da due insiemi distinti: dieci riferimenti logistici (LOGISTICS) e diciassette riferimenti industriali (INDUSTRY). Le localizzazioni sono state ricostruite a partire da piani e informazioni territoriali di autorità portuali, interporti, autoporti, consorzi e gestori locali; tra gli enti consultati figurano SDAG, Carnia Industrial Park, COSEF e COSEVEG [14–17]. I riferimenti sono punti rappresentativi di funzioni territoriali selezionate, talvolta riferiti a sedi, accessi o aggregazioni di attività: non costituiscono un censimento esaustivo né perimetri ufficiali dei poli. I due insiemi alimentano indicatori distinti.</w:t>
      </w:r>
    </w:p>
    <w:p>
      <w:pPr/>
      <w:r>
        <w:t>Per il trasporto pubblico locale (TPL) sono stati impiegati nove riferimenti pertinenti ai servizi su autobus, ricostruiti a partire da documentazione e informazioni dei gestori Trieste Trasporti, APT Gorizia, Arriva Udine e ATAP [18–21], integrate da riscontri cartografici per alcune posizioni. I siti comprendono depositi e altre sedi operative bus-relevant, con precisione geografica non uniforme: alcuni punti derivano da localizzazioni secondarie o restano indicativi. Il set non costituisce il censimento completo dei depositi regionali, né una misura dei consumi energetici o della domanda di rifornimento delle flotte.</w:t>
      </w:r>
    </w:p>
    <w:p>
      <w:pPr/>
      <w:r>
        <w:t>La componente di pericolosità idraulica (PGRA) si basa sulla cartografia del Piano di Gestione del Rischio Alluvioni dell'Autorità di bacino distrettuale delle Alpi Orientali, resa disponibile tramite i servizi SIGMA [22]. L'intersezione fra gli strati cartografici utilizzati e i poligoni candidati ha permesso di calcolare, per ciascuna area, quote di superficie riferite alle classi di pericolosità. L'indicatore ha funzione comparativa e di screening territoriale: non sostituisce la consultazione della cartografia e della disciplina vigenti nelle verifiche progettuali e autorizzative dei singoli siti.</w:t>
      </w:r>
    </w:p>
    <w:p>
      <w:pPr/>
      <w:r>
        <w:t>La componente idrogeno (H₂) considera la prossimità a tre riferimenti territoriali della filiera regionale, eterogenei per funzione e maturità: il progetto Hydrogen Hub Trieste documentato da atti regionali [23], gli impianti APT EcoMove previsti a Monfalcone/Lisert per il trasporto pubblico [24] e il progetto pilota di utilizzo industriale dell'idrogeno presso ABS nell'ambito della North Adriatic Hydrogen Valley [25]. I punti utilizzati nel modello comprendono localizzazioni rappresentative o ricostruite: non equivalgono a tre distributori stradali già operativi, né dimostrano l'esatta posizione di un futuro erogatore. Questo insieme di tre riferimenti costituisce la base corrente dell'indicatore di prossimità H₂; la vicinanza non prova la disponibilità di rifornimento.</w:t>
      </w:r>
    </w:p>
    <w:p>
      <w:pPr/>
      <w:r>
        <w:t>I codici amministrativi ISTAT [4] sono stati utilizzati per armonizzare i riferimenti comunali e attribuire i candidati alle province di Gorizia, Pordenone, Trieste e Udine. Separatamente, la cartografia della rete TEN-T della Commissione europea, disponibile attraverso TENtec e aggiornata nel 2024 [26, 28], costituisce un riferimento per successive verifiche di accessibilità e conformità AFIR dei siti eventualmente approfonditi, non un ulteriore criterio di punteggio.</w:t>
      </w:r>
    </w:p>
    <w:p>
      <w:pPr/>
      <w:r>
        <w:t>Le fonti impiegate hanno ruoli differenti: gli atti urbanistici, le cartografie e i documenti dei gestori descrivono il territorio e le infrastrutture; la domanda e i flussi di traffico derivano da modelli; diversi punti di prossimità costituiscono riferimenti rappresentativi. Da queste informazioni lo studio ha prodotto indicatori normalizzati, punteggi individuali e un ranking regionale dei 4.112 candidati. La graduatoria generale esprime una preferibilità comparativa; la sua lettura provinciale agevola la presentazione territoriale, senza trasformarsi in una selezione di siti già disponibili o autorizzabili. Le fonti originali sono elencate nella bibliografia conclusiva.</w:t>
      </w:r>
    </w:p>
    <w:p>
      <w:pPr>
        <w:pStyle w:val="Titolo2"/>
        <w:keepNext/>
      </w:pPr>
      <w:r>
        <w:t>Universo delle aree candidate e requisiti di ammissibilità</w:t>
      </w:r>
    </w:p>
    <w:p>
      <w:pPr/>
      <w:r>
        <w:t>Per definire le alternative localizzative da confrontare, è stato costruito un universo di aree candidate assumendo come unità di analisi il poligono territoriale georiferito. L’ammissione a tale universo rappresenta uno screening preliminare, distinto dalla successiva valutazione multicriteriale: individua le aree che soddisfano i requisiti preliminari di inclusione stabiliti per il modello, senza attribuire loro un punteggio o certificarne l’idoneità urbanistica e progettuale definitiva.</w:t>
      </w:r>
    </w:p>
    <w:p>
      <w:pPr/>
      <w:r>
        <w:t>La ricognizione è partita dai Piani regolatori generali comunali (PRGC) e dalle informazioni geografiche rese disponibili dai Comuni e dai servizi cartografici regionali [1–2]. Sono stati privilegiati i vettori comunali ufficiali quando ne era documentata la corrispondenza con il piano o la variante; per gli altri casi è stata adottata la migliore geometria disponibile. In assenza di una base comunale utilizzabile sono stati impiegati come riferimento geometrico sostitutivo i poligoni industriali, artigianali e commerciali della Mosaicatura PRG 2018 [3], che mantengono la propria natura storica. Le alternative sono state ricondotte a categorie funzionali pertinenti alle attività produttive, commerciali, logistiche, miste e tecnico-energetiche, senza equiparare la classificazione preliminare alla destinazione urbanistica vigente.</w:t>
      </w:r>
    </w:p>
    <w:p>
      <w:pPr/>
      <w:r>
        <w:t>La ricostruzione della provenienza geometrica identifica 2.995 poligoni riconducibili alla famiglia PRGC e ai vettori comunali disponibili, 881 derivati dai layer industriali/artigianali storici e 236 da quelli commerciali storici, per un totale di 4.112. Si tratta di conteggi elaborati dallo studio, non di statistiche ufficiali regionali. I 1.117 candidati di origine storica mantengono tale provenienza geometrica anche laddove la destinazione d'uso sia stata interpretata sulla base di documenti più recenti. La disciplina urbanistica effettivamente applicabile alle singole aree dovrà essere verificata prima di un eventuale sviluppo progettuale.</w:t>
      </w:r>
    </w:p>
    <w:p>
      <w:pPr/>
      <w:r>
        <w:t>I poligoni così individuati sono stati sottoposti a controlli di validità e, ove necessario, a correzioni geometriche documentate. Le componenti territoriali disconnesse sono state trattate separatamente; le alternative effettivamente duplicate sono state ricondotte a un’identità univoca sulla base della geometria, delle fonti e della relativa tracciabilità, senza assimilare automaticamente a duplicati le semplici sovrapposizioni parziali. Sono stati inoltre eseguiti controlli rispetto al territorio regionale. Ciascun candidato è identificato in modo univoco e associato alle informazioni necessarie a ricostruirne origine, versione e condizioni di inclusione.</w:t>
      </w:r>
    </w:p>
    <w:p>
      <w:pPr/>
      <w:r>
        <w:t>Il principale requisito dimensionale è una superficie lorda geometrica non inferiore a 8.000 m², misurata sul poligono dopo gli eventuali interventi di riparazione e separazione delle componenti, in un sistema di riferimento metrico. La soglia è stata adottata come requisito dimensionale progettuale a partire da un'indicazione tecnica ricevuta dal gruppo di lavoro e non costituisce una prescrizione normativa. È un filtro preliminare di ingresso nell'analisi, non un criterio premiale dello score. Il suo rispetto non implica che la superficie sia integralmente edificabile, utilizzabile o disponibile per impianti, accessi e spazi di manovra. La pericolosità idraulica e la relazione con le infrastrutture energetiche e di trasporto non sono ulteriori esclusioni generalizzate dell'universo; sono valutate secondo le funzioni previste dal modello o nelle verifiche successive.</w:t>
      </w:r>
    </w:p>
    <w:p>
      <w:pPr/>
      <w:r>
        <w:t>L'universo consolidato comprende 4.112 poligoni, ciascuno con identificativo univoco. Sono documentati 403 candidati con almeno un'incertezza: 387 casi relativi all'aggiornamento della fonte urbanistica e 21 all'interpretazione semantica, con cinque candidati appartenenti a entrambe le categorie (387 + 21 − 5 = 403). L'incertezza non equivale a esclusione o inidoneità. Per cinque Comuni — Preone, Stregna, Rivignano Teor, Treppo Ligosullo e Valvasone Arzene — non sono stati rappresentati candidati per insufficienza di geometrie utilizzabili nelle fonti considerate; ciò non dimostra che in quei territori manchino aree potenzialmente idonee. I conteggi sono risultati derivati delle elaborazioni dello studio, non inventari o attestazioni ufficiali di terreni.</w:t>
      </w:r>
    </w:p>
    <w:p>
      <w:pPr/>
      <w:r>
        <w:t>L'ammissione nell'universo permette il confronto strategico delle alternative, ma non certifica disponibilità, conformità urbanistica, accessibilità o autorizzabilità del sito. Tali aspetti appartengono alle verifiche puntuali successive. Ai 4.112 poligoni si applicano gli otto criteri illustrati nel paragrafo 5.5; il paragrafo 5.6 espone il ranking regionale generale e la presentazione dei suoi risultati secondo le quattro province. I requisiti AFIR/TEN-T riferiti a una stazione concreta non sono impiegati come filtro di esclusione in questa fase.</w:t>
      </w:r>
    </w:p>
    <w:p>
      <w:pPr>
        <w:pStyle w:val="Titolo2"/>
        <w:keepNext/>
      </w:pPr>
      <w:r>
        <w:t>Criteri di valutazione e punteggio dei candidati</w:t>
      </w:r>
    </w:p>
    <w:p>
      <w:pPr/>
      <w:r>
        <w:t>La valutazione multicriteriale è applicata ai 4.112 poligoni dell'universo delle aree candidate descritto nel paragrafo precedente. Per ciascuna area il modello considera otto dimensioni: domanda potenziale di mobilità leggera (LIGHT), traffico pesante (HEAVY), prossimità alle infrastrutture elettriche (GRID), relazione con i poli logistici (LOGISTICS) e industriali (INDUSTRY), pericolosità idraulica (PGRA), prossimità ai riferimenti territoriali della filiera dell'idrogeno (H₂) e prossimità ai siti di trasporto pubblico locale su gomma (TPL). Queste dimensioni concorrono a esprimere una preferibilità territoriale relativa; non costituiscono, prese singolarmente o nel loro insieme, una verifica di fattibilità progettuale.</w:t>
      </w:r>
    </w:p>
    <w:p>
      <w:pPr/>
      <w:r>
        <w:t>Il calcolo segue tre passaggi. In primo luogo viene costruita, per ciascun criterio e ciascun poligono, una misura di partenza: ad esempio un flusso stradale modellato, una distanza geometrica o una quota di superficie. La misura è poi trasformata in un indicatore adimensionale z_{i,j}, compreso tra 0 e 1, orientato in modo che valori maggiori rappresentino condizioni più favorevoli secondo il criterio considerato. Infine gli otto indicatori vengono combinati attraverso i pesi definiti dal modello, ottenendo un punteggio individuale R_i per ciascuna area candidata. È importante distinguere la misura originaria dall'indicatore normalizzato e dal punteggio composito: il valore grezzo non coincide necessariamente con un dato direttamente osservato e può dipendere da modelli, scenari o proxy territoriali.</w:t>
      </w:r>
    </w:p>
    <w:p>
      <w:pPr/>
      <w:r>
        <w:t>Le distanze impiegate nei criteri di prossimità sono misurate a partire dall'effettiva geometria del poligono candidato P_i, anziché dal suo centroide. Secondo il criterio, l'elemento di confronto può essere un arco stradale oppure un punto territoriale rappresentativo. La valutazione idraulica utilizza invece le intersezioni areali del poligono con le classi di pericolosità. I calcoli spaziali sono condotti in un sistema di riferimento metrico coerente.</w:t>
      </w:r>
    </w:p>
    <w:p>
      <w:pPr>
        <w:pStyle w:val="Titolo3"/>
        <w:keepNext/>
      </w:pPr>
      <w:r>
        <w:t>5.5.1. Intercettabilità dei flussi di veicoli leggeri — LIGHT</w:t>
      </w:r>
    </w:p>
    <w:p>
      <w:pPr/>
      <w:r>
        <w:t>L'indicatore LIGHT rappresenta la potenziale capacità di un'area di intercettare i flussi della mobilità leggera che interessano la rete stradale regionale. I flussi associati agli archi derivano dall'elaborazione della domanda origine–destinazione e dall'assegnazione dei percorsi alla rete: sono pertanto flussi modellati, non conteggi rilevati direttamente su ciascun arco.</w:t>
      </w:r>
    </w:p>
    <w:p>
      <w:pPr>
        <w:keepNext/>
      </w:pPr>
      <w:r>
        <w:t>Per ogni candidato si valutano gli archi della rete LIGHT entro una distanza geometrica di 5 km dal poligono. Il contributo di un arco dipende dal suo flusso q_e^L, espresso in veicoli/giorno, e da un fattore di attenuazione lineare che diminuisce al crescere della distanza d(P_i,e). In forma compatta:</w:t>
      </w:r>
    </w:p>
    <w:p>
      <w:pPr>
        <w:pStyle w:val="HUBequation"/>
        <w:jc w:val="center"/>
      </w:pPr>
      <w:r>
        <w:rPr>
          <w:rFonts w:ascii="Cambria Math" w:hAnsi="Cambria Math"/>
          <w:sz w:val="20"/>
        </w:rPr>
        <w:t>f(d) = max{0; 1 − d/(5 km)}</w:t>
      </w:r>
    </w:p>
    <w:p>
      <w:pPr>
        <w:pStyle w:val="HUBequation"/>
        <w:jc w:val="center"/>
      </w:pPr>
      <w:r>
        <w:rPr>
          <w:rFonts w:ascii="Cambria Math" w:hAnsi="Cambria Math"/>
          <w:sz w:val="20"/>
        </w:rPr>
        <w:t>F_i^L = max_{e ∈ E_L} [q_e^L · f(d(P_i,e))]</w:t>
      </w:r>
    </w:p>
    <w:p>
      <w:pPr>
        <w:pStyle w:val="HUBequation"/>
        <w:jc w:val="center"/>
      </w:pPr>
      <w:r>
        <w:rPr>
          <w:rFonts w:ascii="Cambria Math" w:hAnsi="Cambria Math"/>
          <w:sz w:val="20"/>
        </w:rPr>
        <w:t>z_{i,LIGHT} = F_i^L / q_max^L,   q_max^L = max_{e ∈ E_L}(q_e^L)</w:t>
      </w:r>
    </w:p>
    <w:p>
      <w:pPr/>
      <w:r>
        <w:t>dove E_L è la rete degli archi LIGHT utilizzata nel calcolo e il fattore f assume valore nullo a partire da 5 km. Il contributo maggiore identifica l'arco che offre la combinazione più favorevole tra intensità modellata del traffico e prossimità al candidato. Il denominatore q_max^L è il massimo dei flussi modellati sull'intera rete LIGHT di riferimento, non il massimo dei contributi dei candidati; non viene quindi applicata un'ulteriore normalizzazione sull'insieme dei poligoni.</w:t>
      </w:r>
    </w:p>
    <w:p>
      <w:pPr>
        <w:pStyle w:val="Titolo3"/>
        <w:keepNext/>
      </w:pPr>
      <w:r>
        <w:t>5.5.2. Intercettabilità dei flussi di veicoli pesanti — HEAVY</w:t>
      </w:r>
    </w:p>
    <w:p>
      <w:pPr/>
      <w:r>
        <w:t>Il criterio HEAVY impiega la medesima logica di prossimità e attenuazione spaziale, ma è costruito sulla rete e sui flussi del trasporto pesante. La misura di riferimento deriva dalla ricostruzione, sugli archi interessati, dei flussi dei percorsi dello scenario 2030. Si tratta di uno scenario modellistico prospettico, non di una serie di conteggi osservati o di una calibrazione locale completa di tutta la rete.</w:t>
      </w:r>
    </w:p>
    <w:p>
      <w:pPr>
        <w:keepNext/>
      </w:pPr>
      <w:r>
        <w:t>Indicando con q_e^{H,2030} il flusso modellato di veicoli pesanti sull'arco e e con E_H la rete HEAVY di riferimento, il calcolo è:</w:t>
      </w:r>
    </w:p>
    <w:p>
      <w:pPr>
        <w:pStyle w:val="HUBequation"/>
        <w:jc w:val="center"/>
      </w:pPr>
      <w:r>
        <w:rPr>
          <w:rFonts w:ascii="Cambria Math" w:hAnsi="Cambria Math"/>
          <w:sz w:val="20"/>
        </w:rPr>
        <w:t>F_i^H = max_{e ∈ E_H} [q_e^{H,2030} · f(d(P_i,e))]</w:t>
      </w:r>
    </w:p>
    <w:p>
      <w:pPr>
        <w:pStyle w:val="HUBequation"/>
        <w:jc w:val="center"/>
      </w:pPr>
      <w:r>
        <w:rPr>
          <w:rFonts w:ascii="Cambria Math" w:hAnsi="Cambria Math"/>
          <w:sz w:val="20"/>
        </w:rPr>
        <w:t>z_{i,HEAVY} = F_i^H / q_max^{H,2030},   q_max^{H,2030} = max_{e ∈ E_H}(q_e^{H,2030})</w:t>
      </w:r>
    </w:p>
    <w:p>
      <w:pPr/>
      <w:r>
        <w:t>La distanza massima utile resta pari a 5 km; anche in questo caso viene conservato il contributo migliore, non la somma dei flussi degli archi vicini. Il massimo dei flussi modellati al denominatore si riferisce allo stesso scenario HEAVY 2030 utilizzato al numeratore. Lo scenario 2019 costituisce un riferimento distinto di confronto, senza sostituire il 2030 nello score qui descritto e senza implicare che un'analisi di sensibilità sia già stata completata.</w:t>
      </w:r>
    </w:p>
    <w:p>
      <w:pPr>
        <w:pStyle w:val="Titolo3"/>
        <w:keepNext/>
      </w:pPr>
      <w:r>
        <w:t>5.5.3. Prossimità alle infrastrutture elettriche — GRID</w:t>
      </w:r>
    </w:p>
    <w:p>
      <w:pPr/>
      <w:r>
        <w:t>Il criterio GRID esprime la vicinanza dei poligoni a punti rappresentativi di infrastrutture elettriche, costruiti come proxy territoriali delle cabine primarie mediante fonti cartografiche e controlli di coerenza con le informazioni disponibili sui gestori. Per ogni candidato viene individuata la distanza geometrica minima da uno di tali punti di riferimento.</w:t>
      </w:r>
    </w:p>
    <w:p>
      <w:pPr/>
      <w:r>
        <w:t>Il significato dell'indicatore è esclusivamente localizzativo. Una distanza contenuta non dimostra che presso il candidato siano disponibili potenza o capacità di rete sufficienti, né individua il punto effettivo di connessione, i costi di allacciamento o la fattibilità tecnica dell'intervento. Tali elementi richiedono approfondimenti specifici sui siti da valutare in una fase successiva. Il punteggio GRID non contiene un ulteriore premio per l'autoproduzione da fonti rinnovabili o per configurazioni di autoconsumo.</w:t>
      </w:r>
    </w:p>
    <w:p>
      <w:pPr>
        <w:pStyle w:val="Titolo3"/>
        <w:keepNext/>
      </w:pPr>
      <w:r>
        <w:t>5.5.4. Prossimità ai poli logistici — LOGISTICS</w:t>
      </w:r>
    </w:p>
    <w:p>
      <w:pPr/>
      <w:r>
        <w:t>Il criterio LOGISTICS misura la relazione dell'area candidata con il sistema dei principali nodi logistici considerati nello studio. Il riferimento operativo comprende dieci target territoriali, tra i quali è determinato quello più vicino al poligono. La misura grezza è pertanto la distanza minima tra il candidato e un target logistico, non la media delle distanze da due poli.</w:t>
      </w:r>
    </w:p>
    <w:p>
      <w:pPr/>
      <w:r>
        <w:t>Il criterio privilegia la prossimità geografica a funzioni logistiche potenzialmente rilevanti per la domanda energetica e di trasporto degli Hub. Non stima automaticamente i volumi di merci o il fabbisogno di idrogeno del singolo polo e non assegna premi per il numero o la tipologia dei nodi presenti nell'intorno. L'insieme dei dieci riferimenti è un set selezionato per il modello, non un censimento esaustivo di tutte le strutture logistiche regionali; alcune localizzazioni sono rappresentate mediante proxy spaziali.</w:t>
      </w:r>
    </w:p>
    <w:p>
      <w:pPr>
        <w:pStyle w:val="Titolo3"/>
        <w:keepNext/>
      </w:pPr>
      <w:r>
        <w:t>5.5.5. Prossimità ai poli industriali — INDUSTRY</w:t>
      </w:r>
    </w:p>
    <w:p>
      <w:pPr>
        <w:keepNext/>
      </w:pPr>
      <w:r>
        <w:t>Il criterio INDUSTRY considera separatamente la presenza di attività industriali e produttive. Il set di riferimento comprende diciassette target industriali; per ogni poligono si individuano i due più vicini e si utilizza la media delle rispettive distanze:</w:t>
      </w:r>
    </w:p>
    <w:p>
      <w:pPr>
        <w:pStyle w:val="HUBequation"/>
        <w:jc w:val="center"/>
      </w:pPr>
      <w:r>
        <w:rPr>
          <w:rFonts w:ascii="Cambria Math" w:hAnsi="Cambria Math"/>
          <w:sz w:val="20"/>
        </w:rPr>
        <w:t>D_i^{INDUSTRY} = [d_{i,(1)}^{INDUSTRY} + d_{i,(2)}^{INDUSTRY}] / 2</w:t>
      </w:r>
    </w:p>
    <w:p>
      <w:pPr/>
      <w:r>
        <w:t>Questa scelta restituisce una misura sintetica della collocazione rispetto al contesto industriale circostante, senza rendere il criterio dipendente dalla sola prossimità a uno stabilimento. Il riferimento industriale resta distinto da quello logistico: l'appartenenza di due punti alla medesima area geografica non ne rende intercambiabili le funzioni. Anche in questo caso i target sono selezionati per finalità comparative e non costituiscono il censimento completo del sistema produttivo regionale. Eventuali incertezze nella precisione o nella qualificazione di singoli riferimenti devono essere tenute presenti nell'interpretazione del risultato.</w:t>
      </w:r>
    </w:p>
    <w:p>
      <w:pPr>
        <w:pStyle w:val="Titolo3"/>
        <w:keepNext/>
      </w:pPr>
      <w:r>
        <w:t>5.5.6. Normalizzazione dei criteri di prossimità</w:t>
      </w:r>
    </w:p>
    <w:p>
      <w:pPr>
        <w:keepNext/>
      </w:pPr>
      <w:r>
        <w:t>Per GRID, LOGISTICS, INDUSTRY, H₂ e TPL la normalizzazione adottata trasforma la misura di distanza in un indicatore adimensionale crescente al diminuire della distanza. Indicando con x_{i,j} la distanza del candidato i nel criterio j (oppure, per INDUSTRY, la media D_i delle due distanze) e con I l'intero universo dei 4.112 candidati:</w:t>
      </w:r>
    </w:p>
    <w:p>
      <w:pPr>
        <w:pStyle w:val="HUBequation"/>
        <w:jc w:val="center"/>
      </w:pPr>
      <w:r>
        <w:rPr>
          <w:rFonts w:ascii="Cambria Math" w:hAnsi="Cambria Math"/>
          <w:sz w:val="20"/>
        </w:rPr>
        <w:t>x_max,j = max_{k ∈ I}(x_{k,j})</w:t>
      </w:r>
    </w:p>
    <w:p>
      <w:pPr>
        <w:pStyle w:val="HUBequation"/>
        <w:jc w:val="center"/>
      </w:pPr>
      <w:r>
        <w:rPr>
          <w:rFonts w:ascii="Cambria Math" w:hAnsi="Cambria Math"/>
          <w:sz w:val="20"/>
        </w:rPr>
        <w:t>z_{i,j} = 1 − x_{i,j}/x_max,j</w:t>
      </w:r>
    </w:p>
    <w:p>
      <w:pPr/>
      <w:r>
        <w:t>Il massimo che compare al denominatore è dunque determinato sull'intero universo regionale e specificamente per il criterio considerato. Non viene ricalcolato per ciascuna area territoriale di presentazione, né è trasferibile da un criterio a un altro. I valori di distanza e i massimi impiegano unità metriche coerenti, mentre z_{i,j} è privo di unità di misura. Questa normalizzazione non introduce soglie di ammissibilità o bonus aggiuntivi.</w:t>
      </w:r>
    </w:p>
    <w:p>
      <w:pPr>
        <w:pStyle w:val="Titolo3"/>
        <w:keepNext/>
      </w:pPr>
      <w:r>
        <w:t>5.5.7. Pericolosità idraulica — PGRA</w:t>
      </w:r>
    </w:p>
    <w:p>
      <w:pPr/>
      <w:r>
        <w:t>A differenza dei criteri di prossimità, PGRA considera la quota di superficie del poligono ricadente nelle classi di pericolosità idraulica del Piano di Gestione del Rischio di Alluvioni. A ciascuna porzione del candidato è attribuito un coefficiente di preferibilità: 1 per la superficie esterna alle classi considerate; 0,75 per P1, P1_ST e P1_SM; 0,50 per P2; 0,25 per P3A; 0 per P3B. Quanto maggiore è la pericolosità, tanto minore è il contributo della porzione interessata.</w:t>
      </w:r>
    </w:p>
    <w:p>
      <w:pPr>
        <w:keepNext/>
      </w:pPr>
      <w:r>
        <w:t>Lo score è una media ponderata in base alla superficie:</w:t>
      </w:r>
    </w:p>
    <w:p>
      <w:pPr>
        <w:pStyle w:val="HUBequation"/>
        <w:jc w:val="center"/>
      </w:pPr>
      <w:r>
        <w:rPr>
          <w:rFonts w:ascii="Cambria Math" w:hAnsi="Cambria Math"/>
          <w:sz w:val="20"/>
        </w:rPr>
        <w:t>z_{i,PGRA} = (1/A_i) · Σ_{c ∈ C} (A_{i,c} · v_c)</w:t>
      </w:r>
    </w:p>
    <w:p>
      <w:pPr/>
      <w:r>
        <w:t>dove A_i è la superficie totale del candidato, A_{i,c} è la sua superficie attribuita alla categoria c e v_c è il coefficiente assegnato a tale categoria. Nel computo la parte esterna alle classi di pericolosità riceve coefficiente 1. Quando più classi si sovrappongono, alla superficie comune viene attribuita la classe più severa, senza conteggiarla più volte. Le Zone di Attenzione (AA) e le Aree fluviali (F) restano segnalazioni informative distinte e non introducono ulteriori classi numeriche in questa formula.</w:t>
      </w:r>
    </w:p>
    <w:p>
      <w:pPr/>
      <w:r>
        <w:t>L'indicatore costituisce uno screening comparativo a scala territoriale. Non sostituisce le norme applicabili al singolo intervento, gli studi idraulici o la verifica di compatibilità e autorizzabilità di un eventuale impianto.</w:t>
      </w:r>
    </w:p>
    <w:p>
      <w:pPr>
        <w:pStyle w:val="Titolo3"/>
        <w:keepNext/>
      </w:pPr>
      <w:r>
        <w:t>5.5.8. Prossimità ai riferimenti della filiera dell'idrogeno — H₂</w:t>
      </w:r>
    </w:p>
    <w:p>
      <w:pPr/>
      <w:r>
        <w:t>L'indicatore H₂ descrive la prossimità dell'area candidata ai riferimenti territoriali della filiera dell'idrogeno utilizzati per il calcolo. Per ciascun poligono si determina la distanza geometrica minima dal punto H₂ incluso più vicino; la distanza è poi normalizzata rispetto al massimo rilevato nell'intero universo dei candidati. La base aggiornata, utilizzata sia per la misura grezza sia per la normalizzazione del criterio, comprende Trieste, Monfalcone/Lisert e ABS. L'indicatore H₂ aggiornato concorre allo score composito individuale utilizzato nel ranking regionale generale; non costituisce una selezione definitiva dei siti.</w:t>
      </w:r>
    </w:p>
    <w:p>
      <w:pPr/>
      <w:r>
        <w:t>Il criterio misura una possibile relazione territoriale con iniziative della filiera H₂ e non la distanza da una rete di stazioni necessariamente operative. I punti di riferimento possono rappresentare impianti o progetti con stati di avanzamento e precisione localizzativa differenti. Il modello non attribuisce bonus in funzione dello stato dei progetti, del numero di iniziative prossime o della presenza di siti oltreconfine. Una maggiore prossimità non dimostra capacità disponibile per il futuro Hub, apertura al pubblico o conformità ai requisiti AFIR.</w:t>
      </w:r>
    </w:p>
    <w:p>
      <w:pPr>
        <w:pStyle w:val="Titolo3"/>
        <w:keepNext/>
      </w:pPr>
      <w:r>
        <w:t>5.5.9. Prossimità al trasporto pubblico locale — TPL</w:t>
      </w:r>
    </w:p>
    <w:p>
      <w:pPr/>
      <w:r>
        <w:t>Il criterio TPL introduce la relazione con il trasporto pubblico locale su gomma, con particolare attenzione a riferimenti territoriali potenzialmente pertinenti alla futura alimentazione delle flotte. Il set utilizzato comprende nove siti qualificati per la componente autobus. Per ogni candidato si impiega la distanza geometrica minima dal riferimento più vicino e la medesima trasformazione normalizzata dei criteri di prossimità.</w:t>
      </w:r>
    </w:p>
    <w:p>
      <w:pPr/>
      <w:r>
        <w:t>Questi nove punti non rappresentano un censimento completo di tutti i depositi o impianti del trasporto pubblico regionale; per almeno una localizzazione è documentata una precisione spaziale approssimata. Il criterio non equivale quindi a una misura della domanda effettiva del singolo operatore né applica premi per dimensioni delle flotte, numero di siti vicini o caratteristiche del gestore.</w:t>
      </w:r>
    </w:p>
    <w:p>
      <w:pPr>
        <w:pStyle w:val="Titolo3"/>
        <w:keepNext/>
      </w:pPr>
      <w:r>
        <w:t>5.5.10. Pesi e punteggio individuale</w:t>
      </w:r>
    </w:p>
    <w:p>
      <w:pPr/>
      <w:r>
        <w:t>Per combinare i criteri, il modello utilizza i seguenti pesi (adimensionali):</w:t>
      </w:r>
    </w:p>
    <w:tbl>
      <w:tblPr>
        <w:tblW w:type="auto" w:w="0"/>
        <w:jc w:val="center"/>
        <w:tblLayout w:type="fixed"/>
        <w:tblLook w:firstColumn="1" w:firstRow="1" w:lastColumn="0" w:lastRow="0" w:noHBand="0" w:noVBand="1" w:val="04A0"/>
      </w:tblPr>
      <w:tblGrid>
        <w:gridCol w:w="4365"/>
        <w:gridCol w:w="1701"/>
      </w:tblGrid>
      <w:tr>
        <w:tc>
          <w:tcPr>
            <w:tcW w:type="dxa" w:w="4819"/>
            <w:vAlign w:val="center"/>
            <w:tcBorders>
              <w:bottom w:val="single" w:sz="3" w:color="DADADA"/>
            </w:tcBorders>
          </w:tcPr>
          <w:p>
            <w:pPr>
              <w:spacing w:after="0" w:before="0"/>
            </w:pPr>
            <w:r>
              <w:rPr>
                <w:b/>
                <w:sz w:val="18"/>
              </w:rPr>
              <w:t>Criterio</w:t>
            </w:r>
          </w:p>
        </w:tc>
        <w:tc>
          <w:tcPr>
            <w:tcW w:type="dxa" w:w="4819"/>
            <w:vAlign w:val="center"/>
            <w:tcBorders>
              <w:bottom w:val="single" w:sz="3" w:color="DADADA"/>
            </w:tcBorders>
          </w:tcPr>
          <w:p>
            <w:pPr>
              <w:spacing w:after="0" w:before="0"/>
            </w:pPr>
            <w:r>
              <w:rPr>
                <w:b/>
                <w:sz w:val="18"/>
              </w:rPr>
              <w:t>Peso</w:t>
            </w:r>
          </w:p>
        </w:tc>
      </w:tr>
      <w:tr>
        <w:tc>
          <w:tcPr>
            <w:tcW w:type="dxa" w:w="4365"/>
            <w:vAlign w:val="center"/>
            <w:tcBorders>
              <w:bottom w:val="single" w:sz="3" w:color="DADADA"/>
            </w:tcBorders>
          </w:tcPr>
          <w:p>
            <w:pPr>
              <w:spacing w:after="0" w:before="0"/>
            </w:pPr>
            <w:r>
              <w:rPr>
                <w:sz w:val="18"/>
              </w:rPr>
              <w:t>LIGHT</w:t>
            </w:r>
          </w:p>
        </w:tc>
        <w:tc>
          <w:tcPr>
            <w:tcW w:type="dxa" w:w="1701"/>
            <w:vAlign w:val="center"/>
            <w:tcBorders>
              <w:bottom w:val="single" w:sz="3" w:color="DADADA"/>
            </w:tcBorders>
          </w:tcPr>
          <w:p>
            <w:pPr>
              <w:spacing w:after="0" w:before="0"/>
            </w:pPr>
            <w:r>
              <w:rPr>
                <w:sz w:val="18"/>
              </w:rPr>
              <w:t>1</w:t>
            </w:r>
          </w:p>
        </w:tc>
      </w:tr>
      <w:tr>
        <w:tc>
          <w:tcPr>
            <w:tcW w:type="dxa" w:w="4365"/>
            <w:vAlign w:val="center"/>
            <w:tcBorders>
              <w:bottom w:val="single" w:sz="3" w:color="DADADA"/>
            </w:tcBorders>
          </w:tcPr>
          <w:p>
            <w:pPr>
              <w:spacing w:after="0" w:before="0"/>
            </w:pPr>
            <w:r>
              <w:rPr>
                <w:sz w:val="18"/>
              </w:rPr>
              <w:t>HEAVY</w:t>
            </w:r>
          </w:p>
        </w:tc>
        <w:tc>
          <w:tcPr>
            <w:tcW w:type="dxa" w:w="1701"/>
            <w:vAlign w:val="center"/>
            <w:tcBorders>
              <w:bottom w:val="single" w:sz="3" w:color="DADADA"/>
            </w:tcBorders>
          </w:tcPr>
          <w:p>
            <w:pPr>
              <w:spacing w:after="0" w:before="0"/>
            </w:pPr>
            <w:r>
              <w:rPr>
                <w:sz w:val="18"/>
              </w:rPr>
              <w:t>5</w:t>
            </w:r>
          </w:p>
        </w:tc>
      </w:tr>
      <w:tr>
        <w:tc>
          <w:tcPr>
            <w:tcW w:type="dxa" w:w="4365"/>
            <w:vAlign w:val="center"/>
            <w:tcBorders>
              <w:bottom w:val="single" w:sz="3" w:color="DADADA"/>
            </w:tcBorders>
          </w:tcPr>
          <w:p>
            <w:pPr>
              <w:spacing w:after="0" w:before="0"/>
            </w:pPr>
            <w:r>
              <w:rPr>
                <w:sz w:val="18"/>
              </w:rPr>
              <w:t>GRID</w:t>
            </w:r>
          </w:p>
        </w:tc>
        <w:tc>
          <w:tcPr>
            <w:tcW w:type="dxa" w:w="1701"/>
            <w:vAlign w:val="center"/>
            <w:tcBorders>
              <w:bottom w:val="single" w:sz="3" w:color="DADADA"/>
            </w:tcBorders>
          </w:tcPr>
          <w:p>
            <w:pPr>
              <w:spacing w:after="0" w:before="0"/>
            </w:pPr>
            <w:r>
              <w:rPr>
                <w:sz w:val="18"/>
              </w:rPr>
              <w:t>3</w:t>
            </w:r>
          </w:p>
        </w:tc>
      </w:tr>
      <w:tr>
        <w:tc>
          <w:tcPr>
            <w:tcW w:type="dxa" w:w="4365"/>
            <w:vAlign w:val="center"/>
            <w:tcBorders>
              <w:bottom w:val="single" w:sz="3" w:color="DADADA"/>
            </w:tcBorders>
          </w:tcPr>
          <w:p>
            <w:pPr>
              <w:spacing w:after="0" w:before="0"/>
            </w:pPr>
            <w:r>
              <w:rPr>
                <w:sz w:val="18"/>
              </w:rPr>
              <w:t>LOGISTICS</w:t>
            </w:r>
          </w:p>
        </w:tc>
        <w:tc>
          <w:tcPr>
            <w:tcW w:type="dxa" w:w="1701"/>
            <w:vAlign w:val="center"/>
            <w:tcBorders>
              <w:bottom w:val="single" w:sz="3" w:color="DADADA"/>
            </w:tcBorders>
          </w:tcPr>
          <w:p>
            <w:pPr>
              <w:spacing w:after="0" w:before="0"/>
            </w:pPr>
            <w:r>
              <w:rPr>
                <w:sz w:val="18"/>
              </w:rPr>
              <w:t>5</w:t>
            </w:r>
          </w:p>
        </w:tc>
      </w:tr>
      <w:tr>
        <w:tc>
          <w:tcPr>
            <w:tcW w:type="dxa" w:w="4365"/>
            <w:vAlign w:val="center"/>
            <w:tcBorders>
              <w:bottom w:val="single" w:sz="3" w:color="DADADA"/>
            </w:tcBorders>
          </w:tcPr>
          <w:p>
            <w:pPr>
              <w:spacing w:after="0" w:before="0"/>
            </w:pPr>
            <w:r>
              <w:rPr>
                <w:sz w:val="18"/>
              </w:rPr>
              <w:t>INDUSTRY</w:t>
            </w:r>
          </w:p>
        </w:tc>
        <w:tc>
          <w:tcPr>
            <w:tcW w:type="dxa" w:w="1701"/>
            <w:vAlign w:val="center"/>
            <w:tcBorders>
              <w:bottom w:val="single" w:sz="3" w:color="DADADA"/>
            </w:tcBorders>
          </w:tcPr>
          <w:p>
            <w:pPr>
              <w:spacing w:after="0" w:before="0"/>
            </w:pPr>
            <w:r>
              <w:rPr>
                <w:sz w:val="18"/>
              </w:rPr>
              <w:t>3</w:t>
            </w:r>
          </w:p>
        </w:tc>
      </w:tr>
      <w:tr>
        <w:tc>
          <w:tcPr>
            <w:tcW w:type="dxa" w:w="4365"/>
            <w:vAlign w:val="center"/>
            <w:tcBorders>
              <w:bottom w:val="single" w:sz="3" w:color="DADADA"/>
            </w:tcBorders>
          </w:tcPr>
          <w:p>
            <w:pPr>
              <w:spacing w:after="0" w:before="0"/>
            </w:pPr>
            <w:r>
              <w:rPr>
                <w:sz w:val="18"/>
              </w:rPr>
              <w:t>PGRA</w:t>
            </w:r>
          </w:p>
        </w:tc>
        <w:tc>
          <w:tcPr>
            <w:tcW w:type="dxa" w:w="1701"/>
            <w:vAlign w:val="center"/>
            <w:tcBorders>
              <w:bottom w:val="single" w:sz="3" w:color="DADADA"/>
            </w:tcBorders>
          </w:tcPr>
          <w:p>
            <w:pPr>
              <w:spacing w:after="0" w:before="0"/>
            </w:pPr>
            <w:r>
              <w:rPr>
                <w:sz w:val="18"/>
              </w:rPr>
              <w:t>3</w:t>
            </w:r>
          </w:p>
        </w:tc>
      </w:tr>
      <w:tr>
        <w:tc>
          <w:tcPr>
            <w:tcW w:type="dxa" w:w="4365"/>
            <w:vAlign w:val="center"/>
            <w:tcBorders>
              <w:bottom w:val="single" w:sz="3" w:color="DADADA"/>
            </w:tcBorders>
          </w:tcPr>
          <w:p>
            <w:pPr>
              <w:spacing w:after="0" w:before="0"/>
            </w:pPr>
            <w:r>
              <w:rPr>
                <w:sz w:val="18"/>
              </w:rPr>
              <w:t>H₂</w:t>
            </w:r>
          </w:p>
        </w:tc>
        <w:tc>
          <w:tcPr>
            <w:tcW w:type="dxa" w:w="1701"/>
            <w:vAlign w:val="center"/>
            <w:tcBorders>
              <w:bottom w:val="single" w:sz="3" w:color="DADADA"/>
            </w:tcBorders>
          </w:tcPr>
          <w:p>
            <w:pPr>
              <w:spacing w:after="0" w:before="0"/>
            </w:pPr>
            <w:r>
              <w:rPr>
                <w:sz w:val="18"/>
              </w:rPr>
              <w:t>5</w:t>
            </w:r>
          </w:p>
        </w:tc>
      </w:tr>
      <w:tr>
        <w:tc>
          <w:tcPr>
            <w:tcW w:type="dxa" w:w="4365"/>
            <w:vAlign w:val="center"/>
            <w:tcBorders>
              <w:bottom w:val="single" w:sz="3" w:color="DADADA"/>
            </w:tcBorders>
          </w:tcPr>
          <w:p>
            <w:pPr>
              <w:spacing w:after="0" w:before="0"/>
            </w:pPr>
            <w:r>
              <w:rPr>
                <w:sz w:val="18"/>
              </w:rPr>
              <w:t>TPL</w:t>
            </w:r>
          </w:p>
        </w:tc>
        <w:tc>
          <w:tcPr>
            <w:tcW w:type="dxa" w:w="1701"/>
            <w:vAlign w:val="center"/>
            <w:tcBorders>
              <w:bottom w:val="single" w:sz="3" w:color="DADADA"/>
            </w:tcBorders>
          </w:tcPr>
          <w:p>
            <w:pPr>
              <w:spacing w:after="0" w:before="0"/>
            </w:pPr>
            <w:r>
              <w:rPr>
                <w:sz w:val="18"/>
              </w:rPr>
              <w:t>5</w:t>
            </w:r>
          </w:p>
        </w:tc>
      </w:tr>
      <w:tr>
        <w:tc>
          <w:tcPr>
            <w:tcW w:type="dxa" w:w="4365"/>
            <w:vAlign w:val="center"/>
            <w:tcBorders>
              <w:bottom w:val="single" w:sz="3" w:color="DADADA"/>
            </w:tcBorders>
          </w:tcPr>
          <w:p>
            <w:pPr>
              <w:spacing w:after="0" w:before="0"/>
            </w:pPr>
            <w:r>
              <w:rPr>
                <w:b/>
                <w:sz w:val="18"/>
              </w:rPr>
              <w:t>Totale</w:t>
            </w:r>
          </w:p>
        </w:tc>
        <w:tc>
          <w:tcPr>
            <w:tcW w:type="dxa" w:w="1701"/>
            <w:vAlign w:val="center"/>
            <w:tcBorders>
              <w:bottom w:val="single" w:sz="3" w:color="DADADA"/>
            </w:tcBorders>
          </w:tcPr>
          <w:p>
            <w:pPr>
              <w:spacing w:after="0" w:before="0"/>
            </w:pPr>
            <w:r>
              <w:rPr>
                <w:b/>
                <w:sz w:val="18"/>
              </w:rPr>
              <w:t>30</w:t>
            </w:r>
          </w:p>
        </w:tc>
      </w:tr>
    </w:tbl>
    <w:p>
      <w:pPr>
        <w:keepNext/>
      </w:pPr>
      <w:r>
        <w:t>Lo score individuale del candidato i è la media ponderata degli otto indicatori normalizzati:</w:t>
      </w:r>
    </w:p>
    <w:p>
      <w:pPr>
        <w:pStyle w:val="HUBequation"/>
        <w:jc w:val="center"/>
      </w:pPr>
      <w:r>
        <w:rPr>
          <w:rFonts w:ascii="Cambria Math" w:hAnsi="Cambria Math"/>
          <w:sz w:val="20"/>
        </w:rPr>
        <w:t>R_i = [Σ_{j ∈ J} (w_j · z_{i,j})] / 30</w:t>
      </w:r>
    </w:p>
    <w:p>
      <w:pPr/>
      <w:r>
        <w:t>dove J è l'insieme degli otto criteri, w_j il peso del criterio j e z_{i,j} l'indicatore normalizzato del poligono i. Il risultato R_i è adimensionale e compreso tra 0 e 1. La ponderazione mette a sistema informazioni tra loro diverse, ma non trasforma i proxy in misure dirette di capacità infrastrutturale o le condizioni territoriali in attestazioni di fattibilità.</w:t>
      </w:r>
    </w:p>
    <w:p>
      <w:pPr/>
      <w:r>
        <w:t>I pesi e le regole di normalizzazione sono applicati uniformemente ai 4.112 candidati della regione. I punteggi individuali aggiornati, compresa la componente H₂ calcolata rispetto a Trieste, Monfalcone/Lisert e ABS, sono stati consolidati insieme alla graduatoria regionale generale. La lettura dei risultati per le quattro province utilizza gli stessi valori R_i, senza ricalcolo dei punteggi o introduzione di criteri aggiuntivi. Né il ranking regionale né la sua articolazione provinciale equivalgono alla selezione di una shortlist o all'approvazione progettuale dei siti.</w:t>
      </w:r>
    </w:p>
    <w:p>
      <w:pPr>
        <w:pStyle w:val="Titolo2"/>
        <w:keepNext/>
      </w:pPr>
      <w:r>
        <w:t>Ranking regionale e lettura territoriale dei risultati</w:t>
      </w:r>
    </w:p>
    <w:p>
      <w:pPr/>
      <w:r>
        <w:t>Il principale risultato dell'analisi multicriteriale è il ranking generale dei 4.112 poligoni candidati del Friuli Venezia Giulia. Ogni candidato riceve un punteggio individuale R_i, ottenuto dall'aggregazione ponderata degli otto indicatori e utilizzato per ordinarlo rispetto alle altre alternative regionali. La lettura territoriale dei risultati non modifica il punteggio né determina quante infrastrutture debbano essere realizzate; permette di interpretare la distribuzione delle alternative su base amministrativa.</w:t>
      </w:r>
    </w:p>
    <w:p>
      <w:pPr>
        <w:pStyle w:val="Paragrafo"/>
        <w:keepNext/>
      </w:pPr>
      <w:r>
        <w:t>Ranking regionale generale</w:t>
      </w:r>
    </w:p>
    <w:p>
      <w:pPr/>
      <w:r>
        <w:t>La graduatoria generale comprende tutti i 4.112 candidati, ordinati in senso decrescente per R_i. L'insieme dei punteggi è unico per tutta la regione e non sono applicati bonus o correttivi geografici. Per ogni poligono il risultato conserva identificativo, score e appartenenza territoriale, così da rendere possibile tanto il confronto regionale quanto la consultazione entro un singolo ambito amministrativo.</w:t>
      </w:r>
    </w:p>
    <w:p>
      <w:pPr/>
      <w:r>
        <w:t>La posizione in graduatoria esprime una preferibilità relativa secondo il modello, non un'idoneità assoluta o una decisione localizzativa definitiva. I candidati con punteggio uguale mantengono lo stesso intervallo di rango minimo e massimo; un eventuale ordinamento per identificativo serve soltanto alla visualizzazione dei record, senza introdurre uno spareggio scientifico.</w:t>
      </w:r>
    </w:p>
    <w:p>
      <w:pPr>
        <w:pStyle w:val="Paragrafo"/>
        <w:keepNext/>
      </w:pPr>
      <w:r>
        <w:t>Presentazione per le quattro province</w:t>
      </w:r>
    </w:p>
    <w:p>
      <w:pPr/>
      <w:r>
        <w:t>Per favorire la consultazione e la fruibilità del confronto, le alternative del ranking generale sono presentate anche attraverso quattro graduatorie provinciali: Gorizia (GO), Pordenone (PN), Trieste (TS) e Udine (UD). La ripartizione comprende 291 candidati in GO, 1.433 in PN, 186 in TS e 2.202 in UD, per un totale di 4.112. I conteggi derivano dalle attribuzioni territoriali già presenti nell'universo dei candidati; non rappresentano nuove aree né candidati aggiuntivi.</w:t>
      </w:r>
    </w:p>
    <w:p>
      <w:pPr/>
      <w:r>
        <w:t>Le graduatorie provinciali sono state ricavate come proiezioni del medesimo ranking regionale. Ogni candidato conserva il proprio punteggio R_i e la posizione nella graduatoria generale; all'interno di ciascuna provincia le alternative sono ordinate per R_i decrescente, mantenendo la stessa gestione degli ex aequo. L'identificativo del candidato serve soltanto a rendere deterministico l'ordine di visualizzazione dei record con pari punteggio. La lettura provinciale non introduce nuovi pesi, normalizzazioni o criteri scientifici di selezione e non modifica il ranking regionale.</w:t>
      </w:r>
    </w:p>
    <w:p>
      <w:pPr/>
      <w:r>
        <w:t>La suddivisione provinciale serve a presentare e confrontare le alternative in modo trasparente, non impone di individuare una localizzazione per provincia. Il candidato primo in una provincia è il migliore soltanto entro quel sottoinsieme; il suo R_i continua a essere direttamente confrontabile con i punteggi di tutti gli altri candidati della regione.</w:t>
      </w:r>
    </w:p>
    <w:p>
      <w:pPr/>
      <w:r>
        <w:t>Il ranking regionale generale e le graduatorie provinciali consentono di confrontare le alternative e individuare eventuali candidati meritevoli di approfondimento. Le rappresentazioni tabellari e cartografiche utilizzano gli stessi punteggi, distinguendo il rango regionale da quello provinciale e chiarendo il carattere comparativo delle graduatorie. Il ranking non identifica automaticamente una selezione di Hub da realizzare.</w:t>
      </w:r>
    </w:p>
    <w:p>
      <w:pPr>
        <w:pStyle w:val="Paragrafo"/>
        <w:keepNext/>
      </w:pPr>
      <w:r>
        <w:t>Verifiche successive ai risultati</w:t>
      </w:r>
    </w:p>
    <w:p>
      <w:pPr/>
      <w:r>
        <w:t>L'eventuale selezione di un gruppo ristretto di candidati sarà una decisione progettuale successiva, motivata e documentata. Non si applicano automaticamente soglie sui primi classificati né una quota fissa di localizzazioni per provincia.</w:t>
      </w:r>
    </w:p>
    <w:p>
      <w:pPr/>
      <w:r>
        <w:t>Le verifiche dei candidati eventualmente selezionati riguarderanno, fra gli altri aspetti, la posizione e l'impronta effettiva dell'Hub nel poligono, la sua accessibilità stradale e la relazione con la TEN-T e i requisiti AFIR. I criteri normativi e la distinzione tra percorso di accesso regolatorio e accessibilità operativa sono descritti nel paragrafo 5.2; il loro controllo puntuale richiederà una localizzazione progettuale concreta. In questa fase i requisiti AFIR non costituiscono né un filtro rigido dei 4.112 poligoni né un indicatore aggiuntivo.</w:t>
      </w:r>
    </w:p>
    <w:p>
      <w:pPr/>
      <w:r>
        <w:t>Restano inoltre da verificare puntualmente, per le alternative di maggiore interesse, la disponibilità delle aree, l'effettiva superficie utilizzabile, la compatibilità con la pianificazione vigente e le tutele territoriali, l'accessibilità dei mezzi, la capacità e i costi di connessione elettrica, le condizioni di approvvigionamento dell'idrogeno, la fattibilità impiantistica e il quadro autorizzativo ed economico. Il ranking individua dunque priorità comparative di analisi, non localizzazioni già approvate o impianti di cui sia stata dimostrata la realizzabilità.</w:t>
      </w:r>
    </w:p>
    <w:p>
      <w:pPr>
        <w:pStyle w:val="Titolo2"/>
        <w:keepNext/>
      </w:pPr>
      <w:r>
        <w:t>Valutazione economica</w:t>
      </w:r>
    </w:p>
    <w:p>
      <w:pPr/>
      <w:r>
        <w:t>La valutazione economica è prevista come fase successiva di approfondimento rispetto alla presente analisi territoriale, ma non è stata ancora svolta nell'ambito del lavoro qui documentato. Il modello consente di confrontare le aree candidate secondo criteri di mobilità, infrastruttura e condizioni territoriali, ma non fornisce stime di investimento né dimostra la fattibilità economico-finanziaria dei futuri impianti. Lo sviluppo della valutazione economica richiederà dati tecnici e progettuali specifici, fonti di costo attendibili e un metodo di analisi espressamente definito e verificato.</w:t>
      </w:r>
    </w:p>
    <w:p>
      <w:pPr>
        <w:pStyle w:val="HUBbibliography"/>
        <w:keepNext/>
      </w:pPr>
      <w:r>
        <w:t>Fonti citate nel Capitolo 5</w:t>
      </w:r>
    </w:p>
    <w:p>
      <w:pPr/>
      <w:r>
        <w:t>I riferimenti documentano le fonti statistiche, urbanistiche, cartografiche e infrastrutturali richiamate nel testo. I dati numerici elaborati, gli indicatori e il ranking sono risultati dello studio.</w:t>
      </w:r>
    </w:p>
    <w:p>
      <w:pPr>
        <w:pStyle w:val="HUBbibliographygroup"/>
        <w:keepNext/>
      </w:pPr>
      <w:r>
        <w:t>Urbanistica e inquadramento territoriale</w:t>
      </w:r>
    </w:p>
    <w:p>
      <w:pPr>
        <w:pStyle w:val="HUBbibliographyitem"/>
      </w:pPr>
      <w:r>
        <w:t>[1] Regione Autonoma Friuli Venezia Giulia, «IRDATfvg — Catalogo dei dati ambientali e territoriali». Portale regionale di consultazione delle informazioni territoriali. https://irdat.regione.fvg.it/consultatore-dati-ambientali-territoriali/home?language=it</w:t>
      </w:r>
    </w:p>
    <w:p>
      <w:pPr>
        <w:pStyle w:val="HUBbibliographyitem"/>
      </w:pPr>
      <w:r>
        <w:t>[2] Regione Autonoma Friuli Venezia Giulia, «Eagle.fvg», piattaforma geografica regionale. Portale cartografico per la ricognizione delle informazioni geografiche. https://eaglefvg.regione.fvg.it/eagle/</w:t>
      </w:r>
    </w:p>
    <w:p>
      <w:pPr>
        <w:pStyle w:val="HUBbibliographyitem"/>
      </w:pPr>
      <w:r>
        <w:t>[3] Protos Energy S.r.l. per la Regione Autonoma Friuli Venezia Giulia (2023), «Servizio di supporto per lo sviluppo delle comunità energetiche rinnovabili nella Regione Autonoma Friuli Venezia Giulia — Relazione tecnica / Mappatura GIS», revisione 31 agosto 2023, §§2.3.1–2.3.2. Documenta la derivazione dei layer industriali/artigianali e commerciali dalla Mosaicatura PRG 2018. https://prod-energia.regione.fvg.it/export/sites/energia/documents/CER/LINEE-GUIDA-LAYER-MAPPATURA-FVG.PDF</w:t>
      </w:r>
    </w:p>
    <w:p>
      <w:pPr>
        <w:pStyle w:val="HUBbibliographyitem"/>
      </w:pPr>
      <w:r>
        <w:t>[4] ISTAT, «Codici statistici delle unità amministrative territoriali: comuni, città metropolitane, province e regioni». Fonte per codifica e armonizzazione amministrativa. https://www.istat.it/classificazione/codici-dei-comuni-delle-province-e-delle-regioni/</w:t>
      </w:r>
    </w:p>
    <w:p>
      <w:pPr>
        <w:pStyle w:val="HUBbibliographygroup"/>
        <w:keepNext/>
      </w:pPr>
      <w:r>
        <w:t>Mobilità e trasporti</w:t>
      </w:r>
    </w:p>
    <w:p>
      <w:pPr>
        <w:pStyle w:val="HUBbibliographyitem"/>
      </w:pPr>
      <w:r>
        <w:t>[5] OpenStreetMap contributors, «OpenStreetMap», dati cartografici aperti, licenza Open Database License. Fonte delle geometrie stradali LIGHT e dei riferimenti GRID comunitari. L'estratto e le elaborazioni operative sono del progetto. https://www.openstreetmap.org/copyright/it</w:t>
      </w:r>
    </w:p>
    <w:p>
      <w:pPr>
        <w:pStyle w:val="HUBbibliographyitem"/>
      </w:pPr>
      <w:r>
        <w:t>[6] ISTAT, «Matrice di pendolarismo per lavoro», edizione del Censimento permanente della popolazione e delle abitazioni 2021 (dati al 31 dicembre 2021), pubblicata il 2 ottobre 2025. Fonte delle relazioni pendolari elaborate nel modello di domanda LIGHT; la conversione in contributi giornalieri e l'assegnazione ai percorsi sono elaborazioni dello studio. https://www.istat.it/notizia/matrice-di-pendolarismo-per-lavoro/</w:t>
      </w:r>
    </w:p>
    <w:p>
      <w:pPr>
        <w:pStyle w:val="HUBbibliographyitem"/>
      </w:pPr>
      <w:r>
        <w:t>[7] Speth, D., Sauter, V., Plötz, P. e Signer, T. (2022), «Synthetic European road freight transport flow data», Data in Brief, vol. 40, articolo 107786, DOI 10.1016/j.dib.2021.107786. Base scientifica pubblica della famiglia dati HEAVY. https://doi.org/10.1016/j.dib.2021.107786</w:t>
      </w:r>
    </w:p>
    <w:p>
      <w:pPr>
        <w:pStyle w:val="HUBbibliographyitem"/>
      </w:pPr>
      <w:r>
        <w:t>[8] Speth, D., Sauter, V., Plötz, P. e Signer, T. (2021), «Synthetic European road freight transport flow data based on ETISplus», Mendeley Data, versione 1, pubblicata il 24 settembre 2021, DOI 10.17632/py2zkrb65h.1. Dataset originale di riferimento della raccolta Speth/ETISplus utilizzata per sviluppare le elaborazioni HEAVY. https://data.mendeley.com/datasets/py2zkrb65h/1</w:t>
      </w:r>
    </w:p>
    <w:p>
      <w:pPr>
        <w:pStyle w:val="HUBbibliographyitem"/>
      </w:pPr>
      <w:r>
        <w:t>[9] ANAS S.p.A. / Ministero delle Infrastrutture e dei Trasporti, «Traffico Giornaliero Medio — Rete stradale ed autostradale ANAS» e Osservatorio del Traffico. Fonte di confronto per controlli di plausibilità del traffico stradale. https://dati.mit.gov.it/catalog/dataset/traffico-giornaliero-medio-anas</w:t>
      </w:r>
    </w:p>
    <w:p>
      <w:pPr>
        <w:pStyle w:val="HUBbibliographygroup"/>
        <w:keepNext/>
      </w:pPr>
      <w:r>
        <w:t>Rete elettrica, logistica, industria e trasporto pubblico</w:t>
      </w:r>
    </w:p>
    <w:p>
      <w:pPr>
        <w:pStyle w:val="HUBbibliographyitem"/>
      </w:pPr>
      <w:r>
        <w:t>[10] Regione Autonoma Friuli Venezia Giulia, «Aree convenzionali cabine primarie» (layer CER:AREECONVENZIONALI_CP), servizio geografico regionale. Fonte di confronto territoriale, non delle coordinate fisiche dei 92 proxy GRID. https://serviziogc.regione.fvg.it/geoserver/ows</w:t>
      </w:r>
    </w:p>
    <w:p>
      <w:pPr>
        <w:pStyle w:val="HUBbibliographyitem"/>
      </w:pPr>
      <w:r>
        <w:t>[11] e-distribuzione S.p.A. (2026), «Elenco delle sezioni AT/MT di e-distribuzione per le quali è stata riscontrata inversione del flusso di energia per almeno 1% e 5% del tempo nell'anno 2025». Fonte di riscontro, non misura della capacità disponibile sul sito candidato. https://www.e-distribuzione.it/content/dam/e-distribuzione/documenti/aree_critiche/Inversioni_di_flusso_2025.pdf</w:t>
      </w:r>
    </w:p>
    <w:p>
      <w:pPr>
        <w:pStyle w:val="HUBbibliographyitem"/>
      </w:pPr>
      <w:r>
        <w:t>[12] AcegasApsAmga, «Piano di Sviluppo delle reti elettriche 2025–2029», revisione 1. Fonte documentale di controllo dei riferimenti elettrici. https://www.acegasapsamga.it/documents/d/acegasapsamga/piano-di-sviluppo-aaa-2025-29-definitivo-pdf</w:t>
      </w:r>
    </w:p>
    <w:p>
      <w:pPr>
        <w:pStyle w:val="HUBbibliographyitem"/>
      </w:pPr>
      <w:r>
        <w:t>[13] SECAB, «Rete di distribuzione», pagina istituzionale sulla rete locale. Fonte di riscontro per l'area di Paluzza. https://www.secab.it/it/servizi/distribuzione</w:t>
      </w:r>
    </w:p>
    <w:p>
      <w:pPr>
        <w:pStyle w:val="HUBbibliographyitem"/>
      </w:pPr>
      <w:r>
        <w:t>[14] SDAG S.p.A., «L'azienda — Contatti», documento web istituzionale relativo alla struttura logistica di Gorizia. Riferimento istituzionale per identità e sede dell'operatore. https://www.sdag.it/it/lazienda/contatti/</w:t>
      </w:r>
    </w:p>
    <w:p>
      <w:pPr>
        <w:pStyle w:val="HUBbibliographyitem"/>
      </w:pPr>
      <w:r>
        <w:t>[15] Carnia Industrial Park, «Autotrasporti D'Agaro», scheda istituzionale dell'azienda insediata. Fonte istituzionale sulla presenza dell'operatore logistico nell'area di Amaro. https://www.carniaindustrialpark.it/it/aziende-insediate/Autotrasporti-Dagaro/</w:t>
      </w:r>
    </w:p>
    <w:p>
      <w:pPr>
        <w:pStyle w:val="HUBbibliographyitem"/>
      </w:pPr>
      <w:r>
        <w:t>[16] COSEF, «Zona Industriale Udinese» e documentazione istituzionale sulle zone industriali gestite. Fonte primaria per l'identificazione degli ambiti produttivi. https://www.cosef.fvg.it/it/zona-industriale-udinese/zona-industriale-udinese.html</w:t>
      </w:r>
    </w:p>
    <w:p>
      <w:pPr>
        <w:pStyle w:val="HUBbibliographyitem"/>
      </w:pPr>
      <w:r>
        <w:t>[17] Consorzio di Sviluppo Economico della Venezia Giulia (COSEVEG), sito istituzionale e documentazione relativa agli ambiti industriali e retroportuali della Venezia Giulia. Riferimento istituzionale per gli ambiti territoriali serviti. https://coseveg.it/</w:t>
      </w:r>
    </w:p>
    <w:p>
      <w:pPr>
        <w:pStyle w:val="HUBbibliographyitem"/>
      </w:pPr>
      <w:r>
        <w:t>[18] Trieste Trasporti, «Piano Triennale 2026–2028». Documento istituzionale sulle attività e sui siti operativi TPL; per alcune localizzazioni sono stati necessari ulteriori riscontri cartografici. https://www.triestetrasporti.it/sites/default/files/attachments/Piano%20Triennale%202026-2028.pdf</w:t>
      </w:r>
    </w:p>
    <w:p>
      <w:pPr>
        <w:pStyle w:val="HUBbibliographyitem"/>
      </w:pPr>
      <w:r>
        <w:t>[19] APT Gorizia, «Contatti» e documentazione sulle sedi e attività operative. Riferimento istituzionale sulle sedi e attività del gestore. https://www.aptgorizia.it/contatti/</w:t>
      </w:r>
    </w:p>
    <w:p>
      <w:pPr>
        <w:pStyle w:val="HUBbibliographyitem"/>
      </w:pPr>
      <w:r>
        <w:t>[20] Arriva Udine / ANCIS (2024), «Certificato n. 998, revisione 0 — Allegato 1», elenco delle sedi. Il documento è una certificazione relativa al sistema di gestione per la parità di genere e non misura i consumi energetici degli impianti. https://arriva.it/app/uploads/sites/8/2024/09/240417-24.CRT_.R0.pdf</w:t>
      </w:r>
    </w:p>
    <w:p>
      <w:pPr>
        <w:pStyle w:val="HUBbibliographyitem"/>
      </w:pPr>
      <w:r>
        <w:t>[21] ATAP, «Contatti», indicazioni istituzionali sulle sedi e strutture del trasporto pubblico locale. Riferimento alle sedi del gestore. https://atap.pn.it/it/contatti/</w:t>
      </w:r>
    </w:p>
    <w:p>
      <w:pPr>
        <w:pStyle w:val="HUBbibliographygroup"/>
        <w:keepNext/>
      </w:pPr>
      <w:r>
        <w:t>Rischio alluvioni, idrogeno e rete TEN-T</w:t>
      </w:r>
    </w:p>
    <w:p>
      <w:pPr>
        <w:pStyle w:val="HUBbibliographyitem"/>
      </w:pPr>
      <w:r>
        <w:t>[22] Autorità di bacino distrettuale delle Alpi Orientali (2026), «PGRA — Aggiornamento» e servizi informativi SIGMA. Documentazione e cartografia della pericolosità idraulica nel distretto. https://sigma.distrettoalpiorientali.it/portal/index.php/2026/03/02/pgra_aggiornamento-copy/</w:t>
      </w:r>
    </w:p>
    <w:p>
      <w:pPr>
        <w:pStyle w:val="HUBbibliographyitem"/>
      </w:pPr>
      <w:r>
        <w:t>[23] Regione Autonoma Friuli Venezia Giulia (2025), decreto di liquidazione/anticipazione relativo al progetto «Hydrogen Hub Trieste» di AcegasApsAmga e HestAmbiente. Fonte amministrativa sull'iniziativa, non prova di esercizio del rifornimento pubblico. https://www.regione.fvg.it/rafvg/export/sites/default/RAFVG/economia-imprese/industria/FOGLIA40/allegati/20260519_Decreto_43729_2025_Liquidazione_anticipazione_ACEGAS.pdf</w:t>
      </w:r>
    </w:p>
    <w:p>
      <w:pPr>
        <w:pStyle w:val="HUBbibliographyitem"/>
      </w:pPr>
      <w:r>
        <w:t>[24] Azienda Provinciale Trasporti Gorizia, «Gli impianti APT EcoMove». Documentazione progettuale degli impianti previsti nell'area di Monfalcone per l'idrogeno e il trasporto pubblico. Fonte progettuale sull'iniziativa H₂ di Monfalcone. https://www.aptgorizia.it/gli-impianti-apt-ecomove/</w:t>
      </w:r>
    </w:p>
    <w:p>
      <w:pPr>
        <w:pStyle w:val="HUBbibliographyitem"/>
      </w:pPr>
      <w:r>
        <w:t>[25] North Adriatic Hydrogen Valley (NAHV), «Hydrogen utilisation in special steel production and treatment — ABS Pozzuolo del Friuli». Riferimento a un progetto/testbed industriale, non a una stazione pubblica di rifornimento stradale. https://www.nahv.eu/ii-hydrogen-utilisation-in-special-steel-production-and-treatment-abs-pozzuolo-del-friuli-fvg-italy/</w:t>
      </w:r>
    </w:p>
    <w:p>
      <w:pPr>
        <w:pStyle w:val="HUBbibliographyitem"/>
      </w:pPr>
      <w:r>
        <w:t>[26] Commissione europea, DG MOVE, «TENtec Information System» e cartografia della rete TEN-T, aggiornamento al Regolamento 2024. Fonte cartografica per le verifiche territoriali successive. https://tentec.transport.ec.europa.eu/api/public/gis/TENT_Regulation_2024/MapServer</w:t>
      </w:r>
    </w:p>
    <w:p>
      <w:pPr>
        <w:pStyle w:val="HUBbibliographyitem"/>
      </w:pPr>
      <w:r>
        <w:t>[27] Parlamento europeo e Consiglio (2023), Regolamento (UE) 2023/1804 sulla realizzazione di un'infrastruttura per i combustibili alternativi (AFIR). Testo normativo. https://eur-lex.europa.eu/eli/reg/2023/1804</w:t>
      </w:r>
    </w:p>
    <w:p>
      <w:pPr>
        <w:pStyle w:val="HUBbibliographyitem"/>
      </w:pPr>
      <w:r>
        <w:t>[28] Parlamento europeo e Consiglio (2024), Regolamento (UE) 2024/1679 sugli orientamenti dell'Unione per lo sviluppo della rete transeuropea dei trasporti (TEN-T). Testo normativo. https://eur-lex.europa.eu/eli/reg/2024/1679</w:t>
      </w:r>
    </w:p>
    <w:p>
      <w:pPr>
        <w:pStyle w:val="HUBbibliographyitem"/>
      </w:pPr>
      <w:r>
        <w:t>[29] Commissione europea, Direzione generale della Mobilità e dei trasporti, «Questions and answers on Regulation (EU) 2023/1804», quesiti 4.9–4.11 sulla definizione «along the TEN-T» e il calcolo delle distanze stradali di sola andata. Chiarimento istituzionale, distinto dal testo legislativo. https://transport.ec.europa.eu/transport-themes/clean-transport/alternative-fuels-sustainable-mobility-europe/alternative-fuels-infrastructure/questions-and-answers-regulation-deployment-alternative-fuels-infrastructure-eu-20231804_en</w:t>
      </w:r>
    </w:p>
    <w:p w14:paraId="2151F4F7" w14:textId="6B3B2B46" w:rsidR="0042585D" w:rsidRDefault="00EF3AD0" w:rsidP="00472BDE">
      <w:pPr>
        <w:pStyle w:val="Titolo1"/>
      </w:pPr>
      <w:bookmarkStart w:id="32" w:name="_Toc241161229"/>
      <w:r>
        <w:t>Risultati e conclusioni</w:t>
      </w:r>
      <w:bookmarkEnd w:id="32"/>
    </w:p>
    <w:p w14:paraId="2FAC522C" w14:textId="01AB4A23" w:rsidR="004C1D32" w:rsidRPr="004C1D32" w:rsidRDefault="004C1D32" w:rsidP="00324810">
      <w:pPr>
        <w:pStyle w:val="Titolo2"/>
      </w:pPr>
      <w:bookmarkStart w:id="33" w:name="_Toc241161230"/>
      <w:r w:rsidRPr="004C1D32">
        <w:t>Risultati della localizzazione delle infrastrutture di ricarica</w:t>
      </w:r>
      <w:bookmarkEnd w:id="33"/>
    </w:p>
    <w:p w14:paraId="591A5D89" w14:textId="77777777" w:rsidR="004C1D32" w:rsidRDefault="004C1D32" w:rsidP="00EF3AD0">
      <w:pPr>
        <w:widowControl/>
        <w:spacing w:before="0" w:after="160" w:line="278" w:lineRule="auto"/>
        <w:jc w:val="left"/>
      </w:pPr>
      <w:r w:rsidRPr="004C1D32">
        <w:t>Per le infrastrutture di ricarica destinate ai veicoli leggeri sono disponibili una base modellistica della domanda e dei flussi sulla rete e un dimensionamento regionale di riferimento al 2030, pari a 611 nuove infrastrutture da 150 kW ciascuna, per una potenza complessiva di 91,65 MW. La definizione delle localizzazioni è ancora in corso: il presente documento non riporta pertanto siti definitivamente individuati, una cartografia conclusiva delle installazioni o priorità territoriali di intervento. I risultati localizzativi saranno integrati a conclusione delle verifiche necessarie.</w:t>
      </w:r>
    </w:p>
    <w:p w14:paraId="03AC64B3" w14:textId="77777777" w:rsidR="004C1D32" w:rsidRDefault="004C1D32" w:rsidP="00324810">
      <w:pPr>
        <w:pStyle w:val="Titolo2"/>
      </w:pPr>
      <w:bookmarkStart w:id="34" w:name="_Toc241161231"/>
      <w:r w:rsidRPr="004C1D32">
        <w:t>Risultati della localizzazione degli Hub Energetici Green</w:t>
      </w:r>
      <w:bookmarkEnd w:id="34"/>
    </w:p>
    <w:p w14:paraId="3A6FC856" w14:textId="3607D3D9" w:rsidR="004C1D32" w:rsidRPr="004C1D32" w:rsidRDefault="004C1D32" w:rsidP="004C1D32">
      <w:r w:rsidRPr="004C1D32">
        <w:t xml:space="preserve">L’analisi multicriteriale degli Hub Energetici Green ha prodotto una graduatoria regionale delle 4.112 aree candidate, ordinate secondo il punteggio individuale R_i. Per facilitare la consultazione, il medesimo ranking è presentato anche attraverso quattro viste provinciali: Gorizia (291 candidati), Pordenone (1.433), Trieste (186) e Udine (2.202). Le viste provinciali conservano gli stessi punteggi del ranking generale, senza introdurre nuove preferenze territoriali. Il risultato consente di confrontare le alternative, senza individuare siti definitivi né dimostrarne la realizzabilità; restano necessarie successive verifiche di accessibilità, conformità AFIR e fattibilità tecnico-economica.</w:t>
      </w:r>
      <w:r w:rsidRPr="004C1D32">
        <w:rPr>
          <w:b/>
          <w:bCs/>
        </w:rPr>
        <w:t/>
      </w:r>
      <w:r w:rsidRPr="004C1D32">
        <w:t xml:space="preserve"/>
      </w:r>
      <w:r w:rsidRPr="004C1D32">
        <w:lastRenderedPageBreak/>
        <w:t/>
      </w:r>
    </w:p>
    <w:p w14:paraId="7954B389" w14:textId="77777777" w:rsidR="004C1D32" w:rsidRDefault="004C1D32" w:rsidP="00324810">
      <w:pPr>
        <w:pStyle w:val="Titolo2"/>
      </w:pPr>
      <w:bookmarkStart w:id="35" w:name="_Toc241161232"/>
      <w:r w:rsidRPr="004C1D32">
        <w:t>Quadro complessivo delle localizzazioni e priorità di intervento</w:t>
      </w:r>
      <w:bookmarkEnd w:id="35"/>
    </w:p>
    <w:p w14:paraId="4B9D633B" w14:textId="7B269D98" w:rsidR="004C1D32" w:rsidRDefault="004C1D32" w:rsidP="004C1D32">
      <w:r w:rsidRPr="004C1D32">
        <w:t>Lettura coordinata degli elementi documentati dei due filoni, evidenziandone lo stato e i limiti, e distinguendo le indicazioni relative alle infrastrutture di ricarica dalla graduatoria comparativa delle aree candidate a Hub Energetici Green. L’eventuale definizione di interventi e priorità attuative richiederà decisioni progettuali e approfondimenti ulteriori rispetto al ranking territoriale.</w:t>
      </w:r>
    </w:p>
    <w:p w14:paraId="0EAEAB0B" w14:textId="2FB3ABC9" w:rsidR="004C1D32" w:rsidRPr="004C1D32" w:rsidRDefault="004C1D32" w:rsidP="00324810">
      <w:pPr>
        <w:pStyle w:val="Titolo2"/>
      </w:pPr>
      <w:bookmarkStart w:id="36" w:name="_Toc241161233"/>
      <w:r>
        <w:t>Conclusioni e sviluppi successivi</w:t>
      </w:r>
      <w:bookmarkEnd w:id="36"/>
    </w:p>
    <w:p w14:paraId="0F919162" w14:textId="09ED5139" w:rsidR="004C1D32" w:rsidRDefault="004C1D32" w:rsidP="004C1D32">
      <w:r>
        <w:t>I risultati dello studio forniscono elementi di supporto alle successive scelte strategiche per lo sviluppo delle infrastrutture di mobilità sostenibile, distinguendo la mobilità elettrica, le alternative territoriali per gli Hub Energetici Green e le prospettive di integrazione energetica e utilizzo dell’idrogeno.</w:t>
      </w:r>
    </w:p>
    <w:p w14:paraId="5447D74B" w14:textId="78B0E47A" w:rsidR="004C1D32" w:rsidRDefault="004C1D32" w:rsidP="004C1D32">
      <w:pPr>
        <w:spacing w:before="0" w:after="0" w:line="230" w:lineRule="auto"/>
      </w:pPr>
      <w:r>
        <w:rPr>
          <w:sz w:val="19"/>
        </w:rPr>
        <w:t>Individuazione degli approfondimenti necessari per passare dalla scala territoriale dello studio alle successive fasi di progettazione e verifica delle singole localizzazioni. Questo è molto coerente con la proposta, che definisce gli elaborati dello studio come base per le successive attività di progettazione, eventuali PFTE, studi di fattibilità tecnico-economica e per una futura roadmap regionale.</w:t>
      </w:r>
    </w:p>
    <w:p w14:paraId="2C258762" w14:textId="5AD8E203" w:rsidR="009A0611" w:rsidRPr="004C1D32" w:rsidRDefault="006F439E" w:rsidP="004C1D32">
      <w:pPr>
        <w:rPr>
          <w:rFonts w:eastAsiaTheme="majorEastAsia"/>
          <w:color w:val="153D63" w:themeColor="text2" w:themeTint="E6"/>
          <w:sz w:val="24"/>
          <w:szCs w:val="24"/>
        </w:rPr>
      </w:pPr>
      <w:r/>
    </w:p>
    <w:bookmarkStart w:id="37" w:name="_Toc241161234" w:displacedByCustomXml="next"/>
    <w:sdt>
      <w:sdtPr>
        <w:rPr>
          <w:rFonts w:eastAsia="Times New Roman" w:cs="Open Sans"/>
          <w:b w:val="0"/>
          <w:color w:val="auto"/>
          <w:sz w:val="20"/>
          <w:szCs w:val="20"/>
        </w:rPr>
        <w:id w:val="-1367294205"/>
        <w:docPartObj>
          <w:docPartGallery w:val="Bibliographies"/>
          <w:docPartUnique/>
        </w:docPartObj>
      </w:sdtPr>
      <w:sdtContent>
        <w:p w14:paraId="500A2F14" w14:textId="1525E3DE" w:rsidR="00B8462C" w:rsidRDefault="00805B25">
          <w:pPr>
            <w:pStyle w:val="Titolo1"/>
          </w:pPr>
          <w:r>
            <w:t>Riferimenti</w:t>
          </w:r>
          <w:bookmarkEnd w:id="37"/>
        </w:p>
        <w:sdt>
          <w:sdtPr>
            <w:id w:val="111145805"/>
            <w:bibliography/>
          </w:sdtPr>
          <w:sdtContent>
            <w:p w14:paraId="0833B209" w14:textId="77777777" w:rsidR="008D7904" w:rsidRDefault="00B8462C" w:rsidP="00B8462C">
              <w:pPr>
                <w:rPr>
                  <w:rFonts w:asciiTheme="minorHAnsi" w:eastAsiaTheme="minorHAnsi" w:hAnsiTheme="minorHAnsi" w:cstheme="minorBidi"/>
                  <w:iCs w:val="0"/>
                  <w:noProof/>
                  <w:kern w:val="2"/>
                  <w:sz w:val="24"/>
                  <w:szCs w:val="24"/>
                  <w:lang w:eastAsia="en-US"/>
                  <w14:ligatures w14:val="standardContextual"/>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1"/>
                <w:gridCol w:w="9237"/>
              </w:tblGrid>
              <w:tr w:rsidR="008D7904" w:rsidRPr="00F44060" w14:paraId="37BD9462" w14:textId="77777777">
                <w:trPr>
                  <w:divId w:val="617839469"/>
                  <w:tblCellSpacing w:w="15" w:type="dxa"/>
                </w:trPr>
                <w:tc>
                  <w:tcPr>
                    <w:tcW w:w="50" w:type="pct"/>
                    <w:hideMark/>
                  </w:tcPr>
                  <w:p w14:paraId="23C3C70D" w14:textId="39082301" w:rsidR="008D7904" w:rsidRDefault="008D7904">
                    <w:pPr>
                      <w:pStyle w:val="Bibliografia"/>
                      <w:rPr>
                        <w:noProof/>
                        <w:sz w:val="24"/>
                        <w:szCs w:val="24"/>
                      </w:rPr>
                    </w:pPr>
                    <w:r>
                      <w:rPr>
                        <w:noProof/>
                      </w:rPr>
                      <w:t xml:space="preserve">[1] </w:t>
                    </w:r>
                  </w:p>
                </w:tc>
                <w:tc>
                  <w:tcPr>
                    <w:tcW w:w="0" w:type="auto"/>
                    <w:hideMark/>
                  </w:tcPr>
                  <w:p w14:paraId="28B80C53" w14:textId="77777777" w:rsidR="008D7904" w:rsidRPr="00F44060" w:rsidRDefault="008D7904">
                    <w:pPr>
                      <w:pStyle w:val="Bibliografia"/>
                      <w:rPr>
                        <w:noProof/>
                        <w:lang w:val="es-ES"/>
                      </w:rPr>
                    </w:pPr>
                    <w:r>
                      <w:rPr>
                        <w:noProof/>
                      </w:rPr>
                      <w:t xml:space="preserve">Regione Autonoma Friuli Venezia Giulia, «La piattaforma logistica del Friuli Venezia Giulia,» 2026. </w:t>
                    </w:r>
                    <w:r w:rsidRPr="00F44060">
                      <w:rPr>
                        <w:noProof/>
                        <w:lang w:val="es-ES"/>
                      </w:rPr>
                      <w:t>[Online]. Available: https://www.regione.fvg.it/rafvg/cms/RAFVG/infrastrutture-lavori-pubblici/infrastrutture-logistica-trasporti/FOGLIA50/articolo.html.</w:t>
                    </w:r>
                  </w:p>
                </w:tc>
              </w:tr>
              <w:tr w:rsidR="008D7904" w:rsidRPr="00F44060" w14:paraId="47DC4A10" w14:textId="77777777">
                <w:trPr>
                  <w:divId w:val="617839469"/>
                  <w:tblCellSpacing w:w="15" w:type="dxa"/>
                </w:trPr>
                <w:tc>
                  <w:tcPr>
                    <w:tcW w:w="50" w:type="pct"/>
                    <w:hideMark/>
                  </w:tcPr>
                  <w:p w14:paraId="7EF25155" w14:textId="77777777" w:rsidR="008D7904" w:rsidRDefault="008D7904">
                    <w:pPr>
                      <w:pStyle w:val="Bibliografia"/>
                      <w:rPr>
                        <w:noProof/>
                      </w:rPr>
                    </w:pPr>
                    <w:r>
                      <w:rPr>
                        <w:noProof/>
                      </w:rPr>
                      <w:t xml:space="preserve">[2] </w:t>
                    </w:r>
                  </w:p>
                </w:tc>
                <w:tc>
                  <w:tcPr>
                    <w:tcW w:w="0" w:type="auto"/>
                    <w:hideMark/>
                  </w:tcPr>
                  <w:p w14:paraId="31273300" w14:textId="77777777" w:rsidR="008D7904" w:rsidRPr="00F44060" w:rsidRDefault="008D7904">
                    <w:pPr>
                      <w:pStyle w:val="Bibliografia"/>
                      <w:rPr>
                        <w:noProof/>
                        <w:lang w:val="es-ES"/>
                      </w:rPr>
                    </w:pPr>
                    <w:r>
                      <w:rPr>
                        <w:noProof/>
                      </w:rPr>
                      <w:t xml:space="preserve">Regiona Autonoma Friuli Venezia Giulia, «La rete stradale,» 2025. </w:t>
                    </w:r>
                    <w:r w:rsidRPr="00F44060">
                      <w:rPr>
                        <w:noProof/>
                        <w:lang w:val="es-ES"/>
                      </w:rPr>
                      <w:t>[Online]. Available: https://www.regione.fvg.it/rafvg/cms/RAFVG/infrastrutture-lavori-pubblici/infrastrutture-logistica-trasporti/FOGLIA1/.</w:t>
                    </w:r>
                  </w:p>
                </w:tc>
              </w:tr>
              <w:tr w:rsidR="008D7904" w:rsidRPr="00F44060" w14:paraId="63B8DA28" w14:textId="77777777">
                <w:trPr>
                  <w:divId w:val="617839469"/>
                  <w:tblCellSpacing w:w="15" w:type="dxa"/>
                </w:trPr>
                <w:tc>
                  <w:tcPr>
                    <w:tcW w:w="50" w:type="pct"/>
                    <w:hideMark/>
                  </w:tcPr>
                  <w:p w14:paraId="69121117" w14:textId="77777777" w:rsidR="008D7904" w:rsidRDefault="008D7904">
                    <w:pPr>
                      <w:pStyle w:val="Bibliografia"/>
                      <w:rPr>
                        <w:noProof/>
                      </w:rPr>
                    </w:pPr>
                    <w:r>
                      <w:rPr>
                        <w:noProof/>
                      </w:rPr>
                      <w:t xml:space="preserve">[3] </w:t>
                    </w:r>
                  </w:p>
                </w:tc>
                <w:tc>
                  <w:tcPr>
                    <w:tcW w:w="0" w:type="auto"/>
                    <w:hideMark/>
                  </w:tcPr>
                  <w:p w14:paraId="752691EB" w14:textId="77777777" w:rsidR="008D7904" w:rsidRPr="00F44060" w:rsidRDefault="008D7904">
                    <w:pPr>
                      <w:pStyle w:val="Bibliografia"/>
                      <w:rPr>
                        <w:noProof/>
                        <w:lang w:val="es-ES"/>
                      </w:rPr>
                    </w:pPr>
                    <w:r>
                      <w:rPr>
                        <w:noProof/>
                      </w:rPr>
                      <w:t xml:space="preserve">Autorità di Sistema Portuale del Mare Adriatico Orientale - dati 2025, «Dati annuali 2025 del sistema portuale dell'Adriatico Orientale: oltre 64 milioni di tonnellate movimentate,» 2025. </w:t>
                    </w:r>
                    <w:r w:rsidRPr="00F44060">
                      <w:rPr>
                        <w:noProof/>
                        <w:lang w:val="es-ES"/>
                      </w:rPr>
                      <w:t>[Online]. Available: https://www.adspmao.it/it/notiziecomunicati/dati-annuali-2025-del-sistema-portuale-delladriatico-orientale-oltre-64-milioni-di-tonnellate-movimentate.</w:t>
                    </w:r>
                  </w:p>
                </w:tc>
              </w:tr>
              <w:tr w:rsidR="008D7904" w:rsidRPr="00F44060" w14:paraId="3A15FE4A" w14:textId="77777777">
                <w:trPr>
                  <w:divId w:val="617839469"/>
                  <w:tblCellSpacing w:w="15" w:type="dxa"/>
                </w:trPr>
                <w:tc>
                  <w:tcPr>
                    <w:tcW w:w="50" w:type="pct"/>
                    <w:hideMark/>
                  </w:tcPr>
                  <w:p w14:paraId="45961F0D" w14:textId="77777777" w:rsidR="008D7904" w:rsidRDefault="008D7904">
                    <w:pPr>
                      <w:pStyle w:val="Bibliografia"/>
                      <w:rPr>
                        <w:noProof/>
                      </w:rPr>
                    </w:pPr>
                    <w:r>
                      <w:rPr>
                        <w:noProof/>
                      </w:rPr>
                      <w:t xml:space="preserve">[4] </w:t>
                    </w:r>
                  </w:p>
                </w:tc>
                <w:tc>
                  <w:tcPr>
                    <w:tcW w:w="0" w:type="auto"/>
                    <w:hideMark/>
                  </w:tcPr>
                  <w:p w14:paraId="2B320C7E" w14:textId="77777777" w:rsidR="008D7904" w:rsidRPr="00F44060" w:rsidRDefault="008D7904">
                    <w:pPr>
                      <w:pStyle w:val="Bibliografia"/>
                      <w:rPr>
                        <w:noProof/>
                        <w:lang w:val="es-ES"/>
                      </w:rPr>
                    </w:pPr>
                    <w:r>
                      <w:rPr>
                        <w:noProof/>
                      </w:rPr>
                      <w:t xml:space="preserve">SISTAN - Sistema Statistico Nazionale, «Il parco veicolare in Friuli-Venezia Giulia,» 2025. </w:t>
                    </w:r>
                    <w:r w:rsidRPr="00F44060">
                      <w:rPr>
                        <w:noProof/>
                        <w:lang w:val="es-ES"/>
                      </w:rPr>
                      <w:t>[Online]. Available: https://www.sistan.it/news/notizia/il-parco-veicolare-friuli-venezia-giulia.</w:t>
                    </w:r>
                  </w:p>
                </w:tc>
              </w:tr>
              <w:tr w:rsidR="008D7904" w14:paraId="32B37535" w14:textId="77777777">
                <w:trPr>
                  <w:divId w:val="617839469"/>
                  <w:tblCellSpacing w:w="15" w:type="dxa"/>
                </w:trPr>
                <w:tc>
                  <w:tcPr>
                    <w:tcW w:w="50" w:type="pct"/>
                    <w:hideMark/>
                  </w:tcPr>
                  <w:p w14:paraId="78C91F6A" w14:textId="77777777" w:rsidR="008D7904" w:rsidRDefault="008D7904">
                    <w:pPr>
                      <w:pStyle w:val="Bibliografia"/>
                      <w:rPr>
                        <w:noProof/>
                      </w:rPr>
                    </w:pPr>
                    <w:r>
                      <w:rPr>
                        <w:noProof/>
                      </w:rPr>
                      <w:t xml:space="preserve">[5] </w:t>
                    </w:r>
                  </w:p>
                </w:tc>
                <w:tc>
                  <w:tcPr>
                    <w:tcW w:w="0" w:type="auto"/>
                    <w:hideMark/>
                  </w:tcPr>
                  <w:p w14:paraId="56C73119" w14:textId="77777777" w:rsidR="008D7904" w:rsidRDefault="008D7904">
                    <w:pPr>
                      <w:pStyle w:val="Bibliografia"/>
                      <w:rPr>
                        <w:noProof/>
                      </w:rPr>
                    </w:pPr>
                    <w:r>
                      <w:rPr>
                        <w:noProof/>
                      </w:rPr>
                      <w:t>Ministero delle infrastrutture e dei trasporti, «Stazioni rifornimento idrogeno: pubblicata la graduatoria,» 2023. [Online]. Available: https://www.mit.gov.it/node/18424.</w:t>
                    </w:r>
                  </w:p>
                </w:tc>
              </w:tr>
              <w:tr w:rsidR="008D7904" w:rsidRPr="00F44060" w14:paraId="2DA28293" w14:textId="77777777">
                <w:trPr>
                  <w:divId w:val="617839469"/>
                  <w:tblCellSpacing w:w="15" w:type="dxa"/>
                </w:trPr>
                <w:tc>
                  <w:tcPr>
                    <w:tcW w:w="50" w:type="pct"/>
                    <w:hideMark/>
                  </w:tcPr>
                  <w:p w14:paraId="29A44607" w14:textId="77777777" w:rsidR="008D7904" w:rsidRDefault="008D7904">
                    <w:pPr>
                      <w:pStyle w:val="Bibliografia"/>
                      <w:rPr>
                        <w:noProof/>
                      </w:rPr>
                    </w:pPr>
                    <w:r>
                      <w:rPr>
                        <w:noProof/>
                      </w:rPr>
                      <w:t xml:space="preserve">[6] </w:t>
                    </w:r>
                  </w:p>
                </w:tc>
                <w:tc>
                  <w:tcPr>
                    <w:tcW w:w="0" w:type="auto"/>
                    <w:hideMark/>
                  </w:tcPr>
                  <w:p w14:paraId="1E1F30DE" w14:textId="77777777" w:rsidR="008D7904" w:rsidRPr="00F44060" w:rsidRDefault="008D7904">
                    <w:pPr>
                      <w:pStyle w:val="Bibliografia"/>
                      <w:rPr>
                        <w:noProof/>
                        <w:lang w:val="es-ES"/>
                      </w:rPr>
                    </w:pPr>
                    <w:r>
                      <w:rPr>
                        <w:noProof/>
                      </w:rPr>
                      <w:t xml:space="preserve">Regione Autonoma Friuli Venezia Giulia, «Acquisto di autobus elettrici per i servizi TPL urbani anche transfrontalieri e dotazione/realizzazione di eventuali sistemi di ricarica,» 2025. </w:t>
                    </w:r>
                    <w:r w:rsidRPr="00F44060">
                      <w:rPr>
                        <w:noProof/>
                        <w:lang w:val="es-ES"/>
                      </w:rPr>
                      <w:t>[Online]. Available: https://www.regione.fvg.it/rafvg/cms/RAFVG/infrastrutture-lavori-pubblici/infrastrutture-logistica-trasporti/FOGLIA47/.</w:t>
                    </w:r>
                  </w:p>
                </w:tc>
              </w:tr>
              <w:tr w:rsidR="008D7904" w14:paraId="7A4CDBCC" w14:textId="77777777">
                <w:trPr>
                  <w:divId w:val="617839469"/>
                  <w:tblCellSpacing w:w="15" w:type="dxa"/>
                </w:trPr>
                <w:tc>
                  <w:tcPr>
                    <w:tcW w:w="50" w:type="pct"/>
                    <w:hideMark/>
                  </w:tcPr>
                  <w:p w14:paraId="4E7817A5" w14:textId="77777777" w:rsidR="008D7904" w:rsidRDefault="008D7904">
                    <w:pPr>
                      <w:pStyle w:val="Bibliografia"/>
                      <w:rPr>
                        <w:noProof/>
                      </w:rPr>
                    </w:pPr>
                    <w:r>
                      <w:rPr>
                        <w:noProof/>
                      </w:rPr>
                      <w:t xml:space="preserve">[7] </w:t>
                    </w:r>
                  </w:p>
                </w:tc>
                <w:tc>
                  <w:tcPr>
                    <w:tcW w:w="0" w:type="auto"/>
                    <w:hideMark/>
                  </w:tcPr>
                  <w:p w14:paraId="702FF166" w14:textId="77777777" w:rsidR="008D7904" w:rsidRDefault="008D7904">
                    <w:pPr>
                      <w:pStyle w:val="Bibliografia"/>
                      <w:rPr>
                        <w:noProof/>
                      </w:rPr>
                    </w:pPr>
                    <w:r>
                      <w:rPr>
                        <w:noProof/>
                      </w:rPr>
                      <w:t xml:space="preserve">MINISTERO DELL'AMBIENTE E DELLA SICUREZZA ENERGETICA, </w:t>
                    </w:r>
                    <w:r>
                      <w:rPr>
                        <w:i/>
                        <w:iCs w:val="0"/>
                        <w:noProof/>
                      </w:rPr>
                      <w:t xml:space="preserve">DECRETO 16 marzo 2023 Modalita' per il funzionamento della Piattaforma unica nazionale dei punti di ricarica per i veicoli a energia elettrica - PUN. (23A02948) (GU Serie Generale n.118 del 22-05-2023), </w:t>
                    </w:r>
                    <w:r>
                      <w:rPr>
                        <w:noProof/>
                      </w:rPr>
                      <w:t xml:space="preserve">2023. </w:t>
                    </w:r>
                  </w:p>
                </w:tc>
              </w:tr>
              <w:tr w:rsidR="008D7904" w14:paraId="53CF73BB" w14:textId="77777777">
                <w:trPr>
                  <w:divId w:val="617839469"/>
                  <w:tblCellSpacing w:w="15" w:type="dxa"/>
                </w:trPr>
                <w:tc>
                  <w:tcPr>
                    <w:tcW w:w="50" w:type="pct"/>
                    <w:hideMark/>
                  </w:tcPr>
                  <w:p w14:paraId="71992A27" w14:textId="77777777" w:rsidR="008D7904" w:rsidRDefault="008D7904">
                    <w:pPr>
                      <w:pStyle w:val="Bibliografia"/>
                      <w:rPr>
                        <w:noProof/>
                      </w:rPr>
                    </w:pPr>
                    <w:r>
                      <w:rPr>
                        <w:noProof/>
                      </w:rPr>
                      <w:t xml:space="preserve">[8] </w:t>
                    </w:r>
                  </w:p>
                </w:tc>
                <w:tc>
                  <w:tcPr>
                    <w:tcW w:w="0" w:type="auto"/>
                    <w:hideMark/>
                  </w:tcPr>
                  <w:p w14:paraId="1BF2FC8D" w14:textId="77777777" w:rsidR="008D7904" w:rsidRDefault="008D7904">
                    <w:pPr>
                      <w:pStyle w:val="Bibliografia"/>
                      <w:rPr>
                        <w:noProof/>
                      </w:rPr>
                    </w:pPr>
                    <w:r>
                      <w:rPr>
                        <w:noProof/>
                      </w:rPr>
                      <w:t>European Commission - Trasnport and Tourism, «Transport and the Green Deal,» 2021. [Online]. Available: https://commission.europa.eu/topics/transport-and-tourism/transport-and-green-deal_en.</w:t>
                    </w:r>
                  </w:p>
                </w:tc>
              </w:tr>
              <w:tr w:rsidR="008D7904" w14:paraId="5A068A99" w14:textId="77777777">
                <w:trPr>
                  <w:divId w:val="617839469"/>
                  <w:tblCellSpacing w:w="15" w:type="dxa"/>
                </w:trPr>
                <w:tc>
                  <w:tcPr>
                    <w:tcW w:w="50" w:type="pct"/>
                    <w:hideMark/>
                  </w:tcPr>
                  <w:p w14:paraId="5897A3D9" w14:textId="77777777" w:rsidR="008D7904" w:rsidRDefault="008D7904">
                    <w:pPr>
                      <w:pStyle w:val="Bibliografia"/>
                      <w:rPr>
                        <w:noProof/>
                      </w:rPr>
                    </w:pPr>
                    <w:r>
                      <w:rPr>
                        <w:noProof/>
                      </w:rPr>
                      <w:t xml:space="preserve">[9] </w:t>
                    </w:r>
                  </w:p>
                </w:tc>
                <w:tc>
                  <w:tcPr>
                    <w:tcW w:w="0" w:type="auto"/>
                    <w:hideMark/>
                  </w:tcPr>
                  <w:p w14:paraId="4C75B0A5" w14:textId="77777777" w:rsidR="008D7904" w:rsidRDefault="008D7904">
                    <w:pPr>
                      <w:pStyle w:val="Bibliografia"/>
                      <w:rPr>
                        <w:noProof/>
                      </w:rPr>
                    </w:pPr>
                    <w:r>
                      <w:rPr>
                        <w:noProof/>
                      </w:rPr>
                      <w:t>MASE - Ministero dell'Ambiente e della Sicurezza Energetica, «PIANO NAZIONALE INTEGRATO PER L'ENERGIA E IL CLIMA,» 2024.</w:t>
                    </w:r>
                  </w:p>
                </w:tc>
              </w:tr>
              <w:tr w:rsidR="008D7904" w:rsidRPr="00F44060" w14:paraId="593A90F5" w14:textId="77777777">
                <w:trPr>
                  <w:divId w:val="617839469"/>
                  <w:tblCellSpacing w:w="15" w:type="dxa"/>
                </w:trPr>
                <w:tc>
                  <w:tcPr>
                    <w:tcW w:w="50" w:type="pct"/>
                    <w:hideMark/>
                  </w:tcPr>
                  <w:p w14:paraId="47FFF58F" w14:textId="77777777" w:rsidR="008D7904" w:rsidRDefault="008D7904">
                    <w:pPr>
                      <w:pStyle w:val="Bibliografia"/>
                      <w:rPr>
                        <w:noProof/>
                      </w:rPr>
                    </w:pPr>
                    <w:r>
                      <w:rPr>
                        <w:noProof/>
                      </w:rPr>
                      <w:t xml:space="preserve">[10] </w:t>
                    </w:r>
                  </w:p>
                </w:tc>
                <w:tc>
                  <w:tcPr>
                    <w:tcW w:w="0" w:type="auto"/>
                    <w:hideMark/>
                  </w:tcPr>
                  <w:p w14:paraId="417C50F5" w14:textId="77777777" w:rsidR="008D7904" w:rsidRPr="00F44060" w:rsidRDefault="008D7904">
                    <w:pPr>
                      <w:pStyle w:val="Bibliografia"/>
                      <w:rPr>
                        <w:noProof/>
                        <w:lang w:val="es-ES"/>
                      </w:rPr>
                    </w:pPr>
                    <w:r>
                      <w:rPr>
                        <w:noProof/>
                      </w:rPr>
                      <w:t xml:space="preserve">Regione Autonoma Friuli Venezia Giulia, «Energia - Piano Energetico Regionale - PER,» 2025. </w:t>
                    </w:r>
                    <w:r w:rsidRPr="00F44060">
                      <w:rPr>
                        <w:noProof/>
                        <w:lang w:val="es-ES"/>
                      </w:rPr>
                      <w:t>[Online]. Available: https://www.regione.fvg.it/rafvg/cms/RAFVG/ambiente-territorio/energia/FOGLIA2/.</w:t>
                    </w:r>
                  </w:p>
                </w:tc>
              </w:tr>
              <w:tr w:rsidR="008D7904" w:rsidRPr="00F44060" w14:paraId="58D0B4D5" w14:textId="77777777">
                <w:trPr>
                  <w:divId w:val="617839469"/>
                  <w:tblCellSpacing w:w="15" w:type="dxa"/>
                </w:trPr>
                <w:tc>
                  <w:tcPr>
                    <w:tcW w:w="50" w:type="pct"/>
                    <w:hideMark/>
                  </w:tcPr>
                  <w:p w14:paraId="36D7EB8F" w14:textId="77777777" w:rsidR="008D7904" w:rsidRDefault="008D7904">
                    <w:pPr>
                      <w:pStyle w:val="Bibliografia"/>
                      <w:rPr>
                        <w:noProof/>
                      </w:rPr>
                    </w:pPr>
                    <w:r>
                      <w:rPr>
                        <w:noProof/>
                      </w:rPr>
                      <w:t xml:space="preserve">[11] </w:t>
                    </w:r>
                  </w:p>
                </w:tc>
                <w:tc>
                  <w:tcPr>
                    <w:tcW w:w="0" w:type="auto"/>
                    <w:hideMark/>
                  </w:tcPr>
                  <w:p w14:paraId="14749DA6" w14:textId="77777777" w:rsidR="008D7904" w:rsidRPr="00F44060" w:rsidRDefault="008D7904">
                    <w:pPr>
                      <w:pStyle w:val="Bibliografia"/>
                      <w:rPr>
                        <w:noProof/>
                        <w:lang w:val="es-ES"/>
                      </w:rPr>
                    </w:pPr>
                    <w:r>
                      <w:rPr>
                        <w:noProof/>
                      </w:rPr>
                      <w:t xml:space="preserve">MASE - Ministero dell'Ambiente e della Sicurezza Energetica, «Piano Strategico Nazionale Mobilità Sostenibile – PSNMS,» 2022. </w:t>
                    </w:r>
                    <w:r w:rsidRPr="00F44060">
                      <w:rPr>
                        <w:noProof/>
                        <w:lang w:val="es-ES"/>
                      </w:rPr>
                      <w:t>[Online]. Available: https://www.mase.gov.it/portale/piano-strategico-nazionale-mobilit%C3%A0-sostenibile-psnms.</w:t>
                    </w:r>
                  </w:p>
                </w:tc>
              </w:tr>
              <w:tr w:rsidR="008D7904" w14:paraId="48451C98" w14:textId="77777777">
                <w:trPr>
                  <w:divId w:val="617839469"/>
                  <w:tblCellSpacing w:w="15" w:type="dxa"/>
                </w:trPr>
                <w:tc>
                  <w:tcPr>
                    <w:tcW w:w="50" w:type="pct"/>
                    <w:hideMark/>
                  </w:tcPr>
                  <w:p w14:paraId="59B62CD0" w14:textId="77777777" w:rsidR="008D7904" w:rsidRDefault="008D7904">
                    <w:pPr>
                      <w:pStyle w:val="Bibliografia"/>
                      <w:rPr>
                        <w:noProof/>
                      </w:rPr>
                    </w:pPr>
                    <w:r>
                      <w:rPr>
                        <w:noProof/>
                      </w:rPr>
                      <w:t xml:space="preserve">[12] </w:t>
                    </w:r>
                  </w:p>
                </w:tc>
                <w:tc>
                  <w:tcPr>
                    <w:tcW w:w="0" w:type="auto"/>
                    <w:hideMark/>
                  </w:tcPr>
                  <w:p w14:paraId="3CE214CF" w14:textId="77777777" w:rsidR="008D7904" w:rsidRDefault="008D7904">
                    <w:pPr>
                      <w:pStyle w:val="Bibliografia"/>
                      <w:rPr>
                        <w:noProof/>
                      </w:rPr>
                    </w:pPr>
                    <w:r>
                      <w:rPr>
                        <w:noProof/>
                      </w:rPr>
                      <w:t>Ministero dell'Economia e delle Finanze, «Documento di Finanza Pubblica - Allegato Strategie per le infrastrutture, la mobilità e la logistica,» 2025.</w:t>
                    </w:r>
                  </w:p>
                </w:tc>
              </w:tr>
              <w:tr w:rsidR="008D7904" w:rsidRPr="00F44060" w14:paraId="0081C95D" w14:textId="77777777">
                <w:trPr>
                  <w:divId w:val="617839469"/>
                  <w:tblCellSpacing w:w="15" w:type="dxa"/>
                </w:trPr>
                <w:tc>
                  <w:tcPr>
                    <w:tcW w:w="50" w:type="pct"/>
                    <w:hideMark/>
                  </w:tcPr>
                  <w:p w14:paraId="1E66D36E" w14:textId="77777777" w:rsidR="008D7904" w:rsidRDefault="008D7904">
                    <w:pPr>
                      <w:pStyle w:val="Bibliografia"/>
                      <w:rPr>
                        <w:noProof/>
                      </w:rPr>
                    </w:pPr>
                    <w:r>
                      <w:rPr>
                        <w:noProof/>
                      </w:rPr>
                      <w:t xml:space="preserve">[13] </w:t>
                    </w:r>
                  </w:p>
                </w:tc>
                <w:tc>
                  <w:tcPr>
                    <w:tcW w:w="0" w:type="auto"/>
                    <w:hideMark/>
                  </w:tcPr>
                  <w:p w14:paraId="69C9DF20" w14:textId="77777777" w:rsidR="008D7904" w:rsidRPr="00F44060" w:rsidRDefault="008D7904">
                    <w:pPr>
                      <w:pStyle w:val="Bibliografia"/>
                      <w:rPr>
                        <w:noProof/>
                        <w:lang w:val="es-ES"/>
                      </w:rPr>
                    </w:pPr>
                    <w:r>
                      <w:rPr>
                        <w:noProof/>
                      </w:rPr>
                      <w:t xml:space="preserve">Regione Autonoma Friuli Venezia Giulia, «Infrastrutture, logistica e servizi per i trasporti - Piano regionale delle infrastrutture di trasporto, della mobilità delle merci e della logistica,» 2024. </w:t>
                    </w:r>
                    <w:r w:rsidRPr="00F44060">
                      <w:rPr>
                        <w:noProof/>
                        <w:lang w:val="es-ES"/>
                      </w:rPr>
                      <w:t>[Online]. Available: https://www.regione.fvg.it/rafvg/cms/RAFVG/infrastrutture-lavori-pubblici/infrastrutture-logistica-</w:t>
                    </w:r>
                    <w:r w:rsidRPr="00F44060">
                      <w:rPr>
                        <w:noProof/>
                        <w:lang w:val="es-ES"/>
                      </w:rPr>
                      <w:lastRenderedPageBreak/>
                      <w:t>trasporti/FOGLIA18/articolo.html.</w:t>
                    </w:r>
                  </w:p>
                </w:tc>
              </w:tr>
              <w:tr w:rsidR="008D7904" w:rsidRPr="00F44060" w14:paraId="3A451271" w14:textId="77777777">
                <w:trPr>
                  <w:divId w:val="617839469"/>
                  <w:tblCellSpacing w:w="15" w:type="dxa"/>
                </w:trPr>
                <w:tc>
                  <w:tcPr>
                    <w:tcW w:w="50" w:type="pct"/>
                    <w:hideMark/>
                  </w:tcPr>
                  <w:p w14:paraId="0E169622" w14:textId="77777777" w:rsidR="008D7904" w:rsidRDefault="008D7904">
                    <w:pPr>
                      <w:pStyle w:val="Bibliografia"/>
                      <w:rPr>
                        <w:noProof/>
                      </w:rPr>
                    </w:pPr>
                    <w:r>
                      <w:rPr>
                        <w:noProof/>
                      </w:rPr>
                      <w:lastRenderedPageBreak/>
                      <w:t xml:space="preserve">[14] </w:t>
                    </w:r>
                  </w:p>
                </w:tc>
                <w:tc>
                  <w:tcPr>
                    <w:tcW w:w="0" w:type="auto"/>
                    <w:hideMark/>
                  </w:tcPr>
                  <w:p w14:paraId="138A4350" w14:textId="77777777" w:rsidR="008D7904" w:rsidRPr="00F44060" w:rsidRDefault="008D7904">
                    <w:pPr>
                      <w:pStyle w:val="Bibliografia"/>
                      <w:rPr>
                        <w:noProof/>
                        <w:lang w:val="es-ES"/>
                      </w:rPr>
                    </w:pPr>
                    <w:r>
                      <w:rPr>
                        <w:noProof/>
                      </w:rPr>
                      <w:t xml:space="preserve">Regione Autonoma Friuli Venezia Giulia, «Infrastrutture, logistica e servizi per i trasporti - Piano Regionale del Trasporto Pubblico Locale (PRTPL),» 2024. </w:t>
                    </w:r>
                    <w:r w:rsidRPr="00F44060">
                      <w:rPr>
                        <w:noProof/>
                        <w:lang w:val="es-ES"/>
                      </w:rPr>
                      <w:t>[Online]. Available: https://www.regione.fvg.it/rafvg/cms/RAFVG/infrastrutture-lavori-pubblici/infrastrutture-logistica-trasporti/FOGLIA107/.</w:t>
                    </w:r>
                  </w:p>
                </w:tc>
              </w:tr>
              <w:tr w:rsidR="008D7904" w:rsidRPr="00F44060" w14:paraId="360656DD" w14:textId="77777777">
                <w:trPr>
                  <w:divId w:val="617839469"/>
                  <w:tblCellSpacing w:w="15" w:type="dxa"/>
                </w:trPr>
                <w:tc>
                  <w:tcPr>
                    <w:tcW w:w="50" w:type="pct"/>
                    <w:hideMark/>
                  </w:tcPr>
                  <w:p w14:paraId="06E147FE" w14:textId="77777777" w:rsidR="008D7904" w:rsidRDefault="008D7904">
                    <w:pPr>
                      <w:pStyle w:val="Bibliografia"/>
                      <w:rPr>
                        <w:noProof/>
                      </w:rPr>
                    </w:pPr>
                    <w:r>
                      <w:rPr>
                        <w:noProof/>
                      </w:rPr>
                      <w:t xml:space="preserve">[15] </w:t>
                    </w:r>
                  </w:p>
                </w:tc>
                <w:tc>
                  <w:tcPr>
                    <w:tcW w:w="0" w:type="auto"/>
                    <w:hideMark/>
                  </w:tcPr>
                  <w:p w14:paraId="0B938948" w14:textId="77777777" w:rsidR="008D7904" w:rsidRPr="00F44060" w:rsidRDefault="008D7904">
                    <w:pPr>
                      <w:pStyle w:val="Bibliografia"/>
                      <w:rPr>
                        <w:noProof/>
                        <w:lang w:val="es-ES"/>
                      </w:rPr>
                    </w:pPr>
                    <w:r>
                      <w:rPr>
                        <w:noProof/>
                      </w:rPr>
                      <w:t xml:space="preserve">Regione Autonoma Friuli Venezia Giulia, «Energia - Piano Regionale per la Mobilità Elettrica (PREME_FVG),» 2023. </w:t>
                    </w:r>
                    <w:r w:rsidRPr="00F44060">
                      <w:rPr>
                        <w:noProof/>
                        <w:lang w:val="es-ES"/>
                      </w:rPr>
                      <w:t>[Online]. Available: https://www.regione.fvg.it/rafvg/cms/RAFVG/ambiente-territorio/energia/FOGLIA123/.</w:t>
                    </w:r>
                  </w:p>
                </w:tc>
              </w:tr>
              <w:tr w:rsidR="008D7904" w14:paraId="465DAF83" w14:textId="77777777">
                <w:trPr>
                  <w:divId w:val="617839469"/>
                  <w:tblCellSpacing w:w="15" w:type="dxa"/>
                </w:trPr>
                <w:tc>
                  <w:tcPr>
                    <w:tcW w:w="50" w:type="pct"/>
                    <w:hideMark/>
                  </w:tcPr>
                  <w:p w14:paraId="2C3F2F9B" w14:textId="77777777" w:rsidR="008D7904" w:rsidRDefault="008D7904">
                    <w:pPr>
                      <w:pStyle w:val="Bibliografia"/>
                      <w:rPr>
                        <w:noProof/>
                      </w:rPr>
                    </w:pPr>
                    <w:r>
                      <w:rPr>
                        <w:noProof/>
                      </w:rPr>
                      <w:t xml:space="preserve">[16] </w:t>
                    </w:r>
                  </w:p>
                </w:tc>
                <w:tc>
                  <w:tcPr>
                    <w:tcW w:w="0" w:type="auto"/>
                    <w:hideMark/>
                  </w:tcPr>
                  <w:p w14:paraId="0F12268D" w14:textId="77777777" w:rsidR="008D7904" w:rsidRDefault="008D7904">
                    <w:pPr>
                      <w:pStyle w:val="Bibliografia"/>
                      <w:rPr>
                        <w:noProof/>
                      </w:rPr>
                    </w:pPr>
                    <w:r>
                      <w:rPr>
                        <w:noProof/>
                      </w:rPr>
                      <w:t xml:space="preserve">Parlamento Europeo e Consiglio dell'Unione Europea, </w:t>
                    </w:r>
                    <w:r>
                      <w:rPr>
                        <w:i/>
                        <w:iCs w:val="0"/>
                        <w:noProof/>
                      </w:rPr>
                      <w:t xml:space="preserve">REGOLAMENTO (UE) 2023/1804 DEL PARLAMENTO EUROPEO E DEL CONSIGLIO, </w:t>
                    </w:r>
                    <w:r>
                      <w:rPr>
                        <w:noProof/>
                      </w:rPr>
                      <w:t xml:space="preserve">2023. </w:t>
                    </w:r>
                  </w:p>
                </w:tc>
              </w:tr>
              <w:tr w:rsidR="008D7904" w14:paraId="0E9FD3C6" w14:textId="77777777">
                <w:trPr>
                  <w:divId w:val="617839469"/>
                  <w:tblCellSpacing w:w="15" w:type="dxa"/>
                </w:trPr>
                <w:tc>
                  <w:tcPr>
                    <w:tcW w:w="50" w:type="pct"/>
                    <w:hideMark/>
                  </w:tcPr>
                  <w:p w14:paraId="13230896" w14:textId="77777777" w:rsidR="008D7904" w:rsidRDefault="008D7904">
                    <w:pPr>
                      <w:pStyle w:val="Bibliografia"/>
                      <w:rPr>
                        <w:noProof/>
                      </w:rPr>
                    </w:pPr>
                    <w:r>
                      <w:rPr>
                        <w:noProof/>
                      </w:rPr>
                      <w:t xml:space="preserve">[17] </w:t>
                    </w:r>
                  </w:p>
                </w:tc>
                <w:tc>
                  <w:tcPr>
                    <w:tcW w:w="0" w:type="auto"/>
                    <w:hideMark/>
                  </w:tcPr>
                  <w:p w14:paraId="420D2DB8" w14:textId="77777777" w:rsidR="008D7904" w:rsidRDefault="008D7904">
                    <w:pPr>
                      <w:pStyle w:val="Bibliografia"/>
                      <w:rPr>
                        <w:noProof/>
                      </w:rPr>
                    </w:pPr>
                    <w:r>
                      <w:rPr>
                        <w:noProof/>
                      </w:rPr>
                      <w:t xml:space="preserve">MASE - Ministero dell'Ambiente e della Sicurezza Energetica, </w:t>
                    </w:r>
                    <w:r>
                      <w:rPr>
                        <w:i/>
                        <w:iCs w:val="0"/>
                        <w:noProof/>
                      </w:rPr>
                      <w:t xml:space="preserve">Strategia Nazionale Idrogeno - Novembre 2024, </w:t>
                    </w:r>
                    <w:r>
                      <w:rPr>
                        <w:noProof/>
                      </w:rPr>
                      <w:t xml:space="preserve">2024. </w:t>
                    </w:r>
                  </w:p>
                </w:tc>
              </w:tr>
              <w:tr w:rsidR="008D7904" w14:paraId="0104B624" w14:textId="77777777">
                <w:trPr>
                  <w:divId w:val="617839469"/>
                  <w:tblCellSpacing w:w="15" w:type="dxa"/>
                </w:trPr>
                <w:tc>
                  <w:tcPr>
                    <w:tcW w:w="50" w:type="pct"/>
                    <w:hideMark/>
                  </w:tcPr>
                  <w:p w14:paraId="248C03EF" w14:textId="77777777" w:rsidR="008D7904" w:rsidRDefault="008D7904">
                    <w:pPr>
                      <w:pStyle w:val="Bibliografia"/>
                      <w:rPr>
                        <w:noProof/>
                      </w:rPr>
                    </w:pPr>
                    <w:r>
                      <w:rPr>
                        <w:noProof/>
                      </w:rPr>
                      <w:t xml:space="preserve">[18] </w:t>
                    </w:r>
                  </w:p>
                </w:tc>
                <w:tc>
                  <w:tcPr>
                    <w:tcW w:w="0" w:type="auto"/>
                    <w:hideMark/>
                  </w:tcPr>
                  <w:p w14:paraId="2A7FB9B9" w14:textId="77777777" w:rsidR="008D7904" w:rsidRDefault="008D7904">
                    <w:pPr>
                      <w:pStyle w:val="Bibliografia"/>
                      <w:rPr>
                        <w:noProof/>
                      </w:rPr>
                    </w:pPr>
                    <w:r>
                      <w:rPr>
                        <w:noProof/>
                      </w:rPr>
                      <w:t xml:space="preserve">ARERA - Autorità di Regolazione per Energia Reti e Ambiente, </w:t>
                    </w:r>
                    <w:r>
                      <w:rPr>
                        <w:i/>
                        <w:iCs w:val="0"/>
                        <w:noProof/>
                      </w:rPr>
                      <w:t xml:space="preserve">DETERMINAZIONE N.2/ENERGIA/2024, </w:t>
                    </w:r>
                    <w:r>
                      <w:rPr>
                        <w:noProof/>
                      </w:rPr>
                      <w:t xml:space="preserve">2024. </w:t>
                    </w:r>
                  </w:p>
                </w:tc>
              </w:tr>
              <w:tr w:rsidR="008D7904" w:rsidRPr="00F44060" w14:paraId="7533AEDF" w14:textId="77777777">
                <w:trPr>
                  <w:divId w:val="617839469"/>
                  <w:tblCellSpacing w:w="15" w:type="dxa"/>
                </w:trPr>
                <w:tc>
                  <w:tcPr>
                    <w:tcW w:w="50" w:type="pct"/>
                    <w:hideMark/>
                  </w:tcPr>
                  <w:p w14:paraId="2CCC44F1" w14:textId="77777777" w:rsidR="008D7904" w:rsidRDefault="008D7904">
                    <w:pPr>
                      <w:pStyle w:val="Bibliografia"/>
                      <w:rPr>
                        <w:noProof/>
                      </w:rPr>
                    </w:pPr>
                    <w:r>
                      <w:rPr>
                        <w:noProof/>
                      </w:rPr>
                      <w:t xml:space="preserve">[19] </w:t>
                    </w:r>
                  </w:p>
                </w:tc>
                <w:tc>
                  <w:tcPr>
                    <w:tcW w:w="0" w:type="auto"/>
                    <w:hideMark/>
                  </w:tcPr>
                  <w:p w14:paraId="337D9E6E" w14:textId="77777777" w:rsidR="008D7904" w:rsidRPr="00F44060" w:rsidRDefault="008D7904">
                    <w:pPr>
                      <w:pStyle w:val="Bibliografia"/>
                      <w:rPr>
                        <w:noProof/>
                        <w:lang w:val="es-ES"/>
                      </w:rPr>
                    </w:pPr>
                    <w:r w:rsidRPr="00F44060">
                      <w:rPr>
                        <w:noProof/>
                        <w:lang w:val="es-ES"/>
                      </w:rPr>
                      <w:t>SouthH2Corridor, «The SoutH2 Corridor initiative,» 2006. [Online]. Available: https://www.south2corridor.net/.</w:t>
                    </w:r>
                  </w:p>
                </w:tc>
              </w:tr>
              <w:tr w:rsidR="008D7904" w14:paraId="77F4738F" w14:textId="77777777">
                <w:trPr>
                  <w:divId w:val="617839469"/>
                  <w:tblCellSpacing w:w="15" w:type="dxa"/>
                </w:trPr>
                <w:tc>
                  <w:tcPr>
                    <w:tcW w:w="50" w:type="pct"/>
                    <w:hideMark/>
                  </w:tcPr>
                  <w:p w14:paraId="5AC89F74" w14:textId="77777777" w:rsidR="008D7904" w:rsidRDefault="008D7904">
                    <w:pPr>
                      <w:pStyle w:val="Bibliografia"/>
                      <w:rPr>
                        <w:noProof/>
                      </w:rPr>
                    </w:pPr>
                    <w:r>
                      <w:rPr>
                        <w:noProof/>
                      </w:rPr>
                      <w:t xml:space="preserve">[20] </w:t>
                    </w:r>
                  </w:p>
                </w:tc>
                <w:tc>
                  <w:tcPr>
                    <w:tcW w:w="0" w:type="auto"/>
                    <w:hideMark/>
                  </w:tcPr>
                  <w:p w14:paraId="5D99FFBA" w14:textId="77777777" w:rsidR="008D7904" w:rsidRDefault="008D7904">
                    <w:pPr>
                      <w:pStyle w:val="Bibliografia"/>
                      <w:rPr>
                        <w:noProof/>
                      </w:rPr>
                    </w:pPr>
                    <w:r>
                      <w:rPr>
                        <w:noProof/>
                      </w:rPr>
                      <w:t xml:space="preserve">https://www.gazzettaufficiale.it/eli/id/2026/08/07/26A03843/SG?utm_source=chatgpt.com, </w:t>
                    </w:r>
                    <w:r>
                      <w:rPr>
                        <w:i/>
                        <w:iCs w:val="0"/>
                        <w:noProof/>
                      </w:rPr>
                      <w:t>Meccanismo di sostegno alla produzione di idrogeno di origine rinnovabile. (26A03843) (GU Serie Generale n.182 del 07-08-2026).</w:t>
                    </w:r>
                    <w:r>
                      <w:rPr>
                        <w:noProof/>
                      </w:rPr>
                      <w:t xml:space="preserve"> </w:t>
                    </w:r>
                  </w:p>
                </w:tc>
              </w:tr>
              <w:tr w:rsidR="008D7904" w:rsidRPr="00F44060" w14:paraId="27CFC041" w14:textId="77777777">
                <w:trPr>
                  <w:divId w:val="617839469"/>
                  <w:tblCellSpacing w:w="15" w:type="dxa"/>
                </w:trPr>
                <w:tc>
                  <w:tcPr>
                    <w:tcW w:w="50" w:type="pct"/>
                    <w:hideMark/>
                  </w:tcPr>
                  <w:p w14:paraId="780231DA" w14:textId="77777777" w:rsidR="008D7904" w:rsidRDefault="008D7904">
                    <w:pPr>
                      <w:pStyle w:val="Bibliografia"/>
                      <w:rPr>
                        <w:noProof/>
                      </w:rPr>
                    </w:pPr>
                    <w:r>
                      <w:rPr>
                        <w:noProof/>
                      </w:rPr>
                      <w:t xml:space="preserve">[21] </w:t>
                    </w:r>
                  </w:p>
                </w:tc>
                <w:tc>
                  <w:tcPr>
                    <w:tcW w:w="0" w:type="auto"/>
                    <w:hideMark/>
                  </w:tcPr>
                  <w:p w14:paraId="073F709C" w14:textId="77777777" w:rsidR="008D7904" w:rsidRPr="00F44060" w:rsidRDefault="008D7904">
                    <w:pPr>
                      <w:pStyle w:val="Bibliografia"/>
                      <w:rPr>
                        <w:noProof/>
                        <w:lang w:val="es-ES"/>
                      </w:rPr>
                    </w:pPr>
                    <w:r>
                      <w:rPr>
                        <w:noProof/>
                      </w:rPr>
                      <w:t xml:space="preserve">MASE - Ministero dell'Ambiente e della Sicurezza Energetica , «MISSIONE 2 (M2) Rivoluzione verde e transizione ecologica,» 2022. </w:t>
                    </w:r>
                    <w:r w:rsidRPr="00F44060">
                      <w:rPr>
                        <w:noProof/>
                        <w:lang w:val="es-ES"/>
                      </w:rPr>
                      <w:t>[Online]. Available: https://www.mase.gov.it/portale/missione-2-m2-rivoluzione-verde-e-transizione-ecologica.</w:t>
                    </w:r>
                  </w:p>
                </w:tc>
              </w:tr>
              <w:tr w:rsidR="008D7904" w14:paraId="364B75CD" w14:textId="77777777">
                <w:trPr>
                  <w:divId w:val="617839469"/>
                  <w:tblCellSpacing w:w="15" w:type="dxa"/>
                </w:trPr>
                <w:tc>
                  <w:tcPr>
                    <w:tcW w:w="50" w:type="pct"/>
                    <w:hideMark/>
                  </w:tcPr>
                  <w:p w14:paraId="680F3E33" w14:textId="77777777" w:rsidR="008D7904" w:rsidRDefault="008D7904">
                    <w:pPr>
                      <w:pStyle w:val="Bibliografia"/>
                      <w:rPr>
                        <w:noProof/>
                      </w:rPr>
                    </w:pPr>
                    <w:r>
                      <w:rPr>
                        <w:noProof/>
                      </w:rPr>
                      <w:t xml:space="preserve">[22] </w:t>
                    </w:r>
                  </w:p>
                </w:tc>
                <w:tc>
                  <w:tcPr>
                    <w:tcW w:w="0" w:type="auto"/>
                    <w:hideMark/>
                  </w:tcPr>
                  <w:p w14:paraId="2BD21A66" w14:textId="77777777" w:rsidR="008D7904" w:rsidRDefault="008D7904">
                    <w:pPr>
                      <w:pStyle w:val="Bibliografia"/>
                      <w:rPr>
                        <w:noProof/>
                      </w:rPr>
                    </w:pPr>
                    <w:r>
                      <w:rPr>
                        <w:noProof/>
                      </w:rPr>
                      <w:t xml:space="preserve">MIT - Ministero delle infrastrutture e dei trasporti, </w:t>
                    </w:r>
                    <w:r>
                      <w:rPr>
                        <w:i/>
                        <w:iCs w:val="0"/>
                        <w:noProof/>
                      </w:rPr>
                      <w:t xml:space="preserve">Decreto Ministeriale 199/2022, </w:t>
                    </w:r>
                    <w:r>
                      <w:rPr>
                        <w:noProof/>
                      </w:rPr>
                      <w:t xml:space="preserve">2022. </w:t>
                    </w:r>
                  </w:p>
                </w:tc>
              </w:tr>
              <w:tr w:rsidR="008D7904" w:rsidRPr="00F44060" w14:paraId="0E0307EE" w14:textId="77777777">
                <w:trPr>
                  <w:divId w:val="617839469"/>
                  <w:tblCellSpacing w:w="15" w:type="dxa"/>
                </w:trPr>
                <w:tc>
                  <w:tcPr>
                    <w:tcW w:w="50" w:type="pct"/>
                    <w:hideMark/>
                  </w:tcPr>
                  <w:p w14:paraId="07F2FC8A" w14:textId="77777777" w:rsidR="008D7904" w:rsidRDefault="008D7904">
                    <w:pPr>
                      <w:pStyle w:val="Bibliografia"/>
                      <w:rPr>
                        <w:noProof/>
                      </w:rPr>
                    </w:pPr>
                    <w:r>
                      <w:rPr>
                        <w:noProof/>
                      </w:rPr>
                      <w:t xml:space="preserve">[23] </w:t>
                    </w:r>
                  </w:p>
                </w:tc>
                <w:tc>
                  <w:tcPr>
                    <w:tcW w:w="0" w:type="auto"/>
                    <w:hideMark/>
                  </w:tcPr>
                  <w:p w14:paraId="0FCEDD0D" w14:textId="77777777" w:rsidR="008D7904" w:rsidRPr="00F44060" w:rsidRDefault="008D7904">
                    <w:pPr>
                      <w:pStyle w:val="Bibliografia"/>
                      <w:rPr>
                        <w:noProof/>
                        <w:lang w:val="es-ES"/>
                      </w:rPr>
                    </w:pPr>
                    <w:r>
                      <w:rPr>
                        <w:noProof/>
                      </w:rPr>
                      <w:t xml:space="preserve">MIT - Ministero delle infrastrutture e dei trasporti, «Stazioni rifornimento idrogeno: pubblicata la graduatoria,» 2023. </w:t>
                    </w:r>
                    <w:r w:rsidRPr="00F44060">
                      <w:rPr>
                        <w:noProof/>
                        <w:lang w:val="es-ES"/>
                      </w:rPr>
                      <w:t>[Online]. Available: https://mit.gov.it/comunicazione/news/stazioni-rifornimento-idrogeno-pubblicata-la-graduatoria?utm_source=chatgpt.com.</w:t>
                    </w:r>
                  </w:p>
                </w:tc>
              </w:tr>
              <w:tr w:rsidR="008D7904" w14:paraId="32842283" w14:textId="77777777">
                <w:trPr>
                  <w:divId w:val="617839469"/>
                  <w:tblCellSpacing w:w="15" w:type="dxa"/>
                </w:trPr>
                <w:tc>
                  <w:tcPr>
                    <w:tcW w:w="50" w:type="pct"/>
                    <w:hideMark/>
                  </w:tcPr>
                  <w:p w14:paraId="2553DE86" w14:textId="77777777" w:rsidR="008D7904" w:rsidRDefault="008D7904">
                    <w:pPr>
                      <w:pStyle w:val="Bibliografia"/>
                      <w:rPr>
                        <w:noProof/>
                      </w:rPr>
                    </w:pPr>
                    <w:r>
                      <w:rPr>
                        <w:noProof/>
                      </w:rPr>
                      <w:t xml:space="preserve">[24] </w:t>
                    </w:r>
                  </w:p>
                </w:tc>
                <w:tc>
                  <w:tcPr>
                    <w:tcW w:w="0" w:type="auto"/>
                    <w:hideMark/>
                  </w:tcPr>
                  <w:p w14:paraId="1D8C82D7" w14:textId="77777777" w:rsidR="008D7904" w:rsidRDefault="008D7904">
                    <w:pPr>
                      <w:pStyle w:val="Bibliografia"/>
                      <w:rPr>
                        <w:noProof/>
                      </w:rPr>
                    </w:pPr>
                    <w:r>
                      <w:rPr>
                        <w:noProof/>
                      </w:rPr>
                      <w:t>NAHV - North Adriatic Hydrogen Valley, «NAHV: the creation of a hydrogen-based economic, social and industrial ecosystem,» [Online]. Available: https://www.nahv.eu/about-nahv/.</w:t>
                    </w:r>
                  </w:p>
                </w:tc>
              </w:tr>
              <w:tr w:rsidR="008D7904" w14:paraId="7EB48732" w14:textId="77777777">
                <w:trPr>
                  <w:divId w:val="617839469"/>
                  <w:tblCellSpacing w:w="15" w:type="dxa"/>
                </w:trPr>
                <w:tc>
                  <w:tcPr>
                    <w:tcW w:w="50" w:type="pct"/>
                    <w:hideMark/>
                  </w:tcPr>
                  <w:p w14:paraId="122CBC1B" w14:textId="77777777" w:rsidR="008D7904" w:rsidRDefault="008D7904">
                    <w:pPr>
                      <w:pStyle w:val="Bibliografia"/>
                      <w:rPr>
                        <w:noProof/>
                      </w:rPr>
                    </w:pPr>
                    <w:r>
                      <w:rPr>
                        <w:noProof/>
                      </w:rPr>
                      <w:t xml:space="preserve">[25] </w:t>
                    </w:r>
                  </w:p>
                </w:tc>
                <w:tc>
                  <w:tcPr>
                    <w:tcW w:w="0" w:type="auto"/>
                    <w:hideMark/>
                  </w:tcPr>
                  <w:p w14:paraId="59391A58" w14:textId="77777777" w:rsidR="008D7904" w:rsidRDefault="008D7904">
                    <w:pPr>
                      <w:pStyle w:val="Bibliografia"/>
                      <w:rPr>
                        <w:noProof/>
                      </w:rPr>
                    </w:pPr>
                    <w:r>
                      <w:rPr>
                        <w:noProof/>
                      </w:rPr>
                      <w:t>NAHV - North Adriatic Hydrogen Valley, «Testbed Catalogue - May 2025,» 2025.</w:t>
                    </w:r>
                  </w:p>
                </w:tc>
              </w:tr>
              <w:tr w:rsidR="008D7904" w14:paraId="055FBD49" w14:textId="77777777">
                <w:trPr>
                  <w:divId w:val="617839469"/>
                  <w:tblCellSpacing w:w="15" w:type="dxa"/>
                </w:trPr>
                <w:tc>
                  <w:tcPr>
                    <w:tcW w:w="50" w:type="pct"/>
                    <w:hideMark/>
                  </w:tcPr>
                  <w:p w14:paraId="6EB37236" w14:textId="77777777" w:rsidR="008D7904" w:rsidRDefault="008D7904">
                    <w:pPr>
                      <w:pStyle w:val="Bibliografia"/>
                      <w:rPr>
                        <w:noProof/>
                      </w:rPr>
                    </w:pPr>
                    <w:r>
                      <w:rPr>
                        <w:noProof/>
                      </w:rPr>
                      <w:t xml:space="preserve">[26] </w:t>
                    </w:r>
                  </w:p>
                </w:tc>
                <w:tc>
                  <w:tcPr>
                    <w:tcW w:w="0" w:type="auto"/>
                    <w:hideMark/>
                  </w:tcPr>
                  <w:p w14:paraId="753174EE" w14:textId="77777777" w:rsidR="008D7904" w:rsidRDefault="008D7904">
                    <w:pPr>
                      <w:pStyle w:val="Bibliografia"/>
                      <w:rPr>
                        <w:noProof/>
                      </w:rPr>
                    </w:pPr>
                    <w:r>
                      <w:rPr>
                        <w:noProof/>
                      </w:rPr>
                      <w:t>MARE Technology Cluster FVG, «TransH2 Transition to hydrogen fuelled cross-border sea-mobility,» [Online]. Available: https://www.marefvg.it/en/progetto/transh2/.</w:t>
                    </w:r>
                  </w:p>
                </w:tc>
              </w:tr>
              <w:tr w:rsidR="008D7904" w:rsidRPr="00F44060" w14:paraId="09BCCFC6" w14:textId="77777777">
                <w:trPr>
                  <w:divId w:val="617839469"/>
                  <w:tblCellSpacing w:w="15" w:type="dxa"/>
                </w:trPr>
                <w:tc>
                  <w:tcPr>
                    <w:tcW w:w="50" w:type="pct"/>
                    <w:hideMark/>
                  </w:tcPr>
                  <w:p w14:paraId="44ED3F82" w14:textId="77777777" w:rsidR="008D7904" w:rsidRDefault="008D7904">
                    <w:pPr>
                      <w:pStyle w:val="Bibliografia"/>
                      <w:rPr>
                        <w:noProof/>
                      </w:rPr>
                    </w:pPr>
                    <w:r>
                      <w:rPr>
                        <w:noProof/>
                      </w:rPr>
                      <w:t xml:space="preserve">[27] </w:t>
                    </w:r>
                  </w:p>
                </w:tc>
                <w:tc>
                  <w:tcPr>
                    <w:tcW w:w="0" w:type="auto"/>
                    <w:hideMark/>
                  </w:tcPr>
                  <w:p w14:paraId="5CAA3B96" w14:textId="77777777" w:rsidR="008D7904" w:rsidRPr="00F44060" w:rsidRDefault="008D7904">
                    <w:pPr>
                      <w:pStyle w:val="Bibliografia"/>
                      <w:rPr>
                        <w:noProof/>
                        <w:lang w:val="es-ES"/>
                      </w:rPr>
                    </w:pPr>
                    <w:r>
                      <w:rPr>
                        <w:noProof/>
                      </w:rPr>
                      <w:t xml:space="preserve">Autorità di Sistema Portuale del Mare Adriatico Orientale Porti di Trieste e Monfalcone, «Imbarcazione idrogeno,» 2024. </w:t>
                    </w:r>
                    <w:r w:rsidRPr="00F44060">
                      <w:rPr>
                        <w:noProof/>
                        <w:lang w:val="es-ES"/>
                      </w:rPr>
                      <w:t>[Online]. Available: https://www.adspmao.it/it/pianificazione-e-opere/attuazione-pnrr-1/imbarcazione-idrogeno.</w:t>
                    </w:r>
                  </w:p>
                </w:tc>
              </w:tr>
              <w:tr w:rsidR="008D7904" w:rsidRPr="00F44060" w14:paraId="1E0275EC" w14:textId="77777777">
                <w:trPr>
                  <w:divId w:val="617839469"/>
                  <w:tblCellSpacing w:w="15" w:type="dxa"/>
                </w:trPr>
                <w:tc>
                  <w:tcPr>
                    <w:tcW w:w="50" w:type="pct"/>
                    <w:hideMark/>
                  </w:tcPr>
                  <w:p w14:paraId="2B7B9016" w14:textId="77777777" w:rsidR="008D7904" w:rsidRDefault="008D7904">
                    <w:pPr>
                      <w:pStyle w:val="Bibliografia"/>
                      <w:rPr>
                        <w:noProof/>
                      </w:rPr>
                    </w:pPr>
                    <w:r>
                      <w:rPr>
                        <w:noProof/>
                      </w:rPr>
                      <w:t xml:space="preserve">[28] </w:t>
                    </w:r>
                  </w:p>
                </w:tc>
                <w:tc>
                  <w:tcPr>
                    <w:tcW w:w="0" w:type="auto"/>
                    <w:hideMark/>
                  </w:tcPr>
                  <w:p w14:paraId="3E535576" w14:textId="77777777" w:rsidR="008D7904" w:rsidRPr="00F44060" w:rsidRDefault="008D7904">
                    <w:pPr>
                      <w:pStyle w:val="Bibliografia"/>
                      <w:rPr>
                        <w:noProof/>
                        <w:lang w:val="es-ES"/>
                      </w:rPr>
                    </w:pPr>
                    <w:r>
                      <w:rPr>
                        <w:noProof/>
                      </w:rPr>
                      <w:t xml:space="preserve">Regione Autonoma Friuli Venezia Giulia, «Pianificazione e gestione del territorio - Il Piano del Governo del Territorio (PGT),» 2026. </w:t>
                    </w:r>
                    <w:r w:rsidRPr="00F44060">
                      <w:rPr>
                        <w:noProof/>
                        <w:lang w:val="es-ES"/>
                      </w:rPr>
                      <w:t>[Online]. Available: https://www.regione.fvg.it/rafvg/cms/RAFVG/ambiente-territorio/pianificazione-gestione-territorio/FOGLIA5/.</w:t>
                    </w:r>
                  </w:p>
                </w:tc>
              </w:tr>
              <w:tr w:rsidR="008D7904" w:rsidRPr="00F44060" w14:paraId="0494C531" w14:textId="77777777">
                <w:trPr>
                  <w:divId w:val="617839469"/>
                  <w:tblCellSpacing w:w="15" w:type="dxa"/>
                </w:trPr>
                <w:tc>
                  <w:tcPr>
                    <w:tcW w:w="50" w:type="pct"/>
                    <w:hideMark/>
                  </w:tcPr>
                  <w:p w14:paraId="5F72A158" w14:textId="77777777" w:rsidR="008D7904" w:rsidRDefault="008D7904">
                    <w:pPr>
                      <w:pStyle w:val="Bibliografia"/>
                      <w:rPr>
                        <w:noProof/>
                      </w:rPr>
                    </w:pPr>
                    <w:r>
                      <w:rPr>
                        <w:noProof/>
                      </w:rPr>
                      <w:t xml:space="preserve">[29] </w:t>
                    </w:r>
                  </w:p>
                </w:tc>
                <w:tc>
                  <w:tcPr>
                    <w:tcW w:w="0" w:type="auto"/>
                    <w:hideMark/>
                  </w:tcPr>
                  <w:p w14:paraId="4BA4992A" w14:textId="77777777" w:rsidR="008D7904" w:rsidRPr="00F44060" w:rsidRDefault="008D7904">
                    <w:pPr>
                      <w:pStyle w:val="Bibliografia"/>
                      <w:rPr>
                        <w:noProof/>
                        <w:lang w:val="es-ES"/>
                      </w:rPr>
                    </w:pPr>
                    <w:r>
                      <w:rPr>
                        <w:noProof/>
                      </w:rPr>
                      <w:t xml:space="preserve">Regione Autonoma Friuli Venezia Giulia, «Pianificazione e gestione del territorio - Il PPR è lo strumento di </w:t>
                    </w:r>
                    <w:r>
                      <w:rPr>
                        <w:noProof/>
                      </w:rPr>
                      <w:lastRenderedPageBreak/>
                      <w:t xml:space="preserve">pianificazione per la salvaguardia e la gestione del territorio nella sua globalità,» 2026. </w:t>
                    </w:r>
                    <w:r w:rsidRPr="00F44060">
                      <w:rPr>
                        <w:noProof/>
                        <w:lang w:val="es-ES"/>
                      </w:rPr>
                      <w:t>[Online]. Available: https://www.regione.fvg.it/rafvg/cms/RAFVG/ambiente-territorio/pianificazione-gestione-territorio/FOGLIA21.</w:t>
                    </w:r>
                  </w:p>
                </w:tc>
              </w:tr>
              <w:tr w:rsidR="008D7904" w14:paraId="1531C41A" w14:textId="77777777">
                <w:trPr>
                  <w:divId w:val="617839469"/>
                  <w:tblCellSpacing w:w="15" w:type="dxa"/>
                </w:trPr>
                <w:tc>
                  <w:tcPr>
                    <w:tcW w:w="50" w:type="pct"/>
                    <w:hideMark/>
                  </w:tcPr>
                  <w:p w14:paraId="5A5D8F9D" w14:textId="77777777" w:rsidR="008D7904" w:rsidRDefault="008D7904">
                    <w:pPr>
                      <w:pStyle w:val="Bibliografia"/>
                      <w:rPr>
                        <w:noProof/>
                      </w:rPr>
                    </w:pPr>
                    <w:r>
                      <w:rPr>
                        <w:noProof/>
                      </w:rPr>
                      <w:lastRenderedPageBreak/>
                      <w:t xml:space="preserve">[30] </w:t>
                    </w:r>
                  </w:p>
                </w:tc>
                <w:tc>
                  <w:tcPr>
                    <w:tcW w:w="0" w:type="auto"/>
                    <w:hideMark/>
                  </w:tcPr>
                  <w:p w14:paraId="525B5752" w14:textId="77777777" w:rsidR="008D7904" w:rsidRDefault="008D7904">
                    <w:pPr>
                      <w:pStyle w:val="Bibliografia"/>
                      <w:rPr>
                        <w:noProof/>
                      </w:rPr>
                    </w:pPr>
                    <w:r>
                      <w:rPr>
                        <w:noProof/>
                      </w:rPr>
                      <w:t>Eagle.fvg Regione Autonoma Friuli Venezia Giulia, «Piani Regolatori Generali,» [Online]. Available: https://eaglefvg.regione.fvg.it/prg/pianiregolatori.aspx.</w:t>
                    </w:r>
                  </w:p>
                </w:tc>
              </w:tr>
              <w:tr w:rsidR="008D7904" w14:paraId="38899B8C" w14:textId="77777777">
                <w:trPr>
                  <w:divId w:val="617839469"/>
                  <w:tblCellSpacing w:w="15" w:type="dxa"/>
                </w:trPr>
                <w:tc>
                  <w:tcPr>
                    <w:tcW w:w="50" w:type="pct"/>
                    <w:hideMark/>
                  </w:tcPr>
                  <w:p w14:paraId="313CCEB8" w14:textId="77777777" w:rsidR="008D7904" w:rsidRDefault="008D7904">
                    <w:pPr>
                      <w:pStyle w:val="Bibliografia"/>
                      <w:rPr>
                        <w:noProof/>
                      </w:rPr>
                    </w:pPr>
                    <w:r>
                      <w:rPr>
                        <w:noProof/>
                      </w:rPr>
                      <w:t xml:space="preserve">[31] </w:t>
                    </w:r>
                  </w:p>
                </w:tc>
                <w:tc>
                  <w:tcPr>
                    <w:tcW w:w="0" w:type="auto"/>
                    <w:hideMark/>
                  </w:tcPr>
                  <w:p w14:paraId="04D3484E" w14:textId="77777777" w:rsidR="008D7904" w:rsidRDefault="008D7904">
                    <w:pPr>
                      <w:pStyle w:val="Bibliografia"/>
                      <w:rPr>
                        <w:noProof/>
                      </w:rPr>
                    </w:pPr>
                    <w:r>
                      <w:rPr>
                        <w:noProof/>
                      </w:rPr>
                      <w:t xml:space="preserve">Parlamento Europeo e Consiglio dell'Unione Europea, </w:t>
                    </w:r>
                    <w:r>
                      <w:rPr>
                        <w:i/>
                        <w:iCs w:val="0"/>
                        <w:noProof/>
                      </w:rPr>
                      <w:t xml:space="preserve">REGOLAMENTO (UE) 2023/1804 DEL PARLAMENTO EUROPEO E DEL CONSIGLIO, </w:t>
                    </w:r>
                    <w:r>
                      <w:rPr>
                        <w:noProof/>
                      </w:rPr>
                      <w:t xml:space="preserve">2023. </w:t>
                    </w:r>
                  </w:p>
                </w:tc>
              </w:tr>
              <w:tr w:rsidR="008D7904" w14:paraId="1721413F" w14:textId="77777777">
                <w:trPr>
                  <w:divId w:val="617839469"/>
                  <w:tblCellSpacing w:w="15" w:type="dxa"/>
                </w:trPr>
                <w:tc>
                  <w:tcPr>
                    <w:tcW w:w="50" w:type="pct"/>
                    <w:hideMark/>
                  </w:tcPr>
                  <w:p w14:paraId="12212114" w14:textId="77777777" w:rsidR="008D7904" w:rsidRDefault="008D7904">
                    <w:pPr>
                      <w:pStyle w:val="Bibliografia"/>
                      <w:rPr>
                        <w:noProof/>
                      </w:rPr>
                    </w:pPr>
                    <w:r>
                      <w:rPr>
                        <w:noProof/>
                      </w:rPr>
                      <w:t xml:space="preserve">[32] </w:t>
                    </w:r>
                  </w:p>
                </w:tc>
                <w:tc>
                  <w:tcPr>
                    <w:tcW w:w="0" w:type="auto"/>
                    <w:hideMark/>
                  </w:tcPr>
                  <w:p w14:paraId="1BFEC03A" w14:textId="77777777" w:rsidR="008D7904" w:rsidRDefault="008D7904">
                    <w:pPr>
                      <w:pStyle w:val="Bibliografia"/>
                      <w:rPr>
                        <w:noProof/>
                      </w:rPr>
                    </w:pPr>
                    <w:r>
                      <w:rPr>
                        <w:noProof/>
                      </w:rPr>
                      <w:t>CEI - Comitato Elettrotecnico Italiano, «CEI EN 61851-1,» [Online]. Available: https://mycatalogo.ceinorme.it/cei/item/0000011946?sso=y.</w:t>
                    </w:r>
                  </w:p>
                </w:tc>
              </w:tr>
              <w:tr w:rsidR="008D7904" w14:paraId="4CF04FFE" w14:textId="77777777">
                <w:trPr>
                  <w:divId w:val="617839469"/>
                  <w:tblCellSpacing w:w="15" w:type="dxa"/>
                </w:trPr>
                <w:tc>
                  <w:tcPr>
                    <w:tcW w:w="50" w:type="pct"/>
                    <w:hideMark/>
                  </w:tcPr>
                  <w:p w14:paraId="71D0CEFF" w14:textId="77777777" w:rsidR="008D7904" w:rsidRDefault="008D7904">
                    <w:pPr>
                      <w:pStyle w:val="Bibliografia"/>
                      <w:rPr>
                        <w:noProof/>
                      </w:rPr>
                    </w:pPr>
                    <w:r>
                      <w:rPr>
                        <w:noProof/>
                      </w:rPr>
                      <w:t xml:space="preserve">[33] </w:t>
                    </w:r>
                  </w:p>
                </w:tc>
                <w:tc>
                  <w:tcPr>
                    <w:tcW w:w="0" w:type="auto"/>
                    <w:hideMark/>
                  </w:tcPr>
                  <w:p w14:paraId="72A206EB" w14:textId="77777777" w:rsidR="008D7904" w:rsidRDefault="008D7904">
                    <w:pPr>
                      <w:pStyle w:val="Bibliografia"/>
                      <w:rPr>
                        <w:noProof/>
                      </w:rPr>
                    </w:pPr>
                    <w:r>
                      <w:rPr>
                        <w:noProof/>
                      </w:rPr>
                      <w:t>Ministero dell'Interno, «DECRETO 23 ottobre 2018,» 2018.</w:t>
                    </w:r>
                  </w:p>
                </w:tc>
              </w:tr>
              <w:tr w:rsidR="008D7904" w14:paraId="7ACF3EF6" w14:textId="77777777">
                <w:trPr>
                  <w:divId w:val="617839469"/>
                  <w:tblCellSpacing w:w="15" w:type="dxa"/>
                </w:trPr>
                <w:tc>
                  <w:tcPr>
                    <w:tcW w:w="50" w:type="pct"/>
                    <w:hideMark/>
                  </w:tcPr>
                  <w:p w14:paraId="3A39AF65" w14:textId="77777777" w:rsidR="008D7904" w:rsidRDefault="008D7904">
                    <w:pPr>
                      <w:pStyle w:val="Bibliografia"/>
                      <w:rPr>
                        <w:noProof/>
                      </w:rPr>
                    </w:pPr>
                    <w:r>
                      <w:rPr>
                        <w:noProof/>
                      </w:rPr>
                      <w:t xml:space="preserve">[34] </w:t>
                    </w:r>
                  </w:p>
                </w:tc>
                <w:tc>
                  <w:tcPr>
                    <w:tcW w:w="0" w:type="auto"/>
                    <w:hideMark/>
                  </w:tcPr>
                  <w:p w14:paraId="520A93A7" w14:textId="77777777" w:rsidR="008D7904" w:rsidRDefault="008D7904">
                    <w:pPr>
                      <w:pStyle w:val="Bibliografia"/>
                      <w:rPr>
                        <w:noProof/>
                      </w:rPr>
                    </w:pPr>
                    <w:r>
                      <w:rPr>
                        <w:noProof/>
                      </w:rPr>
                      <w:t>UNI - Ente Italiano di Normazione, «UNI ISO 19880-1:2020,» [Online]. Available: https://store.uni.com/uni-iso-19880-1-2020.</w:t>
                    </w:r>
                  </w:p>
                </w:tc>
              </w:tr>
              <w:tr w:rsidR="008D7904" w14:paraId="3C417A19" w14:textId="77777777">
                <w:trPr>
                  <w:divId w:val="617839469"/>
                  <w:tblCellSpacing w:w="15" w:type="dxa"/>
                </w:trPr>
                <w:tc>
                  <w:tcPr>
                    <w:tcW w:w="50" w:type="pct"/>
                    <w:hideMark/>
                  </w:tcPr>
                  <w:p w14:paraId="7BAF66A3" w14:textId="77777777" w:rsidR="008D7904" w:rsidRDefault="008D7904">
                    <w:pPr>
                      <w:pStyle w:val="Bibliografia"/>
                      <w:rPr>
                        <w:noProof/>
                      </w:rPr>
                    </w:pPr>
                    <w:r>
                      <w:rPr>
                        <w:noProof/>
                      </w:rPr>
                      <w:t xml:space="preserve">[35] </w:t>
                    </w:r>
                  </w:p>
                </w:tc>
                <w:tc>
                  <w:tcPr>
                    <w:tcW w:w="0" w:type="auto"/>
                    <w:hideMark/>
                  </w:tcPr>
                  <w:p w14:paraId="13018469" w14:textId="77777777" w:rsidR="008D7904" w:rsidRDefault="008D7904">
                    <w:pPr>
                      <w:pStyle w:val="Bibliografia"/>
                      <w:rPr>
                        <w:noProof/>
                      </w:rPr>
                    </w:pPr>
                    <w:r>
                      <w:rPr>
                        <w:noProof/>
                      </w:rPr>
                      <w:t xml:space="preserve">J. O. Mohammed Mohammed, «Origin-destination inference in public transportation systems: A comprehensive review,» </w:t>
                    </w:r>
                    <w:r>
                      <w:rPr>
                        <w:i/>
                        <w:iCs w:val="0"/>
                        <w:noProof/>
                      </w:rPr>
                      <w:t xml:space="preserve">International Journal of Transportation Science and Technology, </w:t>
                    </w:r>
                    <w:r>
                      <w:rPr>
                        <w:noProof/>
                      </w:rPr>
                      <w:t xml:space="preserve">2023. </w:t>
                    </w:r>
                  </w:p>
                </w:tc>
              </w:tr>
              <w:tr w:rsidR="008D7904" w14:paraId="06C3628A" w14:textId="77777777">
                <w:trPr>
                  <w:divId w:val="617839469"/>
                  <w:tblCellSpacing w:w="15" w:type="dxa"/>
                </w:trPr>
                <w:tc>
                  <w:tcPr>
                    <w:tcW w:w="50" w:type="pct"/>
                    <w:hideMark/>
                  </w:tcPr>
                  <w:p w14:paraId="36F5F5A3" w14:textId="77777777" w:rsidR="008D7904" w:rsidRDefault="008D7904">
                    <w:pPr>
                      <w:pStyle w:val="Bibliografia"/>
                      <w:rPr>
                        <w:noProof/>
                      </w:rPr>
                    </w:pPr>
                    <w:r>
                      <w:rPr>
                        <w:noProof/>
                      </w:rPr>
                      <w:t xml:space="preserve">[36] </w:t>
                    </w:r>
                  </w:p>
                </w:tc>
                <w:tc>
                  <w:tcPr>
                    <w:tcW w:w="0" w:type="auto"/>
                    <w:hideMark/>
                  </w:tcPr>
                  <w:p w14:paraId="14DD3EEA" w14:textId="77777777" w:rsidR="008D7904" w:rsidRDefault="008D7904">
                    <w:pPr>
                      <w:pStyle w:val="Bibliografia"/>
                      <w:rPr>
                        <w:noProof/>
                      </w:rPr>
                    </w:pPr>
                    <w:r>
                      <w:rPr>
                        <w:noProof/>
                      </w:rPr>
                      <w:t xml:space="preserve">ISTAT - Istituto Nazionale di Statistica, </w:t>
                    </w:r>
                    <w:r>
                      <w:rPr>
                        <w:i/>
                        <w:iCs w:val="0"/>
                        <w:noProof/>
                      </w:rPr>
                      <w:t xml:space="preserve">Matrice di pendolarismo per lavoro, dati 2021: Definizione, </w:t>
                    </w:r>
                    <w:r>
                      <w:rPr>
                        <w:noProof/>
                      </w:rPr>
                      <w:t xml:space="preserve">2021. </w:t>
                    </w:r>
                  </w:p>
                </w:tc>
              </w:tr>
              <w:tr w:rsidR="008D7904" w14:paraId="6113211C" w14:textId="77777777">
                <w:trPr>
                  <w:divId w:val="617839469"/>
                  <w:tblCellSpacing w:w="15" w:type="dxa"/>
                </w:trPr>
                <w:tc>
                  <w:tcPr>
                    <w:tcW w:w="50" w:type="pct"/>
                    <w:hideMark/>
                  </w:tcPr>
                  <w:p w14:paraId="10A7FF35" w14:textId="77777777" w:rsidR="008D7904" w:rsidRDefault="008D7904">
                    <w:pPr>
                      <w:pStyle w:val="Bibliografia"/>
                      <w:rPr>
                        <w:noProof/>
                      </w:rPr>
                    </w:pPr>
                    <w:r>
                      <w:rPr>
                        <w:noProof/>
                      </w:rPr>
                      <w:t xml:space="preserve">[37] </w:t>
                    </w:r>
                  </w:p>
                </w:tc>
                <w:tc>
                  <w:tcPr>
                    <w:tcW w:w="0" w:type="auto"/>
                    <w:hideMark/>
                  </w:tcPr>
                  <w:p w14:paraId="17F65B24" w14:textId="77777777" w:rsidR="008D7904" w:rsidRDefault="008D7904">
                    <w:pPr>
                      <w:pStyle w:val="Bibliografia"/>
                      <w:rPr>
                        <w:noProof/>
                      </w:rPr>
                    </w:pPr>
                    <w:r>
                      <w:rPr>
                        <w:noProof/>
                      </w:rPr>
                      <w:t xml:space="preserve">ACI - Automobile Club d'Italia, </w:t>
                    </w:r>
                    <w:r>
                      <w:rPr>
                        <w:i/>
                        <w:iCs w:val="0"/>
                        <w:noProof/>
                      </w:rPr>
                      <w:t xml:space="preserve">Autoritratto / Open Parco Veicoli: Parco autovetture comunale, </w:t>
                    </w:r>
                    <w:r>
                      <w:rPr>
                        <w:noProof/>
                      </w:rPr>
                      <w:t xml:space="preserve">2024. </w:t>
                    </w:r>
                  </w:p>
                </w:tc>
              </w:tr>
              <w:tr w:rsidR="008D7904" w14:paraId="58DAFFEF" w14:textId="77777777">
                <w:trPr>
                  <w:divId w:val="617839469"/>
                  <w:tblCellSpacing w:w="15" w:type="dxa"/>
                </w:trPr>
                <w:tc>
                  <w:tcPr>
                    <w:tcW w:w="50" w:type="pct"/>
                    <w:hideMark/>
                  </w:tcPr>
                  <w:p w14:paraId="35EA0F61" w14:textId="77777777" w:rsidR="008D7904" w:rsidRDefault="008D7904">
                    <w:pPr>
                      <w:pStyle w:val="Bibliografia"/>
                      <w:rPr>
                        <w:noProof/>
                      </w:rPr>
                    </w:pPr>
                    <w:r>
                      <w:rPr>
                        <w:noProof/>
                      </w:rPr>
                      <w:t xml:space="preserve">[38] </w:t>
                    </w:r>
                  </w:p>
                </w:tc>
                <w:tc>
                  <w:tcPr>
                    <w:tcW w:w="0" w:type="auto"/>
                    <w:hideMark/>
                  </w:tcPr>
                  <w:p w14:paraId="6F5CDEC4" w14:textId="77777777" w:rsidR="008D7904" w:rsidRDefault="008D7904">
                    <w:pPr>
                      <w:pStyle w:val="Bibliografia"/>
                      <w:rPr>
                        <w:noProof/>
                      </w:rPr>
                    </w:pPr>
                    <w:r>
                      <w:rPr>
                        <w:noProof/>
                      </w:rPr>
                      <w:t xml:space="preserve">ISTAT - Istituto Nazionale di Statistica, </w:t>
                    </w:r>
                    <w:r>
                      <w:rPr>
                        <w:i/>
                        <w:iCs w:val="0"/>
                        <w:noProof/>
                      </w:rPr>
                      <w:t>ISTAT / Regione FVG — Movimento dei clienti negli esercizi ricettivi.</w:t>
                    </w:r>
                    <w:r>
                      <w:rPr>
                        <w:noProof/>
                      </w:rPr>
                      <w:t xml:space="preserve"> </w:t>
                    </w:r>
                  </w:p>
                </w:tc>
              </w:tr>
              <w:tr w:rsidR="008D7904" w14:paraId="6F2F8B9C" w14:textId="77777777">
                <w:trPr>
                  <w:divId w:val="617839469"/>
                  <w:tblCellSpacing w:w="15" w:type="dxa"/>
                </w:trPr>
                <w:tc>
                  <w:tcPr>
                    <w:tcW w:w="50" w:type="pct"/>
                    <w:hideMark/>
                  </w:tcPr>
                  <w:p w14:paraId="6499620B" w14:textId="77777777" w:rsidR="008D7904" w:rsidRDefault="008D7904">
                    <w:pPr>
                      <w:pStyle w:val="Bibliografia"/>
                      <w:rPr>
                        <w:noProof/>
                      </w:rPr>
                    </w:pPr>
                    <w:r>
                      <w:rPr>
                        <w:noProof/>
                      </w:rPr>
                      <w:t xml:space="preserve">[39] </w:t>
                    </w:r>
                  </w:p>
                </w:tc>
                <w:tc>
                  <w:tcPr>
                    <w:tcW w:w="0" w:type="auto"/>
                    <w:hideMark/>
                  </w:tcPr>
                  <w:p w14:paraId="6B532140" w14:textId="77777777" w:rsidR="008D7904" w:rsidRDefault="008D7904">
                    <w:pPr>
                      <w:pStyle w:val="Bibliografia"/>
                      <w:rPr>
                        <w:noProof/>
                      </w:rPr>
                    </w:pPr>
                    <w:r>
                      <w:rPr>
                        <w:noProof/>
                      </w:rPr>
                      <w:t xml:space="preserve">Regione Autonoma Friuli Venezia Giulia — Osservatorio regionale, </w:t>
                    </w:r>
                    <w:r>
                      <w:rPr>
                        <w:i/>
                        <w:iCs w:val="0"/>
                        <w:noProof/>
                      </w:rPr>
                      <w:t>Dati comunali sulle strutture commerciali e superficie.</w:t>
                    </w:r>
                    <w:r>
                      <w:rPr>
                        <w:noProof/>
                      </w:rPr>
                      <w:t xml:space="preserve"> </w:t>
                    </w:r>
                  </w:p>
                </w:tc>
              </w:tr>
              <w:tr w:rsidR="008D7904" w14:paraId="62CE13B3" w14:textId="77777777">
                <w:trPr>
                  <w:divId w:val="617839469"/>
                  <w:tblCellSpacing w:w="15" w:type="dxa"/>
                </w:trPr>
                <w:tc>
                  <w:tcPr>
                    <w:tcW w:w="50" w:type="pct"/>
                    <w:hideMark/>
                  </w:tcPr>
                  <w:p w14:paraId="0E0BC727" w14:textId="77777777" w:rsidR="008D7904" w:rsidRDefault="008D7904">
                    <w:pPr>
                      <w:pStyle w:val="Bibliografia"/>
                      <w:rPr>
                        <w:noProof/>
                      </w:rPr>
                    </w:pPr>
                    <w:r>
                      <w:rPr>
                        <w:noProof/>
                      </w:rPr>
                      <w:t xml:space="preserve">[40] </w:t>
                    </w:r>
                  </w:p>
                </w:tc>
                <w:tc>
                  <w:tcPr>
                    <w:tcW w:w="0" w:type="auto"/>
                    <w:hideMark/>
                  </w:tcPr>
                  <w:p w14:paraId="74E3D0CC" w14:textId="77777777" w:rsidR="008D7904" w:rsidRDefault="008D7904">
                    <w:pPr>
                      <w:pStyle w:val="Bibliografia"/>
                      <w:rPr>
                        <w:noProof/>
                      </w:rPr>
                    </w:pPr>
                    <w:r>
                      <w:rPr>
                        <w:noProof/>
                      </w:rPr>
                      <w:t xml:space="preserve">ANAS - Ministero delle Infrastrutture e dei Trasporti, </w:t>
                    </w:r>
                    <w:r>
                      <w:rPr>
                        <w:i/>
                        <w:iCs w:val="0"/>
                        <w:noProof/>
                      </w:rPr>
                      <w:t>Traffico Giornaliero Medio sulle sezioni della rete di competenza.</w:t>
                    </w:r>
                    <w:r>
                      <w:rPr>
                        <w:noProof/>
                      </w:rPr>
                      <w:t xml:space="preserve"> </w:t>
                    </w:r>
                  </w:p>
                </w:tc>
              </w:tr>
              <w:tr w:rsidR="008D7904" w14:paraId="53D14F9F" w14:textId="77777777">
                <w:trPr>
                  <w:divId w:val="617839469"/>
                  <w:tblCellSpacing w:w="15" w:type="dxa"/>
                </w:trPr>
                <w:tc>
                  <w:tcPr>
                    <w:tcW w:w="50" w:type="pct"/>
                    <w:hideMark/>
                  </w:tcPr>
                  <w:p w14:paraId="16D6A1F5" w14:textId="77777777" w:rsidR="008D7904" w:rsidRDefault="008D7904">
                    <w:pPr>
                      <w:pStyle w:val="Bibliografia"/>
                      <w:rPr>
                        <w:noProof/>
                      </w:rPr>
                    </w:pPr>
                    <w:r>
                      <w:rPr>
                        <w:noProof/>
                      </w:rPr>
                      <w:t xml:space="preserve">[41] </w:t>
                    </w:r>
                  </w:p>
                </w:tc>
                <w:tc>
                  <w:tcPr>
                    <w:tcW w:w="0" w:type="auto"/>
                    <w:hideMark/>
                  </w:tcPr>
                  <w:p w14:paraId="430FE502" w14:textId="77777777" w:rsidR="008D7904" w:rsidRDefault="008D7904">
                    <w:pPr>
                      <w:pStyle w:val="Bibliografia"/>
                      <w:rPr>
                        <w:noProof/>
                      </w:rPr>
                    </w:pPr>
                    <w:r>
                      <w:rPr>
                        <w:noProof/>
                      </w:rPr>
                      <w:t xml:space="preserve">OpenStreetMap contributors, </w:t>
                    </w:r>
                    <w:r>
                      <w:rPr>
                        <w:i/>
                        <w:iCs w:val="0"/>
                        <w:noProof/>
                      </w:rPr>
                      <w:t>Dati geografici e attributi stradali..</w:t>
                    </w:r>
                    <w:r>
                      <w:rPr>
                        <w:noProof/>
                      </w:rPr>
                      <w:t xml:space="preserve"> </w:t>
                    </w:r>
                  </w:p>
                </w:tc>
              </w:tr>
              <w:tr w:rsidR="008D7904" w14:paraId="209703F1" w14:textId="77777777">
                <w:trPr>
                  <w:divId w:val="617839469"/>
                  <w:tblCellSpacing w:w="15" w:type="dxa"/>
                </w:trPr>
                <w:tc>
                  <w:tcPr>
                    <w:tcW w:w="50" w:type="pct"/>
                    <w:hideMark/>
                  </w:tcPr>
                  <w:p w14:paraId="1FE8750F" w14:textId="77777777" w:rsidR="008D7904" w:rsidRDefault="008D7904">
                    <w:pPr>
                      <w:pStyle w:val="Bibliografia"/>
                      <w:rPr>
                        <w:noProof/>
                      </w:rPr>
                    </w:pPr>
                    <w:r>
                      <w:rPr>
                        <w:noProof/>
                      </w:rPr>
                      <w:t xml:space="preserve">[42] </w:t>
                    </w:r>
                  </w:p>
                </w:tc>
                <w:tc>
                  <w:tcPr>
                    <w:tcW w:w="0" w:type="auto"/>
                    <w:hideMark/>
                  </w:tcPr>
                  <w:p w14:paraId="33DF8250" w14:textId="77777777" w:rsidR="008D7904" w:rsidRDefault="008D7904">
                    <w:pPr>
                      <w:pStyle w:val="Bibliografia"/>
                      <w:rPr>
                        <w:noProof/>
                      </w:rPr>
                    </w:pPr>
                    <w:r>
                      <w:rPr>
                        <w:noProof/>
                      </w:rPr>
                      <w:t xml:space="preserve">ISTAT - Istituto Nazionale di Statistica, </w:t>
                    </w:r>
                    <w:r>
                      <w:rPr>
                        <w:i/>
                        <w:iCs w:val="0"/>
                        <w:noProof/>
                      </w:rPr>
                      <w:t xml:space="preserve">ISTAT (2020) — Dati statistici per il territorio: Regione Friuli-, </w:t>
                    </w:r>
                    <w:r>
                      <w:rPr>
                        <w:noProof/>
                      </w:rPr>
                      <w:t xml:space="preserve">2020. </w:t>
                    </w:r>
                  </w:p>
                </w:tc>
              </w:tr>
              <w:tr w:rsidR="008D7904" w14:paraId="0627D50A" w14:textId="77777777">
                <w:trPr>
                  <w:divId w:val="617839469"/>
                  <w:tblCellSpacing w:w="15" w:type="dxa"/>
                </w:trPr>
                <w:tc>
                  <w:tcPr>
                    <w:tcW w:w="50" w:type="pct"/>
                    <w:hideMark/>
                  </w:tcPr>
                  <w:p w14:paraId="5C7EF5F6" w14:textId="77777777" w:rsidR="008D7904" w:rsidRDefault="008D7904">
                    <w:pPr>
                      <w:pStyle w:val="Bibliografia"/>
                      <w:rPr>
                        <w:noProof/>
                      </w:rPr>
                    </w:pPr>
                    <w:r>
                      <w:rPr>
                        <w:noProof/>
                      </w:rPr>
                      <w:t xml:space="preserve">[43] </w:t>
                    </w:r>
                  </w:p>
                </w:tc>
                <w:tc>
                  <w:tcPr>
                    <w:tcW w:w="0" w:type="auto"/>
                    <w:hideMark/>
                  </w:tcPr>
                  <w:p w14:paraId="0DAECE2A" w14:textId="77777777" w:rsidR="008D7904" w:rsidRDefault="008D7904">
                    <w:pPr>
                      <w:pStyle w:val="Bibliografia"/>
                      <w:rPr>
                        <w:noProof/>
                      </w:rPr>
                    </w:pPr>
                    <w:r>
                      <w:rPr>
                        <w:noProof/>
                      </w:rPr>
                      <w:t xml:space="preserve">ISTAT - Istituto Nazionale di Statistica, </w:t>
                    </w:r>
                    <w:r>
                      <w:rPr>
                        <w:i/>
                        <w:iCs w:val="0"/>
                        <w:noProof/>
                      </w:rPr>
                      <w:t xml:space="preserve">ISTAT — Piano degli spostamenti casa-lavoro, sedi romane, </w:t>
                    </w:r>
                    <w:r>
                      <w:rPr>
                        <w:noProof/>
                      </w:rPr>
                      <w:t xml:space="preserve">2022. </w:t>
                    </w:r>
                  </w:p>
                </w:tc>
              </w:tr>
              <w:tr w:rsidR="008D7904" w14:paraId="474C8415" w14:textId="77777777">
                <w:trPr>
                  <w:divId w:val="617839469"/>
                  <w:tblCellSpacing w:w="15" w:type="dxa"/>
                </w:trPr>
                <w:tc>
                  <w:tcPr>
                    <w:tcW w:w="50" w:type="pct"/>
                    <w:hideMark/>
                  </w:tcPr>
                  <w:p w14:paraId="41248174" w14:textId="77777777" w:rsidR="008D7904" w:rsidRDefault="008D7904">
                    <w:pPr>
                      <w:pStyle w:val="Bibliografia"/>
                      <w:rPr>
                        <w:noProof/>
                      </w:rPr>
                    </w:pPr>
                    <w:r>
                      <w:rPr>
                        <w:noProof/>
                      </w:rPr>
                      <w:t xml:space="preserve">[44] </w:t>
                    </w:r>
                  </w:p>
                </w:tc>
                <w:tc>
                  <w:tcPr>
                    <w:tcW w:w="0" w:type="auto"/>
                    <w:hideMark/>
                  </w:tcPr>
                  <w:p w14:paraId="3087080C" w14:textId="77777777" w:rsidR="008D7904" w:rsidRDefault="008D7904">
                    <w:pPr>
                      <w:pStyle w:val="Bibliografia"/>
                      <w:rPr>
                        <w:noProof/>
                      </w:rPr>
                    </w:pPr>
                    <w:r>
                      <w:rPr>
                        <w:noProof/>
                      </w:rPr>
                      <w:t xml:space="preserve">S. Alumur, «Network hub location problems: The state of the art,» </w:t>
                    </w:r>
                    <w:r>
                      <w:rPr>
                        <w:i/>
                        <w:iCs w:val="0"/>
                        <w:noProof/>
                      </w:rPr>
                      <w:t xml:space="preserve">European Journal of Operational Research, </w:t>
                    </w:r>
                    <w:r>
                      <w:rPr>
                        <w:noProof/>
                      </w:rPr>
                      <w:t xml:space="preserve">2008. </w:t>
                    </w:r>
                  </w:p>
                </w:tc>
              </w:tr>
              <w:tr w:rsidR="008D7904" w14:paraId="648E8F39" w14:textId="77777777">
                <w:trPr>
                  <w:divId w:val="617839469"/>
                  <w:tblCellSpacing w:w="15" w:type="dxa"/>
                </w:trPr>
                <w:tc>
                  <w:tcPr>
                    <w:tcW w:w="50" w:type="pct"/>
                    <w:hideMark/>
                  </w:tcPr>
                  <w:p w14:paraId="5D73FDA8" w14:textId="77777777" w:rsidR="008D7904" w:rsidRDefault="008D7904">
                    <w:pPr>
                      <w:pStyle w:val="Bibliografia"/>
                      <w:rPr>
                        <w:noProof/>
                      </w:rPr>
                    </w:pPr>
                    <w:r>
                      <w:rPr>
                        <w:noProof/>
                      </w:rPr>
                      <w:t xml:space="preserve">[45] </w:t>
                    </w:r>
                  </w:p>
                </w:tc>
                <w:tc>
                  <w:tcPr>
                    <w:tcW w:w="0" w:type="auto"/>
                    <w:hideMark/>
                  </w:tcPr>
                  <w:p w14:paraId="45D702AD" w14:textId="77777777" w:rsidR="008D7904" w:rsidRDefault="008D7904">
                    <w:pPr>
                      <w:pStyle w:val="Bibliografia"/>
                      <w:rPr>
                        <w:noProof/>
                      </w:rPr>
                    </w:pPr>
                    <w:r>
                      <w:rPr>
                        <w:noProof/>
                      </w:rPr>
                      <w:t xml:space="preserve">X. Luo, «Innovation diffusion in EV charging location decisions: Integrating demand &amp; supply through market dynamics,» </w:t>
                    </w:r>
                    <w:r>
                      <w:rPr>
                        <w:i/>
                        <w:iCs w:val="0"/>
                        <w:noProof/>
                      </w:rPr>
                      <w:t xml:space="preserve">Transportation Research Part C: Emerging Technologies, </w:t>
                    </w:r>
                    <w:r>
                      <w:rPr>
                        <w:noProof/>
                      </w:rPr>
                      <w:t xml:space="preserve">2024. </w:t>
                    </w:r>
                  </w:p>
                </w:tc>
              </w:tr>
              <w:tr w:rsidR="008D7904" w14:paraId="7264065F" w14:textId="77777777">
                <w:trPr>
                  <w:divId w:val="617839469"/>
                  <w:tblCellSpacing w:w="15" w:type="dxa"/>
                </w:trPr>
                <w:tc>
                  <w:tcPr>
                    <w:tcW w:w="50" w:type="pct"/>
                    <w:hideMark/>
                  </w:tcPr>
                  <w:p w14:paraId="4C195885" w14:textId="77777777" w:rsidR="008D7904" w:rsidRDefault="008D7904">
                    <w:pPr>
                      <w:pStyle w:val="Bibliografia"/>
                      <w:rPr>
                        <w:noProof/>
                      </w:rPr>
                    </w:pPr>
                    <w:r>
                      <w:rPr>
                        <w:noProof/>
                      </w:rPr>
                      <w:t xml:space="preserve">[46] </w:t>
                    </w:r>
                  </w:p>
                </w:tc>
                <w:tc>
                  <w:tcPr>
                    <w:tcW w:w="0" w:type="auto"/>
                    <w:hideMark/>
                  </w:tcPr>
                  <w:p w14:paraId="0365C5DB" w14:textId="77777777" w:rsidR="008D7904" w:rsidRDefault="008D7904">
                    <w:pPr>
                      <w:pStyle w:val="Bibliografia"/>
                      <w:rPr>
                        <w:noProof/>
                      </w:rPr>
                    </w:pPr>
                    <w:r>
                      <w:rPr>
                        <w:noProof/>
                      </w:rPr>
                      <w:t xml:space="preserve">Regione Autonoma Friuli Venezia Giulia, </w:t>
                    </w:r>
                    <w:r>
                      <w:rPr>
                        <w:i/>
                        <w:iCs w:val="0"/>
                        <w:noProof/>
                      </w:rPr>
                      <w:t xml:space="preserve">BOLLETTINO UFFICIALE - Legge regionale 21 dicembre 2012, n. 26, </w:t>
                    </w:r>
                    <w:r>
                      <w:rPr>
                        <w:noProof/>
                      </w:rPr>
                      <w:t xml:space="preserve">2012. </w:t>
                    </w:r>
                  </w:p>
                </w:tc>
              </w:tr>
              <w:tr w:rsidR="008D7904" w14:paraId="27791746" w14:textId="77777777">
                <w:trPr>
                  <w:divId w:val="617839469"/>
                  <w:tblCellSpacing w:w="15" w:type="dxa"/>
                </w:trPr>
                <w:tc>
                  <w:tcPr>
                    <w:tcW w:w="50" w:type="pct"/>
                    <w:hideMark/>
                  </w:tcPr>
                  <w:p w14:paraId="025563F9" w14:textId="77777777" w:rsidR="008D7904" w:rsidRDefault="008D7904">
                    <w:pPr>
                      <w:pStyle w:val="Bibliografia"/>
                      <w:rPr>
                        <w:noProof/>
                      </w:rPr>
                    </w:pPr>
                    <w:r>
                      <w:rPr>
                        <w:noProof/>
                      </w:rPr>
                      <w:t xml:space="preserve">[47] </w:t>
                    </w:r>
                  </w:p>
                </w:tc>
                <w:tc>
                  <w:tcPr>
                    <w:tcW w:w="0" w:type="auto"/>
                    <w:hideMark/>
                  </w:tcPr>
                  <w:p w14:paraId="20E90BDE" w14:textId="77777777" w:rsidR="008D7904" w:rsidRDefault="008D7904">
                    <w:pPr>
                      <w:pStyle w:val="Bibliografia"/>
                      <w:rPr>
                        <w:noProof/>
                      </w:rPr>
                    </w:pPr>
                    <w:r>
                      <w:rPr>
                        <w:noProof/>
                      </w:rPr>
                      <w:t xml:space="preserve">J. F. Campbell, «Integer programming formulations,» </w:t>
                    </w:r>
                    <w:r>
                      <w:rPr>
                        <w:i/>
                        <w:iCs w:val="0"/>
                        <w:noProof/>
                      </w:rPr>
                      <w:t xml:space="preserve">European Journal of Operational Research, </w:t>
                    </w:r>
                    <w:r>
                      <w:rPr>
                        <w:noProof/>
                      </w:rPr>
                      <w:t xml:space="preserve">1992. </w:t>
                    </w:r>
                  </w:p>
                </w:tc>
              </w:tr>
              <w:tr w:rsidR="008D7904" w14:paraId="114E72B9" w14:textId="77777777">
                <w:trPr>
                  <w:divId w:val="617839469"/>
                  <w:tblCellSpacing w:w="15" w:type="dxa"/>
                </w:trPr>
                <w:tc>
                  <w:tcPr>
                    <w:tcW w:w="50" w:type="pct"/>
                    <w:hideMark/>
                  </w:tcPr>
                  <w:p w14:paraId="6B7E97D1" w14:textId="77777777" w:rsidR="008D7904" w:rsidRDefault="008D7904">
                    <w:pPr>
                      <w:pStyle w:val="Bibliografia"/>
                      <w:rPr>
                        <w:noProof/>
                      </w:rPr>
                    </w:pPr>
                    <w:r>
                      <w:rPr>
                        <w:noProof/>
                      </w:rPr>
                      <w:t xml:space="preserve">[48] </w:t>
                    </w:r>
                  </w:p>
                </w:tc>
                <w:tc>
                  <w:tcPr>
                    <w:tcW w:w="0" w:type="auto"/>
                    <w:hideMark/>
                  </w:tcPr>
                  <w:p w14:paraId="72932063" w14:textId="77777777" w:rsidR="008D7904" w:rsidRDefault="008D7904">
                    <w:pPr>
                      <w:pStyle w:val="Bibliografia"/>
                      <w:rPr>
                        <w:noProof/>
                      </w:rPr>
                    </w:pPr>
                    <w:r>
                      <w:rPr>
                        <w:noProof/>
                      </w:rPr>
                      <w:t xml:space="preserve">D. Speth, «Synthetic European road freight trasnport flow data,» </w:t>
                    </w:r>
                    <w:r>
                      <w:rPr>
                        <w:i/>
                        <w:iCs w:val="0"/>
                        <w:noProof/>
                      </w:rPr>
                      <w:t xml:space="preserve">Elsevier, </w:t>
                    </w:r>
                    <w:r>
                      <w:rPr>
                        <w:noProof/>
                      </w:rPr>
                      <w:t xml:space="preserve">2022. </w:t>
                    </w:r>
                  </w:p>
                </w:tc>
              </w:tr>
            </w:tbl>
            <w:p w14:paraId="0993E752" w14:textId="77777777" w:rsidR="008D7904" w:rsidRDefault="008D7904">
              <w:pPr>
                <w:divId w:val="617839469"/>
                <w:rPr>
                  <w:noProof/>
                </w:rPr>
              </w:pPr>
            </w:p>
            <w:p w14:paraId="31BCE058" w14:textId="191EFF1D" w:rsidR="00B8462C" w:rsidRDefault="00B8462C" w:rsidP="00B8462C">
              <w:r>
                <w:rPr>
                  <w:b/>
                  <w:bCs/>
                </w:rPr>
                <w:fldChar w:fldCharType="end"/>
              </w:r>
            </w:p>
          </w:sdtContent>
        </w:sdt>
      </w:sdtContent>
    </w:sdt>
    <w:p w14:paraId="58CC28A6" w14:textId="77777777" w:rsidR="00B8462C" w:rsidRPr="00281B20" w:rsidRDefault="00B8462C" w:rsidP="00B8462C"/>
    <w:sectPr w:rsidR="00B8462C" w:rsidRPr="00281B20" w:rsidSect="00F43BD3">
      <w:headerReference w:type="default" r:id="rId28"/>
      <w:footerReference w:type="default" r:id="rId29"/>
      <w:pgSz w:w="11906" w:h="16838"/>
      <w:pgMar w:top="1701" w:right="1134" w:bottom="1843" w:left="1134" w:header="708" w:footer="10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Linda Borgato" w:date="2026-09-28T17:50:00Z" w:initials="LB">
    <w:p w14:paraId="15961D0A" w14:textId="77777777" w:rsidR="003D53E7" w:rsidRDefault="003D53E7" w:rsidP="003D53E7">
      <w:pPr>
        <w:pStyle w:val="Testocommento"/>
        <w:jc w:val="left"/>
      </w:pPr>
      <w:r>
        <w:rPr>
          <w:rStyle w:val="Rimandocommento"/>
        </w:rPr>
        <w:annotationRef/>
      </w:r>
      <w:r>
        <w:t>Capire assieme ad @Andrea cosa significa</w:t>
      </w:r>
    </w:p>
  </w:comment>
  <w:comment w:id="24" w:author="Linda Borgato" w:date="2026-09-28T17:52:00Z" w:initials="LB">
    <w:p w14:paraId="4CB912F8" w14:textId="77777777" w:rsidR="003D53E7" w:rsidRDefault="003D53E7" w:rsidP="003D53E7">
      <w:pPr>
        <w:pStyle w:val="Testocommento"/>
        <w:jc w:val="left"/>
      </w:pPr>
      <w:r>
        <w:rPr>
          <w:rStyle w:val="Rimandocommento"/>
        </w:rPr>
        <w:annotationRef/>
      </w:r>
      <w:r>
        <w:rPr>
          <w:b/>
          <w:bCs/>
          <w:i/>
        </w:rPr>
        <w:t xml:space="preserve">NON E’ IL CASO DI CONSIDERARE I SITI DI PRODUZIONE FER UTILIZZABILI AI FINI DELL’AUTOCONSUMO PER LA MOBILITA’ ELETTRICA/PRODUZIONE DI IDROGENO/ ATTIVITA’ PRODUTTIVE ? OVVERO, IN CHIAVE PROGRAMMATICA, SAREBBE FORSE OPPORTUNO PREVEDERE IL SUPPORTO </w:t>
      </w:r>
      <w:r>
        <w:rPr>
          <w:b/>
          <w:bCs/>
          <w:i/>
          <w:u w:val="single"/>
        </w:rPr>
        <w:t>PRINCIPALMENTE OFF GRID</w:t>
      </w:r>
      <w:r>
        <w:rPr>
          <w:b/>
          <w:bCs/>
          <w:i/>
        </w:rPr>
        <w:t xml:space="preserve"> ALLA MOBILITA’ ELETTRICA/IDROGENO E ALL’AUTOCONSUMO PER ATTIVITA’ PRODUTTIVE</w:t>
      </w:r>
    </w:p>
  </w:comment>
  <w:comment w:id="27" w:author="Linda Borgato" w:date="2026-09-28T17:52:00Z" w:initials="LB">
    <w:p w14:paraId="3A56EAE1" w14:textId="77777777" w:rsidR="003D53E7" w:rsidRDefault="003D53E7" w:rsidP="003D53E7">
      <w:pPr>
        <w:pStyle w:val="Testocommento"/>
        <w:jc w:val="left"/>
      </w:pPr>
      <w:r>
        <w:rPr>
          <w:rStyle w:val="Rimandocommento"/>
        </w:rPr>
        <w:annotationRef/>
      </w:r>
      <w:r>
        <w:rPr>
          <w:b/>
          <w:bCs/>
        </w:rPr>
        <w:t>E ANCHE ALIMENTAZIONE DA FER UBICATE PRESSO HUB ENERGETICI ?</w:t>
      </w:r>
    </w:p>
  </w:comment>
  <w:comment w:id="28" w:author="Linda Borgato" w:date="2026-09-28T17:52:00Z" w:initials="LB">
    <w:p w14:paraId="6BA7D4D1" w14:textId="77777777" w:rsidR="003D53E7" w:rsidRDefault="003D53E7" w:rsidP="003D53E7">
      <w:pPr>
        <w:pStyle w:val="Testocommento"/>
        <w:jc w:val="left"/>
      </w:pPr>
      <w:r>
        <w:rPr>
          <w:rStyle w:val="Rimandocommento"/>
        </w:rPr>
        <w:annotationRef/>
      </w:r>
      <w:r>
        <w:rPr>
          <w:b/>
          <w:bCs/>
          <w:i/>
        </w:rPr>
        <w:t>COME GIA’ OSSERVATO, SAREBBE OPPORTUNO CONSIDERARE ANCHE L’APPORTO DIRETTO OFF GRID DELLE FER</w:t>
      </w:r>
    </w:p>
  </w:comment>
  <w:comment w:id="29" w:author="Linda Borgato" w:date="2026-09-28T17:52:00Z" w:initials="LB">
    <w:p w14:paraId="260C6942" w14:textId="77777777" w:rsidR="003D53E7" w:rsidRDefault="003D53E7" w:rsidP="003D53E7">
      <w:pPr>
        <w:pStyle w:val="Testocommento"/>
        <w:jc w:val="left"/>
      </w:pPr>
      <w:r>
        <w:rPr>
          <w:rStyle w:val="Rimandocommento"/>
        </w:rPr>
        <w:annotationRef/>
      </w:r>
      <w:r>
        <w:rPr>
          <w:b/>
          <w:bCs/>
          <w:i/>
        </w:rPr>
        <w:t>COME E’ NOTO LA FATTIBILITA’ DELLA CONNESSIONE DELLE FER  E’ CONDIZIONATA DA FATTORI NON PROGRAMMABILI DALLA REGIONE. ANCHE PER QUESTO DOVREBBE ESSERE CONSIDERATA L’IPOTESI NON ESCLUSIVA MA RILEVANTE DI AUTOCONSUMO OFF GRID</w:t>
      </w:r>
    </w:p>
  </w:comment>
  <w:comment w:id="31" w:author="Linda Borgato" w:date="2026-09-28T17:53:00Z" w:initials="LB">
    <w:p w14:paraId="79228C87" w14:textId="77777777" w:rsidR="003D53E7" w:rsidRDefault="003D53E7" w:rsidP="003D53E7">
      <w:pPr>
        <w:pStyle w:val="Testocommento"/>
        <w:jc w:val="left"/>
      </w:pPr>
      <w:r>
        <w:rPr>
          <w:rStyle w:val="Rimandocommento"/>
        </w:rPr>
        <w:annotationRef/>
      </w:r>
      <w:r>
        <w:rPr>
          <w:i/>
          <w:lang w:val="es-ES"/>
        </w:rPr>
        <w:t>CAPACITA’ FER x AUTOCONSUMO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961D0A" w15:done="0"/>
  <w15:commentEx w15:paraId="4CB912F8" w15:done="0"/>
  <w15:commentEx w15:paraId="3A56EAE1" w15:done="0"/>
  <w15:commentEx w15:paraId="6BA7D4D1" w15:done="0"/>
  <w15:commentEx w15:paraId="260C6942" w15:done="0"/>
  <w15:commentEx w15:paraId="79228C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A63D9A" w16cex:dateUtc="2026-09-28T15:50:00Z"/>
  <w16cex:commentExtensible w16cex:durableId="0F7E73EE" w16cex:dateUtc="2026-09-28T15:52:00Z"/>
  <w16cex:commentExtensible w16cex:durableId="53E011FF" w16cex:dateUtc="2026-09-28T15:52:00Z"/>
  <w16cex:commentExtensible w16cex:durableId="733EDCF0" w16cex:dateUtc="2026-09-28T15:52:00Z"/>
  <w16cex:commentExtensible w16cex:durableId="66AB3092" w16cex:dateUtc="2026-09-28T15:52:00Z"/>
  <w16cex:commentExtensible w16cex:durableId="31214E9F" w16cex:dateUtc="2026-09-28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961D0A" w16cid:durableId="76A63D9A"/>
  <w16cid:commentId w16cid:paraId="4CB912F8" w16cid:durableId="0F7E73EE"/>
  <w16cid:commentId w16cid:paraId="3A56EAE1" w16cid:durableId="53E011FF"/>
  <w16cid:commentId w16cid:paraId="6BA7D4D1" w16cid:durableId="733EDCF0"/>
  <w16cid:commentId w16cid:paraId="260C6942" w16cid:durableId="66AB3092"/>
  <w16cid:commentId w16cid:paraId="79228C87" w16cid:durableId="31214E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AD123" w14:textId="77777777" w:rsidR="001B6008" w:rsidRDefault="001B6008" w:rsidP="00923DA6">
      <w:r>
        <w:separator/>
      </w:r>
    </w:p>
  </w:endnote>
  <w:endnote w:type="continuationSeparator" w:id="0">
    <w:p w14:paraId="271AC801" w14:textId="77777777" w:rsidR="001B6008" w:rsidRDefault="001B6008" w:rsidP="00923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8" w:type="dxa"/>
      <w:tblLayout w:type="fixed"/>
      <w:tblCellMar>
        <w:left w:w="56" w:type="dxa"/>
        <w:right w:w="56" w:type="dxa"/>
      </w:tblCellMar>
      <w:tblLook w:val="04A0" w:firstRow="1" w:lastRow="0" w:firstColumn="1" w:lastColumn="0" w:noHBand="0" w:noVBand="1"/>
    </w:tblPr>
    <w:tblGrid>
      <w:gridCol w:w="4536"/>
      <w:gridCol w:w="1560"/>
      <w:gridCol w:w="3543"/>
    </w:tblGrid>
    <w:tr w:rsidR="009D380F" w14:paraId="388A16B0" w14:textId="77777777">
      <w:tc>
        <w:tcPr>
          <w:tcW w:w="4536" w:type="dxa"/>
          <w:tcBorders>
            <w:top w:val="single" w:sz="4" w:space="0" w:color="auto"/>
            <w:left w:val="single" w:sz="4" w:space="0" w:color="auto"/>
            <w:bottom w:val="single" w:sz="4" w:space="0" w:color="auto"/>
            <w:right w:val="single" w:sz="4" w:space="0" w:color="auto"/>
          </w:tcBorders>
        </w:tcPr>
        <w:p w14:paraId="309B758F" w14:textId="299DD49E" w:rsidR="009D380F" w:rsidRDefault="006069AA" w:rsidP="00923DA6">
          <w:pPr>
            <w:pStyle w:val="Pidipagina"/>
          </w:pPr>
          <w:r>
            <w:t>Relazione generale</w:t>
          </w:r>
        </w:p>
      </w:tc>
      <w:tc>
        <w:tcPr>
          <w:tcW w:w="1560" w:type="dxa"/>
          <w:tcBorders>
            <w:top w:val="single" w:sz="4" w:space="0" w:color="auto"/>
            <w:left w:val="single" w:sz="4" w:space="0" w:color="auto"/>
            <w:bottom w:val="single" w:sz="4" w:space="0" w:color="auto"/>
            <w:right w:val="single" w:sz="4" w:space="0" w:color="auto"/>
          </w:tcBorders>
        </w:tcPr>
        <w:p w14:paraId="56F9BA40" w14:textId="77777777" w:rsidR="009D380F" w:rsidRDefault="009D380F" w:rsidP="00923DA6">
          <w:pPr>
            <w:pStyle w:val="Pidipagina"/>
          </w:pPr>
          <w:r>
            <w:t>Pag.</w:t>
          </w:r>
          <w:r>
            <w:tab/>
          </w:r>
          <w:r>
            <w:fldChar w:fldCharType="begin"/>
          </w:r>
          <w:r>
            <w:instrText xml:space="preserve"> PAGE  \* MERGEFORMAT </w:instrText>
          </w:r>
          <w:r>
            <w:fldChar w:fldCharType="separate"/>
          </w:r>
          <w:r>
            <w:t>1</w:t>
          </w:r>
          <w:r>
            <w:fldChar w:fldCharType="end"/>
          </w:r>
          <w:r>
            <w:t>/</w:t>
          </w:r>
          <w:r>
            <w:rPr>
              <w:rStyle w:val="Numeropagina"/>
              <w:rFonts w:ascii="Open Sans" w:hAnsi="Open Sans"/>
              <w:sz w:val="16"/>
            </w:rPr>
            <w:fldChar w:fldCharType="begin"/>
          </w:r>
          <w:r>
            <w:rPr>
              <w:rStyle w:val="Numeropagina"/>
              <w:rFonts w:ascii="Open Sans" w:hAnsi="Open Sans"/>
              <w:sz w:val="16"/>
            </w:rPr>
            <w:instrText xml:space="preserve"> NUMPAGES </w:instrText>
          </w:r>
          <w:r>
            <w:rPr>
              <w:rStyle w:val="Numeropagina"/>
              <w:rFonts w:ascii="Open Sans" w:hAnsi="Open Sans"/>
              <w:sz w:val="16"/>
            </w:rPr>
            <w:fldChar w:fldCharType="separate"/>
          </w:r>
          <w:r>
            <w:rPr>
              <w:rStyle w:val="Numeropagina"/>
              <w:rFonts w:ascii="Open Sans" w:hAnsi="Open Sans"/>
              <w:sz w:val="16"/>
            </w:rPr>
            <w:t>5</w:t>
          </w:r>
          <w:r>
            <w:rPr>
              <w:rStyle w:val="Numeropagina"/>
              <w:rFonts w:ascii="Open Sans" w:hAnsi="Open Sans"/>
              <w:sz w:val="16"/>
            </w:rPr>
            <w:fldChar w:fldCharType="end"/>
          </w:r>
        </w:p>
      </w:tc>
      <w:tc>
        <w:tcPr>
          <w:tcW w:w="3543" w:type="dxa"/>
          <w:tcBorders>
            <w:top w:val="single" w:sz="4" w:space="0" w:color="auto"/>
            <w:left w:val="single" w:sz="4" w:space="0" w:color="auto"/>
            <w:bottom w:val="single" w:sz="4" w:space="0" w:color="auto"/>
            <w:right w:val="single" w:sz="4" w:space="0" w:color="auto"/>
          </w:tcBorders>
        </w:tcPr>
        <w:p w14:paraId="7A285F3B" w14:textId="2618EAF8" w:rsidR="009D380F" w:rsidRDefault="009D380F" w:rsidP="00DC7207">
          <w:pPr>
            <w:pStyle w:val="Pidipagina"/>
            <w:spacing w:before="0"/>
          </w:pPr>
          <w:r>
            <w:t>Redatto da:</w:t>
          </w:r>
          <w:r>
            <w:tab/>
          </w:r>
          <w:r w:rsidR="00DC7207">
            <w:t>I</w:t>
          </w:r>
          <w:r>
            <w:t xml:space="preserve">ng. </w:t>
          </w:r>
          <w:r w:rsidR="006069AA">
            <w:t>L</w:t>
          </w:r>
          <w:r>
            <w:t>. B</w:t>
          </w:r>
          <w:r w:rsidR="006069AA">
            <w:t>orgato</w:t>
          </w:r>
        </w:p>
        <w:p w14:paraId="456B1825" w14:textId="2261C028" w:rsidR="00DC7207" w:rsidRDefault="00DC7207" w:rsidP="00DC7207">
          <w:pPr>
            <w:pStyle w:val="Pidipagina"/>
            <w:spacing w:before="0"/>
            <w:jc w:val="right"/>
          </w:pPr>
          <w:r>
            <w:t>Ing. A. Visentin</w:t>
          </w:r>
        </w:p>
      </w:tc>
    </w:tr>
    <w:tr w:rsidR="009D380F" w14:paraId="37DC7C2A" w14:textId="77777777" w:rsidTr="006069AA">
      <w:tc>
        <w:tcPr>
          <w:tcW w:w="6096"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Pr>
        <w:p w14:paraId="24953036" w14:textId="279231E8" w:rsidR="009D380F" w:rsidRDefault="009D380F" w:rsidP="00923DA6">
          <w:pPr>
            <w:pStyle w:val="Pidipagina"/>
          </w:pPr>
          <w:r>
            <w:t>Doc.:</w:t>
          </w:r>
          <w:r>
            <w:tab/>
          </w:r>
          <w:fldSimple w:instr="FILENAME   \* MERGEFORMAT">
            <w:r w:rsidR="00B3767D">
              <w:rPr>
                <w:noProof/>
              </w:rPr>
              <w:t>Relazionegenerale_FVG_v02</w:t>
            </w:r>
            <w:r w:rsidR="00927167">
              <w:rPr>
                <w:noProof/>
              </w:rPr>
              <w:t>.docx</w:t>
            </w:r>
          </w:fldSimple>
        </w:p>
      </w:tc>
      <w:tc>
        <w:tcPr>
          <w:tcW w:w="3543" w:type="dxa"/>
          <w:tcBorders>
            <w:top w:val="single" w:sz="4" w:space="0" w:color="auto"/>
            <w:left w:val="single" w:sz="4" w:space="0" w:color="auto"/>
            <w:bottom w:val="single" w:sz="4" w:space="0" w:color="auto"/>
            <w:right w:val="single" w:sz="4" w:space="0" w:color="auto"/>
          </w:tcBorders>
        </w:tcPr>
        <w:p w14:paraId="0A674C08" w14:textId="76377352" w:rsidR="009D380F" w:rsidRDefault="009D380F" w:rsidP="00923DA6">
          <w:pPr>
            <w:pStyle w:val="Pidipagina"/>
          </w:pPr>
          <w:r>
            <w:t xml:space="preserve">Data: </w:t>
          </w:r>
          <w:r>
            <w:tab/>
          </w:r>
          <w:r w:rsidR="00AF4D2E">
            <w:t>25</w:t>
          </w:r>
          <w:r w:rsidRPr="00DC7207">
            <w:t>.0</w:t>
          </w:r>
          <w:r w:rsidR="006069AA" w:rsidRPr="00DC7207">
            <w:t>9</w:t>
          </w:r>
          <w:r w:rsidRPr="00DC7207">
            <w:t>.2026</w:t>
          </w:r>
        </w:p>
      </w:tc>
    </w:tr>
  </w:tbl>
  <w:p w14:paraId="39E4EBED" w14:textId="77777777" w:rsidR="00FD113C" w:rsidRDefault="00FD113C" w:rsidP="00923DA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A0F57" w14:textId="77777777" w:rsidR="001B6008" w:rsidRDefault="001B6008" w:rsidP="00923DA6">
      <w:r>
        <w:separator/>
      </w:r>
    </w:p>
  </w:footnote>
  <w:footnote w:type="continuationSeparator" w:id="0">
    <w:p w14:paraId="1CD79608" w14:textId="77777777" w:rsidR="001B6008" w:rsidRDefault="001B6008" w:rsidP="00923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A418" w14:textId="60B9979F" w:rsidR="00407DC7" w:rsidRDefault="00407DC7" w:rsidP="00407DC7">
    <w:pPr>
      <w:pStyle w:val="Intestazione"/>
    </w:pPr>
    <w:bookmarkStart w:id="38" w:name="_Hlk123798237"/>
    <w:bookmarkStart w:id="39" w:name="_Hlk123798238"/>
    <w:bookmarkStart w:id="40" w:name="_Hlk215669773"/>
    <w:r>
      <w:rPr>
        <w:noProof/>
      </w:rPr>
      <w:drawing>
        <wp:anchor distT="0" distB="0" distL="114300" distR="114300" simplePos="0" relativeHeight="251658244" behindDoc="1" locked="0" layoutInCell="1" allowOverlap="1" wp14:anchorId="4D7718E4" wp14:editId="4AFA8C59">
          <wp:simplePos x="0" y="0"/>
          <wp:positionH relativeFrom="column">
            <wp:posOffset>3829685</wp:posOffset>
          </wp:positionH>
          <wp:positionV relativeFrom="paragraph">
            <wp:posOffset>-300691</wp:posOffset>
          </wp:positionV>
          <wp:extent cx="792719" cy="625831"/>
          <wp:effectExtent l="0" t="0" r="7620" b="3175"/>
          <wp:wrapNone/>
          <wp:docPr id="1805641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719" cy="6258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471F">
      <w:rPr>
        <w:noProof/>
      </w:rPr>
      <w:drawing>
        <wp:anchor distT="0" distB="0" distL="114300" distR="114300" simplePos="0" relativeHeight="251658243" behindDoc="1" locked="0" layoutInCell="1" allowOverlap="1" wp14:anchorId="1D3D9B99" wp14:editId="5F86F65A">
          <wp:simplePos x="0" y="0"/>
          <wp:positionH relativeFrom="column">
            <wp:posOffset>4560627</wp:posOffset>
          </wp:positionH>
          <wp:positionV relativeFrom="paragraph">
            <wp:posOffset>-274320</wp:posOffset>
          </wp:positionV>
          <wp:extent cx="1242000" cy="597600"/>
          <wp:effectExtent l="0" t="0" r="0" b="0"/>
          <wp:wrapTight wrapText="bothSides">
            <wp:wrapPolygon edited="0">
              <wp:start x="0" y="0"/>
              <wp:lineTo x="0" y="20659"/>
              <wp:lineTo x="21213" y="20659"/>
              <wp:lineTo x="21213" y="0"/>
              <wp:lineTo x="0" y="0"/>
            </wp:wrapPolygon>
          </wp:wrapTight>
          <wp:docPr id="184825840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42000" cy="59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7A5B642" wp14:editId="0B4DDA78">
          <wp:simplePos x="0" y="0"/>
          <wp:positionH relativeFrom="column">
            <wp:posOffset>-10795</wp:posOffset>
          </wp:positionH>
          <wp:positionV relativeFrom="paragraph">
            <wp:posOffset>-140335</wp:posOffset>
          </wp:positionV>
          <wp:extent cx="2009775" cy="339725"/>
          <wp:effectExtent l="0" t="0" r="9525" b="3175"/>
          <wp:wrapNone/>
          <wp:docPr id="2082331127" name="Immagine 208233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3">
                    <a:extLst>
                      <a:ext uri="{28A0092B-C50C-407E-A947-70E740481C1C}">
                        <a14:useLocalDpi xmlns:a14="http://schemas.microsoft.com/office/drawing/2010/main" val="0"/>
                      </a:ext>
                    </a:extLst>
                  </a:blip>
                  <a:stretch>
                    <a:fillRect/>
                  </a:stretch>
                </pic:blipFill>
                <pic:spPr>
                  <a:xfrm>
                    <a:off x="0" y="0"/>
                    <a:ext cx="2009775" cy="339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44C2F4ED" wp14:editId="063AFEF2">
          <wp:simplePos x="0" y="0"/>
          <wp:positionH relativeFrom="column">
            <wp:posOffset>5866765</wp:posOffset>
          </wp:positionH>
          <wp:positionV relativeFrom="paragraph">
            <wp:posOffset>-276860</wp:posOffset>
          </wp:positionV>
          <wp:extent cx="582295" cy="598170"/>
          <wp:effectExtent l="0" t="0" r="1905" b="0"/>
          <wp:wrapNone/>
          <wp:docPr id="1574884548" name="Immagine 1574884548" descr="C:\Users\enrico.beltrame\AppData\Local\Microsoft\Windows\INetCache\Content.Word\Logo sistema integra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nrico.beltrame\AppData\Local\Microsoft\Windows\INetCache\Content.Word\Logo sistema integrato.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2295" cy="598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09A">
      <w:rPr>
        <w:noProof/>
      </w:rPr>
      <w:drawing>
        <wp:anchor distT="0" distB="0" distL="114300" distR="114300" simplePos="0" relativeHeight="251658242" behindDoc="0" locked="0" layoutInCell="1" allowOverlap="1" wp14:anchorId="20532B09" wp14:editId="31A6B6B0">
          <wp:simplePos x="0" y="0"/>
          <wp:positionH relativeFrom="column">
            <wp:posOffset>-721995</wp:posOffset>
          </wp:positionH>
          <wp:positionV relativeFrom="paragraph">
            <wp:posOffset>405959</wp:posOffset>
          </wp:positionV>
          <wp:extent cx="7793335" cy="50165"/>
          <wp:effectExtent l="0" t="0" r="5080" b="635"/>
          <wp:wrapNone/>
          <wp:docPr id="1705722324" name="Immagine 170572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793335" cy="50165"/>
                  </a:xfrm>
                  <a:prstGeom prst="rect">
                    <a:avLst/>
                  </a:prstGeom>
                </pic:spPr>
              </pic:pic>
            </a:graphicData>
          </a:graphic>
          <wp14:sizeRelH relativeFrom="page">
            <wp14:pctWidth>0</wp14:pctWidth>
          </wp14:sizeRelH>
          <wp14:sizeRelV relativeFrom="page">
            <wp14:pctHeight>0</wp14:pctHeight>
          </wp14:sizeRelV>
        </wp:anchor>
      </w:drawing>
    </w:r>
    <w:bookmarkEnd w:id="38"/>
    <w:bookmarkEnd w:id="39"/>
  </w:p>
  <w:bookmarkEnd w:id="40"/>
  <w:p w14:paraId="473EBAA8" w14:textId="77777777" w:rsidR="000B0A22" w:rsidRDefault="000B0A22" w:rsidP="00923DA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1D31"/>
    <w:multiLevelType w:val="multilevel"/>
    <w:tmpl w:val="20EE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3BB8"/>
    <w:multiLevelType w:val="multilevel"/>
    <w:tmpl w:val="8C5C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503D"/>
    <w:multiLevelType w:val="hybridMultilevel"/>
    <w:tmpl w:val="FA089810"/>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3" w15:restartNumberingAfterBreak="0">
    <w:nsid w:val="13C5168E"/>
    <w:multiLevelType w:val="multilevel"/>
    <w:tmpl w:val="FA2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17FC"/>
    <w:multiLevelType w:val="hybridMultilevel"/>
    <w:tmpl w:val="C7F816B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874490B"/>
    <w:multiLevelType w:val="multilevel"/>
    <w:tmpl w:val="EEB0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5593C"/>
    <w:multiLevelType w:val="multilevel"/>
    <w:tmpl w:val="25C0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74E98"/>
    <w:multiLevelType w:val="hybridMultilevel"/>
    <w:tmpl w:val="DB329D26"/>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8" w15:restartNumberingAfterBreak="0">
    <w:nsid w:val="23DC6F1C"/>
    <w:multiLevelType w:val="hybridMultilevel"/>
    <w:tmpl w:val="DE701FB6"/>
    <w:lvl w:ilvl="0" w:tplc="A3C65C5C">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7214D59"/>
    <w:multiLevelType w:val="hybridMultilevel"/>
    <w:tmpl w:val="275A13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2BC11E3"/>
    <w:multiLevelType w:val="hybridMultilevel"/>
    <w:tmpl w:val="B202AA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4E03338"/>
    <w:multiLevelType w:val="hybridMultilevel"/>
    <w:tmpl w:val="748A6556"/>
    <w:lvl w:ilvl="0" w:tplc="A3C65C5C">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336F49"/>
    <w:multiLevelType w:val="hybridMultilevel"/>
    <w:tmpl w:val="0644A0C6"/>
    <w:lvl w:ilvl="0" w:tplc="A3C65C5C">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76F54BD"/>
    <w:multiLevelType w:val="hybridMultilevel"/>
    <w:tmpl w:val="34CA9F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F3644C5"/>
    <w:multiLevelType w:val="multilevel"/>
    <w:tmpl w:val="E58E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072CA"/>
    <w:multiLevelType w:val="multilevel"/>
    <w:tmpl w:val="23CA5872"/>
    <w:lvl w:ilvl="0">
      <w:start w:val="1"/>
      <w:numFmt w:val="decimal"/>
      <w:pStyle w:val="Titolo1"/>
      <w:lvlText w:val="%1."/>
      <w:lvlJc w:val="left"/>
      <w:pPr>
        <w:ind w:left="644" w:hanging="360"/>
      </w:pPr>
      <w:rPr>
        <w:rFonts w:hint="default"/>
      </w:rPr>
    </w:lvl>
    <w:lvl w:ilvl="1">
      <w:start w:val="1"/>
      <w:numFmt w:val="decimal"/>
      <w:pStyle w:val="Titolo2"/>
      <w:isLgl/>
      <w:lvlText w:val="%1.%2."/>
      <w:lvlJc w:val="left"/>
      <w:pPr>
        <w:ind w:left="1571"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E097A6A"/>
    <w:multiLevelType w:val="hybridMultilevel"/>
    <w:tmpl w:val="D3B429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F901995"/>
    <w:multiLevelType w:val="hybridMultilevel"/>
    <w:tmpl w:val="F09410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FA54439"/>
    <w:multiLevelType w:val="multilevel"/>
    <w:tmpl w:val="12E2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F5680"/>
    <w:multiLevelType w:val="hybridMultilevel"/>
    <w:tmpl w:val="484C0260"/>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20" w15:restartNumberingAfterBreak="0">
    <w:nsid w:val="565F4DAA"/>
    <w:multiLevelType w:val="hybridMultilevel"/>
    <w:tmpl w:val="8BF47314"/>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21" w15:restartNumberingAfterBreak="0">
    <w:nsid w:val="575407EE"/>
    <w:multiLevelType w:val="hybridMultilevel"/>
    <w:tmpl w:val="ED4E5B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78B3153"/>
    <w:multiLevelType w:val="hybridMultilevel"/>
    <w:tmpl w:val="FD2292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FB57720"/>
    <w:multiLevelType w:val="multilevel"/>
    <w:tmpl w:val="A5AA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46B18"/>
    <w:multiLevelType w:val="multilevel"/>
    <w:tmpl w:val="7F16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0D124E"/>
    <w:multiLevelType w:val="multilevel"/>
    <w:tmpl w:val="F482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059F9"/>
    <w:multiLevelType w:val="multilevel"/>
    <w:tmpl w:val="D94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E60AA"/>
    <w:multiLevelType w:val="multilevel"/>
    <w:tmpl w:val="453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970011">
    <w:abstractNumId w:val="15"/>
  </w:num>
  <w:num w:numId="2" w16cid:durableId="1302542097">
    <w:abstractNumId w:val="17"/>
  </w:num>
  <w:num w:numId="3" w16cid:durableId="927348601">
    <w:abstractNumId w:val="8"/>
  </w:num>
  <w:num w:numId="4" w16cid:durableId="1374958446">
    <w:abstractNumId w:val="12"/>
  </w:num>
  <w:num w:numId="5" w16cid:durableId="1476146764">
    <w:abstractNumId w:val="11"/>
  </w:num>
  <w:num w:numId="6" w16cid:durableId="1475488240">
    <w:abstractNumId w:val="4"/>
  </w:num>
  <w:num w:numId="7" w16cid:durableId="1445534815">
    <w:abstractNumId w:val="7"/>
  </w:num>
  <w:num w:numId="8" w16cid:durableId="1056929131">
    <w:abstractNumId w:val="20"/>
  </w:num>
  <w:num w:numId="9" w16cid:durableId="467821760">
    <w:abstractNumId w:val="21"/>
  </w:num>
  <w:num w:numId="10" w16cid:durableId="980579860">
    <w:abstractNumId w:val="9"/>
  </w:num>
  <w:num w:numId="11" w16cid:durableId="1536654801">
    <w:abstractNumId w:val="2"/>
  </w:num>
  <w:num w:numId="12" w16cid:durableId="1434545965">
    <w:abstractNumId w:val="22"/>
  </w:num>
  <w:num w:numId="13" w16cid:durableId="973097814">
    <w:abstractNumId w:val="19"/>
  </w:num>
  <w:num w:numId="14" w16cid:durableId="946233375">
    <w:abstractNumId w:val="16"/>
  </w:num>
  <w:num w:numId="15" w16cid:durableId="1580560576">
    <w:abstractNumId w:val="5"/>
  </w:num>
  <w:num w:numId="16" w16cid:durableId="1428572902">
    <w:abstractNumId w:val="18"/>
  </w:num>
  <w:num w:numId="17" w16cid:durableId="901907108">
    <w:abstractNumId w:val="24"/>
  </w:num>
  <w:num w:numId="18" w16cid:durableId="443498279">
    <w:abstractNumId w:val="23"/>
  </w:num>
  <w:num w:numId="19" w16cid:durableId="1202093389">
    <w:abstractNumId w:val="13"/>
  </w:num>
  <w:num w:numId="20" w16cid:durableId="1626766688">
    <w:abstractNumId w:val="26"/>
  </w:num>
  <w:num w:numId="21" w16cid:durableId="1306007792">
    <w:abstractNumId w:val="1"/>
  </w:num>
  <w:num w:numId="22" w16cid:durableId="2105492768">
    <w:abstractNumId w:val="10"/>
  </w:num>
  <w:num w:numId="23" w16cid:durableId="432283193">
    <w:abstractNumId w:val="0"/>
  </w:num>
  <w:num w:numId="24" w16cid:durableId="1259288557">
    <w:abstractNumId w:val="25"/>
  </w:num>
  <w:num w:numId="25" w16cid:durableId="1175415922">
    <w:abstractNumId w:val="27"/>
  </w:num>
  <w:num w:numId="26" w16cid:durableId="1680622306">
    <w:abstractNumId w:val="14"/>
  </w:num>
  <w:num w:numId="27" w16cid:durableId="550311998">
    <w:abstractNumId w:val="3"/>
  </w:num>
  <w:num w:numId="28" w16cid:durableId="762532687">
    <w:abstractNumId w:val="6"/>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da Borgato">
    <w15:presenceInfo w15:providerId="AD" w15:userId="S::linda.borgato@dbagroup.it::602fb2e6-d31b-4976-aa10-7c35e8c782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efaultTableStyle w:val="Tabellagriglia3-colore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72"/>
    <w:rsid w:val="00021039"/>
    <w:rsid w:val="00023C9C"/>
    <w:rsid w:val="00032B4E"/>
    <w:rsid w:val="00050580"/>
    <w:rsid w:val="0005071F"/>
    <w:rsid w:val="00050F22"/>
    <w:rsid w:val="00056582"/>
    <w:rsid w:val="0006030C"/>
    <w:rsid w:val="000656FA"/>
    <w:rsid w:val="00074894"/>
    <w:rsid w:val="00087DDE"/>
    <w:rsid w:val="00097140"/>
    <w:rsid w:val="000A099A"/>
    <w:rsid w:val="000A2C27"/>
    <w:rsid w:val="000A6352"/>
    <w:rsid w:val="000B0A22"/>
    <w:rsid w:val="000B0FF4"/>
    <w:rsid w:val="000B27D2"/>
    <w:rsid w:val="000B2D06"/>
    <w:rsid w:val="000B315A"/>
    <w:rsid w:val="000B42A3"/>
    <w:rsid w:val="000C08E6"/>
    <w:rsid w:val="000C3178"/>
    <w:rsid w:val="000C6DC3"/>
    <w:rsid w:val="000D1503"/>
    <w:rsid w:val="000D7FED"/>
    <w:rsid w:val="000E2B42"/>
    <w:rsid w:val="000F35F3"/>
    <w:rsid w:val="000F3930"/>
    <w:rsid w:val="00100748"/>
    <w:rsid w:val="00114A01"/>
    <w:rsid w:val="00120EB0"/>
    <w:rsid w:val="001213D9"/>
    <w:rsid w:val="00131FCF"/>
    <w:rsid w:val="00135582"/>
    <w:rsid w:val="001370D7"/>
    <w:rsid w:val="001457B6"/>
    <w:rsid w:val="00152D92"/>
    <w:rsid w:val="00183754"/>
    <w:rsid w:val="001916C9"/>
    <w:rsid w:val="00192907"/>
    <w:rsid w:val="001A1B2F"/>
    <w:rsid w:val="001A36B2"/>
    <w:rsid w:val="001A7D6E"/>
    <w:rsid w:val="001B455B"/>
    <w:rsid w:val="001B4C0A"/>
    <w:rsid w:val="001B6008"/>
    <w:rsid w:val="001C3752"/>
    <w:rsid w:val="001C3A6B"/>
    <w:rsid w:val="001C7944"/>
    <w:rsid w:val="001D356A"/>
    <w:rsid w:val="001D59D9"/>
    <w:rsid w:val="001E343E"/>
    <w:rsid w:val="001E466F"/>
    <w:rsid w:val="001E6C45"/>
    <w:rsid w:val="001E7525"/>
    <w:rsid w:val="001F2398"/>
    <w:rsid w:val="001F5664"/>
    <w:rsid w:val="002059BC"/>
    <w:rsid w:val="00211C86"/>
    <w:rsid w:val="00212D81"/>
    <w:rsid w:val="00214448"/>
    <w:rsid w:val="002205C9"/>
    <w:rsid w:val="0023328F"/>
    <w:rsid w:val="0024175D"/>
    <w:rsid w:val="00242E82"/>
    <w:rsid w:val="00254623"/>
    <w:rsid w:val="00254F1B"/>
    <w:rsid w:val="002703C9"/>
    <w:rsid w:val="00273A6A"/>
    <w:rsid w:val="00281B20"/>
    <w:rsid w:val="00285B5C"/>
    <w:rsid w:val="002869D9"/>
    <w:rsid w:val="00287BE6"/>
    <w:rsid w:val="002928FF"/>
    <w:rsid w:val="00293722"/>
    <w:rsid w:val="002B2AE5"/>
    <w:rsid w:val="002C360D"/>
    <w:rsid w:val="002C44BF"/>
    <w:rsid w:val="002C6E8A"/>
    <w:rsid w:val="002C7508"/>
    <w:rsid w:val="002D1B1B"/>
    <w:rsid w:val="002E0A41"/>
    <w:rsid w:val="002E23A0"/>
    <w:rsid w:val="002E3004"/>
    <w:rsid w:val="002E39E1"/>
    <w:rsid w:val="002E5501"/>
    <w:rsid w:val="002E563D"/>
    <w:rsid w:val="003004F3"/>
    <w:rsid w:val="003024B8"/>
    <w:rsid w:val="003114FF"/>
    <w:rsid w:val="00314C0F"/>
    <w:rsid w:val="003177FE"/>
    <w:rsid w:val="00324810"/>
    <w:rsid w:val="00325978"/>
    <w:rsid w:val="00347687"/>
    <w:rsid w:val="003542AC"/>
    <w:rsid w:val="00360D1C"/>
    <w:rsid w:val="0036409E"/>
    <w:rsid w:val="00364F23"/>
    <w:rsid w:val="00365B58"/>
    <w:rsid w:val="00374808"/>
    <w:rsid w:val="003826A3"/>
    <w:rsid w:val="00383468"/>
    <w:rsid w:val="00383A1D"/>
    <w:rsid w:val="00393CAB"/>
    <w:rsid w:val="003A113A"/>
    <w:rsid w:val="003B2526"/>
    <w:rsid w:val="003B4676"/>
    <w:rsid w:val="003C0951"/>
    <w:rsid w:val="003C758A"/>
    <w:rsid w:val="003C79B9"/>
    <w:rsid w:val="003D53E7"/>
    <w:rsid w:val="003D6E32"/>
    <w:rsid w:val="003E4A1D"/>
    <w:rsid w:val="003E54AA"/>
    <w:rsid w:val="003F1407"/>
    <w:rsid w:val="003F7929"/>
    <w:rsid w:val="003F7BE6"/>
    <w:rsid w:val="00407DC7"/>
    <w:rsid w:val="00411988"/>
    <w:rsid w:val="00420564"/>
    <w:rsid w:val="0042585D"/>
    <w:rsid w:val="00431B1D"/>
    <w:rsid w:val="004328F3"/>
    <w:rsid w:val="004331C2"/>
    <w:rsid w:val="00437A8C"/>
    <w:rsid w:val="00442D5A"/>
    <w:rsid w:val="00443CD2"/>
    <w:rsid w:val="00451F8D"/>
    <w:rsid w:val="0045368D"/>
    <w:rsid w:val="0045468E"/>
    <w:rsid w:val="0046500A"/>
    <w:rsid w:val="004664E1"/>
    <w:rsid w:val="00472BDE"/>
    <w:rsid w:val="00474F40"/>
    <w:rsid w:val="004773E8"/>
    <w:rsid w:val="004861CA"/>
    <w:rsid w:val="004915C6"/>
    <w:rsid w:val="004A15A0"/>
    <w:rsid w:val="004A6A7A"/>
    <w:rsid w:val="004B188C"/>
    <w:rsid w:val="004B3072"/>
    <w:rsid w:val="004B684F"/>
    <w:rsid w:val="004C1D32"/>
    <w:rsid w:val="004C3C2C"/>
    <w:rsid w:val="004D4FC6"/>
    <w:rsid w:val="004E6D8A"/>
    <w:rsid w:val="004F4802"/>
    <w:rsid w:val="004F5089"/>
    <w:rsid w:val="00511C8D"/>
    <w:rsid w:val="00512922"/>
    <w:rsid w:val="005159AD"/>
    <w:rsid w:val="00521F48"/>
    <w:rsid w:val="00534B62"/>
    <w:rsid w:val="0054053C"/>
    <w:rsid w:val="00542490"/>
    <w:rsid w:val="005510D3"/>
    <w:rsid w:val="00560135"/>
    <w:rsid w:val="005607B2"/>
    <w:rsid w:val="005648EE"/>
    <w:rsid w:val="00565A3B"/>
    <w:rsid w:val="00565D00"/>
    <w:rsid w:val="00570963"/>
    <w:rsid w:val="005768F4"/>
    <w:rsid w:val="00581731"/>
    <w:rsid w:val="00586D17"/>
    <w:rsid w:val="00594B61"/>
    <w:rsid w:val="005A067C"/>
    <w:rsid w:val="005A4C87"/>
    <w:rsid w:val="005C0F7F"/>
    <w:rsid w:val="005C4A2D"/>
    <w:rsid w:val="005D0D7A"/>
    <w:rsid w:val="005D1D9A"/>
    <w:rsid w:val="005D430D"/>
    <w:rsid w:val="005E2790"/>
    <w:rsid w:val="005E327B"/>
    <w:rsid w:val="005E5DB2"/>
    <w:rsid w:val="005F030D"/>
    <w:rsid w:val="00601258"/>
    <w:rsid w:val="00603ECD"/>
    <w:rsid w:val="006069AA"/>
    <w:rsid w:val="006107B1"/>
    <w:rsid w:val="00610A17"/>
    <w:rsid w:val="00633559"/>
    <w:rsid w:val="00633CF6"/>
    <w:rsid w:val="00643DEA"/>
    <w:rsid w:val="006461F2"/>
    <w:rsid w:val="00647282"/>
    <w:rsid w:val="00647BDC"/>
    <w:rsid w:val="006557DF"/>
    <w:rsid w:val="00676FAF"/>
    <w:rsid w:val="00682A26"/>
    <w:rsid w:val="00684DD9"/>
    <w:rsid w:val="00693870"/>
    <w:rsid w:val="00694708"/>
    <w:rsid w:val="006A1689"/>
    <w:rsid w:val="006B769A"/>
    <w:rsid w:val="006C3E84"/>
    <w:rsid w:val="006C5763"/>
    <w:rsid w:val="006D17C8"/>
    <w:rsid w:val="006D1F8C"/>
    <w:rsid w:val="006D55B5"/>
    <w:rsid w:val="006E0C5F"/>
    <w:rsid w:val="006E0C84"/>
    <w:rsid w:val="006E0CA1"/>
    <w:rsid w:val="006E2059"/>
    <w:rsid w:val="006E5607"/>
    <w:rsid w:val="006E619D"/>
    <w:rsid w:val="006F439E"/>
    <w:rsid w:val="006F6597"/>
    <w:rsid w:val="00712E1F"/>
    <w:rsid w:val="007240C1"/>
    <w:rsid w:val="00730CF0"/>
    <w:rsid w:val="00734D7E"/>
    <w:rsid w:val="00735320"/>
    <w:rsid w:val="007502FB"/>
    <w:rsid w:val="00750749"/>
    <w:rsid w:val="00753F75"/>
    <w:rsid w:val="00763189"/>
    <w:rsid w:val="00764473"/>
    <w:rsid w:val="00765DA1"/>
    <w:rsid w:val="007758E4"/>
    <w:rsid w:val="0077640D"/>
    <w:rsid w:val="0077656D"/>
    <w:rsid w:val="00781C33"/>
    <w:rsid w:val="00786CAB"/>
    <w:rsid w:val="00793F83"/>
    <w:rsid w:val="007A0B7B"/>
    <w:rsid w:val="007A60BE"/>
    <w:rsid w:val="007B05F7"/>
    <w:rsid w:val="007B11AF"/>
    <w:rsid w:val="007C0367"/>
    <w:rsid w:val="007C5B59"/>
    <w:rsid w:val="007C74E5"/>
    <w:rsid w:val="00800361"/>
    <w:rsid w:val="00805910"/>
    <w:rsid w:val="00805B25"/>
    <w:rsid w:val="00821958"/>
    <w:rsid w:val="008246CD"/>
    <w:rsid w:val="00824AB6"/>
    <w:rsid w:val="00827BDE"/>
    <w:rsid w:val="00843B9F"/>
    <w:rsid w:val="00844E7A"/>
    <w:rsid w:val="008461CF"/>
    <w:rsid w:val="00857FA8"/>
    <w:rsid w:val="0086599C"/>
    <w:rsid w:val="00866ED1"/>
    <w:rsid w:val="00871638"/>
    <w:rsid w:val="008744C0"/>
    <w:rsid w:val="008936E9"/>
    <w:rsid w:val="008978C1"/>
    <w:rsid w:val="008A5596"/>
    <w:rsid w:val="008B7932"/>
    <w:rsid w:val="008C378E"/>
    <w:rsid w:val="008D6EDD"/>
    <w:rsid w:val="008D7904"/>
    <w:rsid w:val="008E0AF9"/>
    <w:rsid w:val="008E3826"/>
    <w:rsid w:val="008E74BD"/>
    <w:rsid w:val="008F5282"/>
    <w:rsid w:val="00903AD8"/>
    <w:rsid w:val="00905DD8"/>
    <w:rsid w:val="0091599D"/>
    <w:rsid w:val="009208A4"/>
    <w:rsid w:val="00923DA6"/>
    <w:rsid w:val="00927167"/>
    <w:rsid w:val="00931542"/>
    <w:rsid w:val="00944FDF"/>
    <w:rsid w:val="0094749B"/>
    <w:rsid w:val="009514AE"/>
    <w:rsid w:val="00954152"/>
    <w:rsid w:val="00964F16"/>
    <w:rsid w:val="009713A1"/>
    <w:rsid w:val="00972948"/>
    <w:rsid w:val="00977A34"/>
    <w:rsid w:val="00981219"/>
    <w:rsid w:val="00987385"/>
    <w:rsid w:val="00990E3C"/>
    <w:rsid w:val="009A0611"/>
    <w:rsid w:val="009A0DC7"/>
    <w:rsid w:val="009A58F9"/>
    <w:rsid w:val="009B06AE"/>
    <w:rsid w:val="009B638A"/>
    <w:rsid w:val="009D3638"/>
    <w:rsid w:val="009D380F"/>
    <w:rsid w:val="009E29FA"/>
    <w:rsid w:val="009F540A"/>
    <w:rsid w:val="00A14D70"/>
    <w:rsid w:val="00A15447"/>
    <w:rsid w:val="00A247DD"/>
    <w:rsid w:val="00A25847"/>
    <w:rsid w:val="00A25AEC"/>
    <w:rsid w:val="00A35424"/>
    <w:rsid w:val="00A36828"/>
    <w:rsid w:val="00A37FE9"/>
    <w:rsid w:val="00A65FB5"/>
    <w:rsid w:val="00A8243F"/>
    <w:rsid w:val="00A82ED5"/>
    <w:rsid w:val="00A83A89"/>
    <w:rsid w:val="00A83F0E"/>
    <w:rsid w:val="00A843D7"/>
    <w:rsid w:val="00A96B96"/>
    <w:rsid w:val="00AB5E8E"/>
    <w:rsid w:val="00AB7E10"/>
    <w:rsid w:val="00AC4EBC"/>
    <w:rsid w:val="00AD2C58"/>
    <w:rsid w:val="00AD66F6"/>
    <w:rsid w:val="00AD6F82"/>
    <w:rsid w:val="00AD737E"/>
    <w:rsid w:val="00AE5D7B"/>
    <w:rsid w:val="00AF261F"/>
    <w:rsid w:val="00AF4D2E"/>
    <w:rsid w:val="00B0085B"/>
    <w:rsid w:val="00B020EE"/>
    <w:rsid w:val="00B12DA4"/>
    <w:rsid w:val="00B15A8E"/>
    <w:rsid w:val="00B3767D"/>
    <w:rsid w:val="00B414FD"/>
    <w:rsid w:val="00B53071"/>
    <w:rsid w:val="00B53ABF"/>
    <w:rsid w:val="00B56416"/>
    <w:rsid w:val="00B57A36"/>
    <w:rsid w:val="00B7298A"/>
    <w:rsid w:val="00B75231"/>
    <w:rsid w:val="00B77481"/>
    <w:rsid w:val="00B80D0E"/>
    <w:rsid w:val="00B8462C"/>
    <w:rsid w:val="00B92877"/>
    <w:rsid w:val="00B94B63"/>
    <w:rsid w:val="00BA215A"/>
    <w:rsid w:val="00BB22F5"/>
    <w:rsid w:val="00BB400F"/>
    <w:rsid w:val="00BB59D1"/>
    <w:rsid w:val="00BB6940"/>
    <w:rsid w:val="00BC00B3"/>
    <w:rsid w:val="00BC2D6C"/>
    <w:rsid w:val="00BC4C23"/>
    <w:rsid w:val="00BC53D8"/>
    <w:rsid w:val="00BD2476"/>
    <w:rsid w:val="00BE5F3D"/>
    <w:rsid w:val="00BE6E3D"/>
    <w:rsid w:val="00C03072"/>
    <w:rsid w:val="00C060EF"/>
    <w:rsid w:val="00C11F6A"/>
    <w:rsid w:val="00C21542"/>
    <w:rsid w:val="00C25839"/>
    <w:rsid w:val="00C401CD"/>
    <w:rsid w:val="00C50386"/>
    <w:rsid w:val="00C52A0C"/>
    <w:rsid w:val="00C55753"/>
    <w:rsid w:val="00C62153"/>
    <w:rsid w:val="00C70CF6"/>
    <w:rsid w:val="00C7721E"/>
    <w:rsid w:val="00C86202"/>
    <w:rsid w:val="00C916E8"/>
    <w:rsid w:val="00C944BD"/>
    <w:rsid w:val="00C97E9C"/>
    <w:rsid w:val="00CA7A5C"/>
    <w:rsid w:val="00CB0618"/>
    <w:rsid w:val="00CB5322"/>
    <w:rsid w:val="00CD0FB6"/>
    <w:rsid w:val="00CD4545"/>
    <w:rsid w:val="00CD489D"/>
    <w:rsid w:val="00CD7859"/>
    <w:rsid w:val="00CE0976"/>
    <w:rsid w:val="00CF146C"/>
    <w:rsid w:val="00D00812"/>
    <w:rsid w:val="00D10F03"/>
    <w:rsid w:val="00D11A40"/>
    <w:rsid w:val="00D13A08"/>
    <w:rsid w:val="00D225BC"/>
    <w:rsid w:val="00D27572"/>
    <w:rsid w:val="00D44CEA"/>
    <w:rsid w:val="00D470C1"/>
    <w:rsid w:val="00D504A8"/>
    <w:rsid w:val="00D50AF8"/>
    <w:rsid w:val="00D51042"/>
    <w:rsid w:val="00D521CE"/>
    <w:rsid w:val="00D60B1D"/>
    <w:rsid w:val="00D659C7"/>
    <w:rsid w:val="00D975C1"/>
    <w:rsid w:val="00DA1262"/>
    <w:rsid w:val="00DA573E"/>
    <w:rsid w:val="00DB525B"/>
    <w:rsid w:val="00DC2672"/>
    <w:rsid w:val="00DC7207"/>
    <w:rsid w:val="00DD7760"/>
    <w:rsid w:val="00E03EBE"/>
    <w:rsid w:val="00E12EF8"/>
    <w:rsid w:val="00E14F8B"/>
    <w:rsid w:val="00E16247"/>
    <w:rsid w:val="00E16303"/>
    <w:rsid w:val="00E23872"/>
    <w:rsid w:val="00E357F2"/>
    <w:rsid w:val="00E47409"/>
    <w:rsid w:val="00E52381"/>
    <w:rsid w:val="00E57F75"/>
    <w:rsid w:val="00E87A81"/>
    <w:rsid w:val="00E92A3A"/>
    <w:rsid w:val="00E9580C"/>
    <w:rsid w:val="00EA194C"/>
    <w:rsid w:val="00EC0B7B"/>
    <w:rsid w:val="00ED18F1"/>
    <w:rsid w:val="00EE6A92"/>
    <w:rsid w:val="00EF2508"/>
    <w:rsid w:val="00EF3AD0"/>
    <w:rsid w:val="00EF3C4B"/>
    <w:rsid w:val="00F03874"/>
    <w:rsid w:val="00F07234"/>
    <w:rsid w:val="00F15D2C"/>
    <w:rsid w:val="00F277CD"/>
    <w:rsid w:val="00F27D60"/>
    <w:rsid w:val="00F33AB5"/>
    <w:rsid w:val="00F43BD3"/>
    <w:rsid w:val="00F44060"/>
    <w:rsid w:val="00F44B18"/>
    <w:rsid w:val="00F44FB8"/>
    <w:rsid w:val="00F518E5"/>
    <w:rsid w:val="00F54807"/>
    <w:rsid w:val="00F61B26"/>
    <w:rsid w:val="00F70D95"/>
    <w:rsid w:val="00F942E9"/>
    <w:rsid w:val="00FA6F6A"/>
    <w:rsid w:val="00FD113C"/>
    <w:rsid w:val="00FD7E2B"/>
    <w:rsid w:val="00FE0DFA"/>
    <w:rsid w:val="00FE2504"/>
    <w:rsid w:val="00FE26D1"/>
    <w:rsid w:val="00FF7C00"/>
    <w:rsid w:val="05B80895"/>
    <w:rsid w:val="15966E10"/>
    <w:rsid w:val="2F76406D"/>
    <w:rsid w:val="2FD9A821"/>
    <w:rsid w:val="3EA2FB87"/>
    <w:rsid w:val="3EE858A1"/>
    <w:rsid w:val="42CA4C43"/>
    <w:rsid w:val="43FC576D"/>
    <w:rsid w:val="45446477"/>
    <w:rsid w:val="476E60B6"/>
    <w:rsid w:val="4E0F496E"/>
    <w:rsid w:val="6D0C8669"/>
    <w:rsid w:val="76D339CE"/>
    <w:rsid w:val="79291DF5"/>
    <w:rsid w:val="7D18A7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7A41D"/>
  <w15:chartTrackingRefBased/>
  <w15:docId w15:val="{4FDE7C54-D9C7-4CC7-BFB5-336F92EEABB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23DA6"/>
    <w:pPr>
      <w:widowControl w:val="0"/>
      <w:spacing w:before="240" w:after="0" w:line="240" w:lineRule="auto"/>
      <w:jc w:val="both"/>
    </w:pPr>
    <w:rPr>
      <w:rFonts w:ascii="Calibri" w:eastAsia="Times New Roman" w:hAnsi="Calibri" w:cs="Open Sans"/>
      <w:iCs/>
      <w:kern w:val="0"/>
      <w:sz w:val="20"/>
      <w:szCs w:val="20"/>
      <w:lang w:eastAsia="it-IT"/>
      <w14:ligatures w14:val="none"/>
    </w:rPr>
  </w:style>
  <w:style w:type="paragraph" w:styleId="Titolo1">
    <w:name w:val="heading 1"/>
    <w:basedOn w:val="Normale"/>
    <w:next w:val="Normale"/>
    <w:link w:val="Titolo1Carattere"/>
    <w:uiPriority w:val="9"/>
    <w:qFormat/>
    <w:rsid w:val="00472BDE"/>
    <w:pPr>
      <w:keepNext/>
      <w:keepLines/>
      <w:numPr>
        <w:numId w:val="1"/>
      </w:numPr>
      <w:spacing w:before="360" w:after="80"/>
      <w:outlineLvl w:val="0"/>
    </w:pPr>
    <w:rPr>
      <w:rFonts w:eastAsiaTheme="majorEastAsia" w:cstheme="majorBidi"/>
      <w:b/>
      <w:color w:val="153D63" w:themeColor="text2" w:themeTint="E6"/>
      <w:sz w:val="24"/>
      <w:szCs w:val="24"/>
    </w:rPr>
  </w:style>
  <w:style w:type="paragraph" w:styleId="Titolo2">
    <w:name w:val="heading 2"/>
    <w:basedOn w:val="Normale"/>
    <w:next w:val="Normale"/>
    <w:link w:val="Titolo2Carattere"/>
    <w:uiPriority w:val="9"/>
    <w:unhideWhenUsed/>
    <w:qFormat/>
    <w:rsid w:val="00324810"/>
    <w:pPr>
      <w:keepNext/>
      <w:keepLines/>
      <w:numPr>
        <w:ilvl w:val="1"/>
        <w:numId w:val="1"/>
      </w:numPr>
      <w:shd w:val="clear" w:color="auto" w:fill="153D63" w:themeFill="text2" w:themeFillTint="E6"/>
      <w:spacing w:before="160" w:after="80"/>
      <w:ind w:left="0" w:firstLine="0"/>
      <w:outlineLvl w:val="1"/>
    </w:pPr>
    <w:rPr>
      <w:rFonts w:eastAsiaTheme="majorEastAsia" w:cstheme="majorBidi"/>
      <w:color w:val="FFFFFF" w:themeColor="background1"/>
      <w:sz w:val="22"/>
      <w:szCs w:val="32"/>
    </w:rPr>
  </w:style>
  <w:style w:type="paragraph" w:styleId="Titolo3">
    <w:name w:val="heading 3"/>
    <w:basedOn w:val="Normale"/>
    <w:next w:val="Normale"/>
    <w:link w:val="Titolo3Carattere"/>
    <w:uiPriority w:val="9"/>
    <w:semiHidden/>
    <w:unhideWhenUsed/>
    <w:qFormat/>
    <w:rsid w:val="00E2387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23872"/>
    <w:pPr>
      <w:keepNext/>
      <w:keepLines/>
      <w:spacing w:before="80" w:after="40"/>
      <w:outlineLvl w:val="3"/>
    </w:pPr>
    <w:rPr>
      <w:rFonts w:eastAsiaTheme="majorEastAsia" w:cstheme="majorBidi"/>
      <w:i/>
      <w:iCs w:val="0"/>
      <w:color w:val="0F4761" w:themeColor="accent1" w:themeShade="BF"/>
    </w:rPr>
  </w:style>
  <w:style w:type="paragraph" w:styleId="Titolo5">
    <w:name w:val="heading 5"/>
    <w:basedOn w:val="Normale"/>
    <w:next w:val="Normale"/>
    <w:link w:val="Titolo5Carattere"/>
    <w:uiPriority w:val="9"/>
    <w:semiHidden/>
    <w:unhideWhenUsed/>
    <w:qFormat/>
    <w:rsid w:val="00E2387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23872"/>
    <w:pPr>
      <w:keepNext/>
      <w:keepLines/>
      <w:spacing w:before="40"/>
      <w:outlineLvl w:val="5"/>
    </w:pPr>
    <w:rPr>
      <w:rFonts w:eastAsiaTheme="majorEastAsia" w:cstheme="majorBidi"/>
      <w:i/>
      <w:iCs w:val="0"/>
      <w:color w:val="595959" w:themeColor="text1" w:themeTint="A6"/>
    </w:rPr>
  </w:style>
  <w:style w:type="paragraph" w:styleId="Titolo7">
    <w:name w:val="heading 7"/>
    <w:basedOn w:val="Normale"/>
    <w:next w:val="Normale"/>
    <w:link w:val="Titolo7Carattere"/>
    <w:uiPriority w:val="9"/>
    <w:semiHidden/>
    <w:unhideWhenUsed/>
    <w:qFormat/>
    <w:rsid w:val="00E23872"/>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23872"/>
    <w:pPr>
      <w:keepNext/>
      <w:keepLines/>
      <w:outlineLvl w:val="7"/>
    </w:pPr>
    <w:rPr>
      <w:rFonts w:eastAsiaTheme="majorEastAsia" w:cstheme="majorBidi"/>
      <w:i/>
      <w:iCs w:val="0"/>
      <w:color w:val="272727" w:themeColor="text1" w:themeTint="D8"/>
    </w:rPr>
  </w:style>
  <w:style w:type="paragraph" w:styleId="Titolo9">
    <w:name w:val="heading 9"/>
    <w:basedOn w:val="Normale"/>
    <w:next w:val="Normale"/>
    <w:link w:val="Titolo9Carattere"/>
    <w:uiPriority w:val="9"/>
    <w:semiHidden/>
    <w:unhideWhenUsed/>
    <w:qFormat/>
    <w:rsid w:val="00E23872"/>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2BDE"/>
    <w:rPr>
      <w:rFonts w:ascii="Calibri" w:eastAsiaTheme="majorEastAsia" w:hAnsi="Calibri" w:cstheme="majorBidi"/>
      <w:b/>
      <w:iCs/>
      <w:color w:val="153D63" w:themeColor="text2" w:themeTint="E6"/>
      <w:kern w:val="0"/>
      <w:lang w:eastAsia="it-IT"/>
      <w14:ligatures w14:val="none"/>
    </w:rPr>
  </w:style>
  <w:style w:type="character" w:customStyle="1" w:styleId="Titolo2Carattere">
    <w:name w:val="Titolo 2 Carattere"/>
    <w:basedOn w:val="Carpredefinitoparagrafo"/>
    <w:link w:val="Titolo2"/>
    <w:uiPriority w:val="9"/>
    <w:rsid w:val="00324810"/>
    <w:rPr>
      <w:rFonts w:ascii="Calibri" w:eastAsiaTheme="majorEastAsia" w:hAnsi="Calibri" w:cstheme="majorBidi"/>
      <w:iCs/>
      <w:color w:val="FFFFFF" w:themeColor="background1"/>
      <w:kern w:val="0"/>
      <w:sz w:val="22"/>
      <w:szCs w:val="32"/>
      <w:shd w:val="clear" w:color="auto" w:fill="153D63" w:themeFill="text2" w:themeFillTint="E6"/>
      <w:lang w:eastAsia="it-IT"/>
      <w14:ligatures w14:val="none"/>
    </w:rPr>
  </w:style>
  <w:style w:type="character" w:customStyle="1" w:styleId="Titolo3Carattere">
    <w:name w:val="Titolo 3 Carattere"/>
    <w:basedOn w:val="Carpredefinitoparagrafo"/>
    <w:link w:val="Titolo3"/>
    <w:uiPriority w:val="9"/>
    <w:semiHidden/>
    <w:rsid w:val="00E2387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2387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2387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2387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2387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2387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23872"/>
    <w:rPr>
      <w:rFonts w:eastAsiaTheme="majorEastAsia" w:cstheme="majorBidi"/>
      <w:color w:val="272727" w:themeColor="text1" w:themeTint="D8"/>
    </w:rPr>
  </w:style>
  <w:style w:type="paragraph" w:styleId="Titolo">
    <w:name w:val="Title"/>
    <w:basedOn w:val="Normale"/>
    <w:next w:val="Normale"/>
    <w:link w:val="TitoloCarattere"/>
    <w:qFormat/>
    <w:rsid w:val="00E23872"/>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rsid w:val="00E2387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2387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2387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23872"/>
    <w:pPr>
      <w:spacing w:before="160"/>
      <w:jc w:val="center"/>
    </w:pPr>
    <w:rPr>
      <w:i/>
      <w:iCs w:val="0"/>
      <w:color w:val="404040" w:themeColor="text1" w:themeTint="BF"/>
    </w:rPr>
  </w:style>
  <w:style w:type="character" w:customStyle="1" w:styleId="CitazioneCarattere">
    <w:name w:val="Citazione Carattere"/>
    <w:basedOn w:val="Carpredefinitoparagrafo"/>
    <w:link w:val="Citazione"/>
    <w:uiPriority w:val="29"/>
    <w:rsid w:val="00E23872"/>
    <w:rPr>
      <w:i/>
      <w:iCs/>
      <w:color w:val="404040" w:themeColor="text1" w:themeTint="BF"/>
    </w:rPr>
  </w:style>
  <w:style w:type="paragraph" w:styleId="Paragrafoelenco">
    <w:name w:val="List Paragraph"/>
    <w:basedOn w:val="Normale"/>
    <w:uiPriority w:val="34"/>
    <w:qFormat/>
    <w:rsid w:val="00E23872"/>
    <w:pPr>
      <w:ind w:left="720"/>
      <w:contextualSpacing/>
    </w:pPr>
  </w:style>
  <w:style w:type="character" w:styleId="Enfasiintensa">
    <w:name w:val="Intense Emphasis"/>
    <w:basedOn w:val="Carpredefinitoparagrafo"/>
    <w:uiPriority w:val="21"/>
    <w:qFormat/>
    <w:rsid w:val="00E23872"/>
    <w:rPr>
      <w:i/>
      <w:iCs/>
      <w:color w:val="0F4761" w:themeColor="accent1" w:themeShade="BF"/>
    </w:rPr>
  </w:style>
  <w:style w:type="paragraph" w:styleId="Citazioneintensa">
    <w:name w:val="Intense Quote"/>
    <w:basedOn w:val="Normale"/>
    <w:next w:val="Normale"/>
    <w:link w:val="CitazioneintensaCarattere"/>
    <w:uiPriority w:val="30"/>
    <w:qFormat/>
    <w:rsid w:val="00E23872"/>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CitazioneintensaCarattere">
    <w:name w:val="Citazione intensa Carattere"/>
    <w:basedOn w:val="Carpredefinitoparagrafo"/>
    <w:link w:val="Citazioneintensa"/>
    <w:uiPriority w:val="30"/>
    <w:rsid w:val="00E23872"/>
    <w:rPr>
      <w:i/>
      <w:iCs/>
      <w:color w:val="0F4761" w:themeColor="accent1" w:themeShade="BF"/>
    </w:rPr>
  </w:style>
  <w:style w:type="character" w:styleId="Riferimentointenso">
    <w:name w:val="Intense Reference"/>
    <w:basedOn w:val="Carpredefinitoparagrafo"/>
    <w:uiPriority w:val="32"/>
    <w:qFormat/>
    <w:rsid w:val="00E23872"/>
    <w:rPr>
      <w:b/>
      <w:bCs/>
      <w:smallCaps/>
      <w:color w:val="0F4761" w:themeColor="accent1" w:themeShade="BF"/>
      <w:spacing w:val="5"/>
    </w:rPr>
  </w:style>
  <w:style w:type="paragraph" w:styleId="Intestazione">
    <w:name w:val="header"/>
    <w:basedOn w:val="Normale"/>
    <w:link w:val="IntestazioneCarattere"/>
    <w:uiPriority w:val="99"/>
    <w:unhideWhenUsed/>
    <w:rsid w:val="000B0A22"/>
    <w:pPr>
      <w:tabs>
        <w:tab w:val="center" w:pos="4819"/>
        <w:tab w:val="right" w:pos="9638"/>
      </w:tabs>
    </w:pPr>
  </w:style>
  <w:style w:type="character" w:customStyle="1" w:styleId="IntestazioneCarattere">
    <w:name w:val="Intestazione Carattere"/>
    <w:basedOn w:val="Carpredefinitoparagrafo"/>
    <w:link w:val="Intestazione"/>
    <w:uiPriority w:val="99"/>
    <w:qFormat/>
    <w:rsid w:val="000B0A22"/>
  </w:style>
  <w:style w:type="paragraph" w:styleId="Pidipagina">
    <w:name w:val="footer"/>
    <w:basedOn w:val="Normale"/>
    <w:link w:val="PidipaginaCarattere"/>
    <w:unhideWhenUsed/>
    <w:qFormat/>
    <w:rsid w:val="000B0A22"/>
    <w:pPr>
      <w:tabs>
        <w:tab w:val="center" w:pos="4819"/>
        <w:tab w:val="right" w:pos="9638"/>
      </w:tabs>
    </w:pPr>
  </w:style>
  <w:style w:type="character" w:customStyle="1" w:styleId="PidipaginaCarattere">
    <w:name w:val="Piè di pagina Carattere"/>
    <w:basedOn w:val="Carpredefinitoparagrafo"/>
    <w:link w:val="Pidipagina"/>
    <w:qFormat/>
    <w:rsid w:val="000B0A22"/>
  </w:style>
  <w:style w:type="character" w:styleId="Numeropagina">
    <w:name w:val="page number"/>
    <w:basedOn w:val="Carpredefinitoparagrafo"/>
    <w:unhideWhenUsed/>
    <w:rsid w:val="009D380F"/>
  </w:style>
  <w:style w:type="paragraph" w:customStyle="1" w:styleId="serteco1">
    <w:name w:val="serteco1"/>
    <w:basedOn w:val="Normale"/>
    <w:link w:val="serteco1Carattere"/>
    <w:rsid w:val="003024B8"/>
    <w:rPr>
      <w:rFonts w:ascii="Arial" w:hAnsi="Arial"/>
    </w:rPr>
  </w:style>
  <w:style w:type="character" w:customStyle="1" w:styleId="serteco1Carattere">
    <w:name w:val="serteco1 Carattere"/>
    <w:link w:val="serteco1"/>
    <w:rsid w:val="003024B8"/>
    <w:rPr>
      <w:rFonts w:ascii="Arial" w:eastAsia="Times New Roman" w:hAnsi="Arial" w:cs="Open Sans"/>
      <w:iCs/>
      <w:kern w:val="0"/>
      <w:sz w:val="20"/>
      <w:szCs w:val="20"/>
      <w:lang w:eastAsia="it-IT"/>
      <w14:ligatures w14:val="none"/>
    </w:rPr>
  </w:style>
  <w:style w:type="paragraph" w:customStyle="1" w:styleId="isselectedend">
    <w:name w:val="isselectedend"/>
    <w:basedOn w:val="Normale"/>
    <w:rsid w:val="00923DA6"/>
    <w:pPr>
      <w:widowControl/>
      <w:spacing w:before="100" w:beforeAutospacing="1" w:after="100" w:afterAutospacing="1"/>
      <w:jc w:val="left"/>
    </w:pPr>
    <w:rPr>
      <w:rFonts w:ascii="Times New Roman" w:hAnsi="Times New Roman" w:cs="Times New Roman"/>
      <w:iCs w:val="0"/>
      <w:sz w:val="24"/>
      <w:szCs w:val="24"/>
    </w:rPr>
  </w:style>
  <w:style w:type="paragraph" w:styleId="NormaleWeb">
    <w:name w:val="Normal (Web)"/>
    <w:basedOn w:val="Normale"/>
    <w:uiPriority w:val="99"/>
    <w:unhideWhenUsed/>
    <w:rsid w:val="00923DA6"/>
    <w:pPr>
      <w:widowControl/>
      <w:spacing w:before="100" w:beforeAutospacing="1" w:after="100" w:afterAutospacing="1"/>
      <w:jc w:val="left"/>
    </w:pPr>
    <w:rPr>
      <w:rFonts w:ascii="Times New Roman" w:hAnsi="Times New Roman" w:cs="Times New Roman"/>
      <w:iCs w:val="0"/>
      <w:sz w:val="24"/>
      <w:szCs w:val="24"/>
    </w:rPr>
  </w:style>
  <w:style w:type="character" w:styleId="Collegamentoipertestuale">
    <w:name w:val="Hyperlink"/>
    <w:basedOn w:val="Carpredefinitoparagrafo"/>
    <w:uiPriority w:val="99"/>
    <w:unhideWhenUsed/>
    <w:rsid w:val="000A6352"/>
    <w:rPr>
      <w:color w:val="467886" w:themeColor="hyperlink"/>
      <w:u w:val="single"/>
    </w:rPr>
  </w:style>
  <w:style w:type="character" w:styleId="Menzionenonrisolta">
    <w:name w:val="Unresolved Mention"/>
    <w:basedOn w:val="Carpredefinitoparagrafo"/>
    <w:uiPriority w:val="99"/>
    <w:semiHidden/>
    <w:unhideWhenUsed/>
    <w:rsid w:val="000A6352"/>
    <w:rPr>
      <w:color w:val="605E5C"/>
      <w:shd w:val="clear" w:color="auto" w:fill="E1DFDD"/>
    </w:rPr>
  </w:style>
  <w:style w:type="character" w:styleId="Enfasigrassetto">
    <w:name w:val="Strong"/>
    <w:basedOn w:val="Carpredefinitoparagrafo"/>
    <w:uiPriority w:val="22"/>
    <w:qFormat/>
    <w:rsid w:val="000A6352"/>
    <w:rPr>
      <w:b/>
      <w:bCs/>
    </w:rPr>
  </w:style>
  <w:style w:type="paragraph" w:customStyle="1" w:styleId="Paragrafo">
    <w:name w:val="Paragrafo"/>
    <w:basedOn w:val="Normale"/>
    <w:link w:val="ParagrafoCarattere"/>
    <w:qFormat/>
    <w:rsid w:val="00472BDE"/>
    <w:pPr>
      <w:pBdr>
        <w:bottom w:val="single" w:sz="2" w:space="1" w:color="215E99" w:themeColor="text2" w:themeTint="BF"/>
      </w:pBdr>
    </w:pPr>
    <w:rPr>
      <w:rFonts w:ascii="Abadi" w:hAnsi="Abadi"/>
      <w:color w:val="215E99" w:themeColor="text2" w:themeTint="BF"/>
      <w:sz w:val="18"/>
    </w:rPr>
  </w:style>
  <w:style w:type="character" w:customStyle="1" w:styleId="ParagrafoCarattere">
    <w:name w:val="Paragrafo Carattere"/>
    <w:basedOn w:val="Carpredefinitoparagrafo"/>
    <w:link w:val="Paragrafo"/>
    <w:rsid w:val="00472BDE"/>
    <w:rPr>
      <w:rFonts w:ascii="Abadi" w:eastAsia="Times New Roman" w:hAnsi="Abadi" w:cs="Open Sans"/>
      <w:iCs/>
      <w:color w:val="215E99" w:themeColor="text2" w:themeTint="BF"/>
      <w:kern w:val="0"/>
      <w:sz w:val="18"/>
      <w:szCs w:val="20"/>
      <w:lang w:eastAsia="it-IT"/>
      <w14:ligatures w14:val="none"/>
    </w:rPr>
  </w:style>
  <w:style w:type="character" w:styleId="Collegamentovisitato">
    <w:name w:val="FollowedHyperlink"/>
    <w:basedOn w:val="Carpredefinitoparagrafo"/>
    <w:uiPriority w:val="99"/>
    <w:semiHidden/>
    <w:unhideWhenUsed/>
    <w:rsid w:val="00281B20"/>
    <w:rPr>
      <w:color w:val="96607D" w:themeColor="followedHyperlink"/>
      <w:u w:val="single"/>
    </w:rPr>
  </w:style>
  <w:style w:type="paragraph" w:customStyle="1" w:styleId="Maintitoli">
    <w:name w:val="Main titoli"/>
    <w:basedOn w:val="Titolo"/>
    <w:link w:val="MaintitoliCarattere"/>
    <w:qFormat/>
    <w:rsid w:val="00192907"/>
    <w:pPr>
      <w:pBdr>
        <w:top w:val="single" w:sz="4" w:space="1" w:color="auto" w:shadow="1"/>
        <w:left w:val="single" w:sz="4" w:space="4" w:color="auto" w:shadow="1"/>
        <w:bottom w:val="single" w:sz="4" w:space="1" w:color="auto" w:shadow="1"/>
        <w:right w:val="single" w:sz="4" w:space="4" w:color="auto" w:shadow="1"/>
      </w:pBdr>
      <w:shd w:val="clear" w:color="auto" w:fill="C1EFFF"/>
    </w:pPr>
    <w:rPr>
      <w:rFonts w:ascii="Open Sans" w:hAnsi="Open Sans"/>
      <w:i/>
      <w:sz w:val="28"/>
      <w:u w:val="single"/>
    </w:rPr>
  </w:style>
  <w:style w:type="character" w:customStyle="1" w:styleId="MaintitoliCarattere">
    <w:name w:val="Main titoli Carattere"/>
    <w:basedOn w:val="Carpredefinitoparagrafo"/>
    <w:link w:val="Maintitoli"/>
    <w:rsid w:val="00192907"/>
    <w:rPr>
      <w:rFonts w:ascii="Open Sans" w:eastAsiaTheme="majorEastAsia" w:hAnsi="Open Sans" w:cstheme="majorBidi"/>
      <w:i/>
      <w:iCs/>
      <w:spacing w:val="-10"/>
      <w:kern w:val="28"/>
      <w:sz w:val="28"/>
      <w:szCs w:val="56"/>
      <w:u w:val="single"/>
      <w:shd w:val="clear" w:color="auto" w:fill="C1EFFF"/>
      <w:lang w:eastAsia="it-IT"/>
      <w14:ligatures w14:val="none"/>
    </w:rPr>
  </w:style>
  <w:style w:type="table" w:styleId="Tabellasemplice-1">
    <w:name w:val="Plain Table 1"/>
    <w:basedOn w:val="Tabellaclassica1"/>
    <w:uiPriority w:val="41"/>
    <w:rsid w:val="002E0A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i/>
        <w:iCs/>
      </w:rPr>
      <w:tblPr/>
      <w:tcPr>
        <w:tcBorders>
          <w:bottom w:val="single" w:sz="6" w:space="0" w:color="000000"/>
          <w:tl2br w:val="none" w:sz="0" w:space="0" w:color="auto"/>
          <w:tr2bl w:val="none" w:sz="0" w:space="0" w:color="auto"/>
        </w:tcBorders>
      </w:tcPr>
    </w:tblStylePr>
    <w:tblStylePr w:type="lastRow">
      <w:rPr>
        <w:b/>
        <w:bCs/>
        <w:color w:val="auto"/>
      </w:rPr>
      <w:tblPr/>
      <w:tcPr>
        <w:tcBorders>
          <w:top w:val="double" w:sz="4" w:space="0" w:color="BFBFBF" w:themeColor="background1" w:themeShade="BF"/>
          <w:tl2br w:val="none" w:sz="0" w:space="0" w:color="auto"/>
          <w:tr2bl w:val="none" w:sz="0" w:space="0" w:color="auto"/>
        </w:tcBorders>
      </w:tcPr>
    </w:tblStylePr>
    <w:tblStylePr w:type="firstCol">
      <w:rPr>
        <w:b/>
        <w:bCs/>
      </w:rPr>
      <w:tblPr/>
      <w:tcPr>
        <w:tcBorders>
          <w:right w:val="single" w:sz="6" w:space="0" w:color="000000"/>
          <w:tl2br w:val="none" w:sz="0" w:space="0" w:color="auto"/>
          <w:tr2bl w:val="none" w:sz="0" w:space="0" w:color="auto"/>
        </w:tcBorders>
      </w:tc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Rimandocommento">
    <w:name w:val="annotation reference"/>
    <w:basedOn w:val="Carpredefinitoparagrafo"/>
    <w:uiPriority w:val="99"/>
    <w:semiHidden/>
    <w:unhideWhenUsed/>
    <w:rsid w:val="006E2059"/>
    <w:rPr>
      <w:sz w:val="16"/>
      <w:szCs w:val="16"/>
    </w:rPr>
  </w:style>
  <w:style w:type="paragraph" w:styleId="Testocommento">
    <w:name w:val="annotation text"/>
    <w:basedOn w:val="Normale"/>
    <w:link w:val="TestocommentoCarattere"/>
    <w:uiPriority w:val="99"/>
    <w:unhideWhenUsed/>
    <w:rsid w:val="006E2059"/>
  </w:style>
  <w:style w:type="character" w:customStyle="1" w:styleId="TestocommentoCarattere">
    <w:name w:val="Testo commento Carattere"/>
    <w:basedOn w:val="Carpredefinitoparagrafo"/>
    <w:link w:val="Testocommento"/>
    <w:uiPriority w:val="99"/>
    <w:rsid w:val="006E2059"/>
    <w:rPr>
      <w:rFonts w:ascii="Calibri" w:eastAsia="Times New Roman" w:hAnsi="Calibri" w:cs="Open Sans"/>
      <w:iCs/>
      <w:kern w:val="0"/>
      <w:sz w:val="20"/>
      <w:szCs w:val="20"/>
      <w:lang w:eastAsia="it-IT"/>
      <w14:ligatures w14:val="none"/>
    </w:rPr>
  </w:style>
  <w:style w:type="paragraph" w:styleId="Soggettocommento">
    <w:name w:val="annotation subject"/>
    <w:basedOn w:val="Testocommento"/>
    <w:next w:val="Testocommento"/>
    <w:link w:val="SoggettocommentoCarattere"/>
    <w:uiPriority w:val="99"/>
    <w:semiHidden/>
    <w:unhideWhenUsed/>
    <w:rsid w:val="006E2059"/>
    <w:rPr>
      <w:b/>
      <w:bCs/>
    </w:rPr>
  </w:style>
  <w:style w:type="character" w:customStyle="1" w:styleId="SoggettocommentoCarattere">
    <w:name w:val="Soggetto commento Carattere"/>
    <w:basedOn w:val="TestocommentoCarattere"/>
    <w:link w:val="Soggettocommento"/>
    <w:uiPriority w:val="99"/>
    <w:semiHidden/>
    <w:rsid w:val="006E2059"/>
    <w:rPr>
      <w:rFonts w:ascii="Calibri" w:eastAsia="Times New Roman" w:hAnsi="Calibri" w:cs="Open Sans"/>
      <w:b/>
      <w:bCs/>
      <w:iCs/>
      <w:kern w:val="0"/>
      <w:sz w:val="20"/>
      <w:szCs w:val="20"/>
      <w:lang w:eastAsia="it-IT"/>
      <w14:ligatures w14:val="none"/>
    </w:rPr>
  </w:style>
  <w:style w:type="paragraph" w:styleId="Titolosommario">
    <w:name w:val="TOC Heading"/>
    <w:basedOn w:val="Titolo1"/>
    <w:next w:val="Normale"/>
    <w:uiPriority w:val="39"/>
    <w:unhideWhenUsed/>
    <w:qFormat/>
    <w:rsid w:val="006F439E"/>
    <w:pPr>
      <w:widowControl/>
      <w:numPr>
        <w:numId w:val="0"/>
      </w:numPr>
      <w:spacing w:before="240" w:after="0" w:line="259" w:lineRule="auto"/>
      <w:jc w:val="left"/>
      <w:outlineLvl w:val="9"/>
    </w:pPr>
    <w:rPr>
      <w:rFonts w:asciiTheme="majorHAnsi" w:hAnsiTheme="majorHAnsi"/>
      <w:b w:val="0"/>
      <w:iCs w:val="0"/>
      <w:color w:val="0F4761" w:themeColor="accent1" w:themeShade="BF"/>
      <w:sz w:val="32"/>
      <w:szCs w:val="32"/>
    </w:rPr>
  </w:style>
  <w:style w:type="paragraph" w:styleId="Sommario1">
    <w:name w:val="toc 1"/>
    <w:basedOn w:val="Normale"/>
    <w:next w:val="Normale"/>
    <w:autoRedefine/>
    <w:uiPriority w:val="39"/>
    <w:unhideWhenUsed/>
    <w:rsid w:val="006F439E"/>
    <w:pPr>
      <w:spacing w:after="100"/>
    </w:pPr>
  </w:style>
  <w:style w:type="paragraph" w:styleId="Sommario2">
    <w:name w:val="toc 2"/>
    <w:basedOn w:val="Normale"/>
    <w:next w:val="Normale"/>
    <w:autoRedefine/>
    <w:uiPriority w:val="39"/>
    <w:unhideWhenUsed/>
    <w:rsid w:val="006F439E"/>
    <w:pPr>
      <w:spacing w:after="100"/>
      <w:ind w:left="200"/>
    </w:pPr>
  </w:style>
  <w:style w:type="paragraph" w:styleId="Bibliografia">
    <w:name w:val="Bibliography"/>
    <w:basedOn w:val="Normale"/>
    <w:next w:val="Normale"/>
    <w:uiPriority w:val="37"/>
    <w:unhideWhenUsed/>
    <w:rsid w:val="00B8462C"/>
  </w:style>
  <w:style w:type="table" w:styleId="Tabellaclassica1">
    <w:name w:val="Table Classic 1"/>
    <w:basedOn w:val="Tabellanormale"/>
    <w:uiPriority w:val="99"/>
    <w:semiHidden/>
    <w:unhideWhenUsed/>
    <w:rsid w:val="002E0A41"/>
    <w:pPr>
      <w:widowControl w:val="0"/>
      <w:spacing w:before="240" w:after="0" w:line="24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Sommario3">
    <w:name w:val="toc 3"/>
    <w:basedOn w:val="Normale"/>
    <w:next w:val="Normale"/>
    <w:autoRedefine/>
    <w:uiPriority w:val="39"/>
    <w:semiHidden/>
    <w:unhideWhenUsed/>
    <w:rsid w:val="00192907"/>
    <w:pPr>
      <w:spacing w:after="100"/>
      <w:ind w:left="400"/>
    </w:pPr>
  </w:style>
  <w:style w:type="paragraph" w:styleId="Sommario5">
    <w:name w:val="toc 5"/>
    <w:basedOn w:val="Normale"/>
    <w:next w:val="Normale"/>
    <w:autoRedefine/>
    <w:uiPriority w:val="39"/>
    <w:semiHidden/>
    <w:unhideWhenUsed/>
    <w:rsid w:val="00192907"/>
    <w:pPr>
      <w:spacing w:after="100"/>
      <w:ind w:left="800"/>
    </w:pPr>
  </w:style>
  <w:style w:type="paragraph" w:styleId="Sommario4">
    <w:name w:val="toc 4"/>
    <w:basedOn w:val="Normale"/>
    <w:next w:val="Normale"/>
    <w:autoRedefine/>
    <w:uiPriority w:val="39"/>
    <w:semiHidden/>
    <w:unhideWhenUsed/>
    <w:rsid w:val="00192907"/>
    <w:pPr>
      <w:spacing w:after="100"/>
      <w:ind w:left="600"/>
    </w:pPr>
  </w:style>
  <w:style w:type="paragraph" w:styleId="Corpotesto">
    <w:name w:val="Body Text"/>
    <w:basedOn w:val="serteco1"/>
    <w:link w:val="CorpotestoCarattere"/>
    <w:uiPriority w:val="1"/>
    <w:qFormat/>
    <w:rsid w:val="00192907"/>
    <w:pPr>
      <w:spacing w:before="0" w:line="360" w:lineRule="auto"/>
    </w:pPr>
    <w:rPr>
      <w:rFonts w:ascii="Open Sans" w:hAnsi="Open Sans"/>
      <w:iCs w:val="0"/>
    </w:rPr>
  </w:style>
  <w:style w:type="character" w:customStyle="1" w:styleId="CorpotestoCarattere">
    <w:name w:val="Corpo testo Carattere"/>
    <w:basedOn w:val="Carpredefinitoparagrafo"/>
    <w:link w:val="Corpotesto"/>
    <w:uiPriority w:val="1"/>
    <w:rsid w:val="00192907"/>
    <w:rPr>
      <w:rFonts w:ascii="Open Sans" w:eastAsia="Times New Roman" w:hAnsi="Open Sans" w:cs="Open Sans"/>
      <w:kern w:val="0"/>
      <w:sz w:val="20"/>
      <w:szCs w:val="20"/>
      <w:lang w:eastAsia="it-IT"/>
      <w14:ligatures w14:val="none"/>
    </w:rPr>
  </w:style>
  <w:style w:type="paragraph" w:customStyle="1" w:styleId="Copertina">
    <w:name w:val="Copertina"/>
    <w:basedOn w:val="Normale"/>
    <w:link w:val="CopertinaCarattere"/>
    <w:qFormat/>
    <w:rsid w:val="00192907"/>
    <w:pPr>
      <w:shd w:val="clear" w:color="auto" w:fill="D9D9D9" w:themeFill="background1" w:themeFillShade="D9"/>
    </w:pPr>
  </w:style>
  <w:style w:type="character" w:customStyle="1" w:styleId="CopertinaCarattere">
    <w:name w:val="Copertina Carattere"/>
    <w:basedOn w:val="Carpredefinitoparagrafo"/>
    <w:link w:val="Copertina"/>
    <w:rsid w:val="00192907"/>
    <w:rPr>
      <w:rFonts w:ascii="Calibri" w:eastAsia="Times New Roman" w:hAnsi="Calibri" w:cs="Open Sans"/>
      <w:iCs/>
      <w:kern w:val="0"/>
      <w:sz w:val="20"/>
      <w:szCs w:val="20"/>
      <w:shd w:val="clear" w:color="auto" w:fill="D9D9D9" w:themeFill="background1" w:themeFillShade="D9"/>
      <w:lang w:eastAsia="it-IT"/>
      <w14:ligatures w14:val="none"/>
    </w:rPr>
  </w:style>
  <w:style w:type="paragraph" w:customStyle="1" w:styleId="pdq2pgselectionanchorcontainer">
    <w:name w:val="pdq2pg_selectionanchorcontainer"/>
    <w:basedOn w:val="Normale"/>
    <w:rsid w:val="006461F2"/>
    <w:pPr>
      <w:widowControl/>
      <w:spacing w:before="100" w:beforeAutospacing="1" w:after="100" w:afterAutospacing="1"/>
      <w:jc w:val="left"/>
    </w:pPr>
    <w:rPr>
      <w:rFonts w:ascii="Times New Roman" w:hAnsi="Times New Roman" w:cs="Times New Roman"/>
      <w:iCs w:val="0"/>
      <w:sz w:val="24"/>
      <w:szCs w:val="24"/>
    </w:rPr>
  </w:style>
  <w:style w:type="character" w:styleId="Enfasicorsivo">
    <w:name w:val="Emphasis"/>
    <w:basedOn w:val="Carpredefinitoparagrafo"/>
    <w:uiPriority w:val="20"/>
    <w:qFormat/>
    <w:rsid w:val="006461F2"/>
    <w:rPr>
      <w:i/>
      <w:iCs/>
    </w:rPr>
  </w:style>
  <w:style w:type="character" w:styleId="Testosegnaposto">
    <w:name w:val="Placeholder Text"/>
    <w:basedOn w:val="Carpredefinitoparagrafo"/>
    <w:uiPriority w:val="99"/>
    <w:semiHidden/>
    <w:rsid w:val="006461F2"/>
    <w:rPr>
      <w:color w:val="666666"/>
    </w:rPr>
  </w:style>
  <w:style w:type="character" w:customStyle="1" w:styleId="mord">
    <w:name w:val="mord"/>
    <w:basedOn w:val="Carpredefinitoparagrafo"/>
    <w:rsid w:val="00CB0618"/>
  </w:style>
  <w:style w:type="character" w:customStyle="1" w:styleId="vlist-s">
    <w:name w:val="vlist-s"/>
    <w:basedOn w:val="Carpredefinitoparagrafo"/>
    <w:rsid w:val="00CB0618"/>
  </w:style>
  <w:style w:type="character" w:customStyle="1" w:styleId="mrel">
    <w:name w:val="mrel"/>
    <w:basedOn w:val="Carpredefinitoparagrafo"/>
    <w:rsid w:val="00CB0618"/>
  </w:style>
  <w:style w:type="character" w:customStyle="1" w:styleId="mop">
    <w:name w:val="mop"/>
    <w:basedOn w:val="Carpredefinitoparagrafo"/>
    <w:rsid w:val="00CB0618"/>
  </w:style>
  <w:style w:type="character" w:customStyle="1" w:styleId="delimsizing">
    <w:name w:val="delimsizing"/>
    <w:basedOn w:val="Carpredefinitoparagrafo"/>
    <w:rsid w:val="00CB0618"/>
  </w:style>
  <w:style w:type="table" w:styleId="Tabellasemplice5">
    <w:name w:val="Plain Table 5"/>
    <w:basedOn w:val="Tabellanormale"/>
    <w:uiPriority w:val="45"/>
    <w:rsid w:val="001F2398"/>
    <w:pPr>
      <w:spacing w:after="0" w:line="240" w:lineRule="auto"/>
    </w:pPr>
    <w:tblPr>
      <w:tblStyleRowBandSize w:val="1"/>
      <w:tblStyleColBandSize w:val="1"/>
    </w:tblPr>
    <w:tcPr>
      <w:shd w:val="clear" w:color="auto" w:fill="auto"/>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1chiara-colore4">
    <w:name w:val="Grid Table 1 Light Accent 4"/>
    <w:basedOn w:val="Tabellanormale"/>
    <w:uiPriority w:val="46"/>
    <w:rsid w:val="001F239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lagriglia3-colore1">
    <w:name w:val="Grid Table 3 Accent 1"/>
    <w:basedOn w:val="Tabellanormale"/>
    <w:uiPriority w:val="48"/>
    <w:rsid w:val="001F239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lagriglia3-colore4">
    <w:name w:val="Grid Table 3 Accent 4"/>
    <w:basedOn w:val="Tabellanormale"/>
    <w:uiPriority w:val="48"/>
    <w:rsid w:val="001F239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gliatabella">
    <w:name w:val="Table Grid"/>
    <w:basedOn w:val="Tabellanormale"/>
    <w:uiPriority w:val="39"/>
    <w:rsid w:val="001F2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0B42A3"/>
    <w:pPr>
      <w:spacing w:before="0" w:after="200"/>
    </w:pPr>
    <w:rPr>
      <w:i/>
      <w:iCs w:val="0"/>
      <w:color w:val="0E2841" w:themeColor="text2"/>
      <w:sz w:val="18"/>
      <w:szCs w:val="18"/>
    </w:rPr>
  </w:style>
  <w:style w:type="table" w:styleId="Tabellagriglia1chiara-colore1">
    <w:name w:val="Grid Table 1 Light Accent 1"/>
    <w:basedOn w:val="Tabellanormale"/>
    <w:uiPriority w:val="46"/>
    <w:rsid w:val="00F33AB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HUBbibliography">
    <w:name w:val="HUB bibliography"/>
    <w:basedOn w:val="Normale"/>
    <w:pPr>
      <w:spacing w:after="80"/>
    </w:pPr>
    <w:rPr>
      <w:b/>
      <w:sz w:val="24"/>
    </w:rPr>
  </w:style>
  <w:style w:type="paragraph" w:customStyle="1" w:styleId="HUBbibliographygroup">
    <w:name w:val="HUB bibliography group"/>
    <w:basedOn w:val="Normale"/>
    <w:pPr>
      <w:spacing w:after="80" w:before="200"/>
    </w:pPr>
    <w:rPr>
      <w:b/>
      <w:sz w:val="21"/>
    </w:rPr>
  </w:style>
  <w:style w:type="paragraph" w:customStyle="1" w:styleId="HUBbibliographyitem">
    <w:name w:val="HUB bibliography item"/>
    <w:basedOn w:val="Normale"/>
    <w:pPr>
      <w:spacing w:after="40" w:line="240" w:lineRule="auto"/>
      <w:ind w:left="255" w:hanging="255"/>
    </w:pPr>
    <w:rPr>
      <w:b w:val="0"/>
      <w:sz w:val="18"/>
    </w:rPr>
  </w:style>
  <w:style w:type="paragraph" w:customStyle="1" w:styleId="HUBequation">
    <w:name w:val="HUB equation"/>
    <w:basedOn w:val="Normale"/>
    <w:pPr>
      <w:keepLines/>
      <w:spacing w:before="60" w:after="100"/>
    </w:pPr>
    <w:rPr>
      <w:rFonts w:ascii="Cambria Math" w:hAnsi="Cambria Math"/>
      <w:b w:val="0"/>
      <w:sz w:val="20"/>
    </w:rPr>
  </w:style>
  <w:style w:type="paragraph" w:customStyle="1" w:styleId="HUBsmallnote">
    <w:name w:val="HUB small note"/>
    <w:basedOn w:val="Normale"/>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912">
      <w:bodyDiv w:val="1"/>
      <w:marLeft w:val="0"/>
      <w:marRight w:val="0"/>
      <w:marTop w:val="0"/>
      <w:marBottom w:val="0"/>
      <w:divBdr>
        <w:top w:val="none" w:sz="0" w:space="0" w:color="auto"/>
        <w:left w:val="none" w:sz="0" w:space="0" w:color="auto"/>
        <w:bottom w:val="none" w:sz="0" w:space="0" w:color="auto"/>
        <w:right w:val="none" w:sz="0" w:space="0" w:color="auto"/>
      </w:divBdr>
    </w:div>
    <w:div w:id="1472392">
      <w:bodyDiv w:val="1"/>
      <w:marLeft w:val="0"/>
      <w:marRight w:val="0"/>
      <w:marTop w:val="0"/>
      <w:marBottom w:val="0"/>
      <w:divBdr>
        <w:top w:val="none" w:sz="0" w:space="0" w:color="auto"/>
        <w:left w:val="none" w:sz="0" w:space="0" w:color="auto"/>
        <w:bottom w:val="none" w:sz="0" w:space="0" w:color="auto"/>
        <w:right w:val="none" w:sz="0" w:space="0" w:color="auto"/>
      </w:divBdr>
    </w:div>
    <w:div w:id="3437869">
      <w:bodyDiv w:val="1"/>
      <w:marLeft w:val="0"/>
      <w:marRight w:val="0"/>
      <w:marTop w:val="0"/>
      <w:marBottom w:val="0"/>
      <w:divBdr>
        <w:top w:val="none" w:sz="0" w:space="0" w:color="auto"/>
        <w:left w:val="none" w:sz="0" w:space="0" w:color="auto"/>
        <w:bottom w:val="none" w:sz="0" w:space="0" w:color="auto"/>
        <w:right w:val="none" w:sz="0" w:space="0" w:color="auto"/>
      </w:divBdr>
    </w:div>
    <w:div w:id="4407271">
      <w:bodyDiv w:val="1"/>
      <w:marLeft w:val="0"/>
      <w:marRight w:val="0"/>
      <w:marTop w:val="0"/>
      <w:marBottom w:val="0"/>
      <w:divBdr>
        <w:top w:val="none" w:sz="0" w:space="0" w:color="auto"/>
        <w:left w:val="none" w:sz="0" w:space="0" w:color="auto"/>
        <w:bottom w:val="none" w:sz="0" w:space="0" w:color="auto"/>
        <w:right w:val="none" w:sz="0" w:space="0" w:color="auto"/>
      </w:divBdr>
    </w:div>
    <w:div w:id="13043849">
      <w:bodyDiv w:val="1"/>
      <w:marLeft w:val="0"/>
      <w:marRight w:val="0"/>
      <w:marTop w:val="0"/>
      <w:marBottom w:val="0"/>
      <w:divBdr>
        <w:top w:val="none" w:sz="0" w:space="0" w:color="auto"/>
        <w:left w:val="none" w:sz="0" w:space="0" w:color="auto"/>
        <w:bottom w:val="none" w:sz="0" w:space="0" w:color="auto"/>
        <w:right w:val="none" w:sz="0" w:space="0" w:color="auto"/>
      </w:divBdr>
    </w:div>
    <w:div w:id="15425643">
      <w:bodyDiv w:val="1"/>
      <w:marLeft w:val="0"/>
      <w:marRight w:val="0"/>
      <w:marTop w:val="0"/>
      <w:marBottom w:val="0"/>
      <w:divBdr>
        <w:top w:val="none" w:sz="0" w:space="0" w:color="auto"/>
        <w:left w:val="none" w:sz="0" w:space="0" w:color="auto"/>
        <w:bottom w:val="none" w:sz="0" w:space="0" w:color="auto"/>
        <w:right w:val="none" w:sz="0" w:space="0" w:color="auto"/>
      </w:divBdr>
    </w:div>
    <w:div w:id="25909276">
      <w:bodyDiv w:val="1"/>
      <w:marLeft w:val="0"/>
      <w:marRight w:val="0"/>
      <w:marTop w:val="0"/>
      <w:marBottom w:val="0"/>
      <w:divBdr>
        <w:top w:val="none" w:sz="0" w:space="0" w:color="auto"/>
        <w:left w:val="none" w:sz="0" w:space="0" w:color="auto"/>
        <w:bottom w:val="none" w:sz="0" w:space="0" w:color="auto"/>
        <w:right w:val="none" w:sz="0" w:space="0" w:color="auto"/>
      </w:divBdr>
    </w:div>
    <w:div w:id="46952769">
      <w:bodyDiv w:val="1"/>
      <w:marLeft w:val="0"/>
      <w:marRight w:val="0"/>
      <w:marTop w:val="0"/>
      <w:marBottom w:val="0"/>
      <w:divBdr>
        <w:top w:val="none" w:sz="0" w:space="0" w:color="auto"/>
        <w:left w:val="none" w:sz="0" w:space="0" w:color="auto"/>
        <w:bottom w:val="none" w:sz="0" w:space="0" w:color="auto"/>
        <w:right w:val="none" w:sz="0" w:space="0" w:color="auto"/>
      </w:divBdr>
    </w:div>
    <w:div w:id="74983315">
      <w:bodyDiv w:val="1"/>
      <w:marLeft w:val="0"/>
      <w:marRight w:val="0"/>
      <w:marTop w:val="0"/>
      <w:marBottom w:val="0"/>
      <w:divBdr>
        <w:top w:val="none" w:sz="0" w:space="0" w:color="auto"/>
        <w:left w:val="none" w:sz="0" w:space="0" w:color="auto"/>
        <w:bottom w:val="none" w:sz="0" w:space="0" w:color="auto"/>
        <w:right w:val="none" w:sz="0" w:space="0" w:color="auto"/>
      </w:divBdr>
    </w:div>
    <w:div w:id="78644042">
      <w:bodyDiv w:val="1"/>
      <w:marLeft w:val="0"/>
      <w:marRight w:val="0"/>
      <w:marTop w:val="0"/>
      <w:marBottom w:val="0"/>
      <w:divBdr>
        <w:top w:val="none" w:sz="0" w:space="0" w:color="auto"/>
        <w:left w:val="none" w:sz="0" w:space="0" w:color="auto"/>
        <w:bottom w:val="none" w:sz="0" w:space="0" w:color="auto"/>
        <w:right w:val="none" w:sz="0" w:space="0" w:color="auto"/>
      </w:divBdr>
    </w:div>
    <w:div w:id="102498327">
      <w:bodyDiv w:val="1"/>
      <w:marLeft w:val="0"/>
      <w:marRight w:val="0"/>
      <w:marTop w:val="0"/>
      <w:marBottom w:val="0"/>
      <w:divBdr>
        <w:top w:val="none" w:sz="0" w:space="0" w:color="auto"/>
        <w:left w:val="none" w:sz="0" w:space="0" w:color="auto"/>
        <w:bottom w:val="none" w:sz="0" w:space="0" w:color="auto"/>
        <w:right w:val="none" w:sz="0" w:space="0" w:color="auto"/>
      </w:divBdr>
    </w:div>
    <w:div w:id="120877899">
      <w:bodyDiv w:val="1"/>
      <w:marLeft w:val="0"/>
      <w:marRight w:val="0"/>
      <w:marTop w:val="0"/>
      <w:marBottom w:val="0"/>
      <w:divBdr>
        <w:top w:val="none" w:sz="0" w:space="0" w:color="auto"/>
        <w:left w:val="none" w:sz="0" w:space="0" w:color="auto"/>
        <w:bottom w:val="none" w:sz="0" w:space="0" w:color="auto"/>
        <w:right w:val="none" w:sz="0" w:space="0" w:color="auto"/>
      </w:divBdr>
    </w:div>
    <w:div w:id="133255073">
      <w:bodyDiv w:val="1"/>
      <w:marLeft w:val="0"/>
      <w:marRight w:val="0"/>
      <w:marTop w:val="0"/>
      <w:marBottom w:val="0"/>
      <w:divBdr>
        <w:top w:val="none" w:sz="0" w:space="0" w:color="auto"/>
        <w:left w:val="none" w:sz="0" w:space="0" w:color="auto"/>
        <w:bottom w:val="none" w:sz="0" w:space="0" w:color="auto"/>
        <w:right w:val="none" w:sz="0" w:space="0" w:color="auto"/>
      </w:divBdr>
    </w:div>
    <w:div w:id="174536540">
      <w:bodyDiv w:val="1"/>
      <w:marLeft w:val="0"/>
      <w:marRight w:val="0"/>
      <w:marTop w:val="0"/>
      <w:marBottom w:val="0"/>
      <w:divBdr>
        <w:top w:val="none" w:sz="0" w:space="0" w:color="auto"/>
        <w:left w:val="none" w:sz="0" w:space="0" w:color="auto"/>
        <w:bottom w:val="none" w:sz="0" w:space="0" w:color="auto"/>
        <w:right w:val="none" w:sz="0" w:space="0" w:color="auto"/>
      </w:divBdr>
    </w:div>
    <w:div w:id="178083559">
      <w:bodyDiv w:val="1"/>
      <w:marLeft w:val="0"/>
      <w:marRight w:val="0"/>
      <w:marTop w:val="0"/>
      <w:marBottom w:val="0"/>
      <w:divBdr>
        <w:top w:val="none" w:sz="0" w:space="0" w:color="auto"/>
        <w:left w:val="none" w:sz="0" w:space="0" w:color="auto"/>
        <w:bottom w:val="none" w:sz="0" w:space="0" w:color="auto"/>
        <w:right w:val="none" w:sz="0" w:space="0" w:color="auto"/>
      </w:divBdr>
    </w:div>
    <w:div w:id="182327831">
      <w:bodyDiv w:val="1"/>
      <w:marLeft w:val="0"/>
      <w:marRight w:val="0"/>
      <w:marTop w:val="0"/>
      <w:marBottom w:val="0"/>
      <w:divBdr>
        <w:top w:val="none" w:sz="0" w:space="0" w:color="auto"/>
        <w:left w:val="none" w:sz="0" w:space="0" w:color="auto"/>
        <w:bottom w:val="none" w:sz="0" w:space="0" w:color="auto"/>
        <w:right w:val="none" w:sz="0" w:space="0" w:color="auto"/>
      </w:divBdr>
    </w:div>
    <w:div w:id="183446463">
      <w:bodyDiv w:val="1"/>
      <w:marLeft w:val="0"/>
      <w:marRight w:val="0"/>
      <w:marTop w:val="0"/>
      <w:marBottom w:val="0"/>
      <w:divBdr>
        <w:top w:val="none" w:sz="0" w:space="0" w:color="auto"/>
        <w:left w:val="none" w:sz="0" w:space="0" w:color="auto"/>
        <w:bottom w:val="none" w:sz="0" w:space="0" w:color="auto"/>
        <w:right w:val="none" w:sz="0" w:space="0" w:color="auto"/>
      </w:divBdr>
    </w:div>
    <w:div w:id="190605335">
      <w:bodyDiv w:val="1"/>
      <w:marLeft w:val="0"/>
      <w:marRight w:val="0"/>
      <w:marTop w:val="0"/>
      <w:marBottom w:val="0"/>
      <w:divBdr>
        <w:top w:val="none" w:sz="0" w:space="0" w:color="auto"/>
        <w:left w:val="none" w:sz="0" w:space="0" w:color="auto"/>
        <w:bottom w:val="none" w:sz="0" w:space="0" w:color="auto"/>
        <w:right w:val="none" w:sz="0" w:space="0" w:color="auto"/>
      </w:divBdr>
    </w:div>
    <w:div w:id="198397213">
      <w:bodyDiv w:val="1"/>
      <w:marLeft w:val="0"/>
      <w:marRight w:val="0"/>
      <w:marTop w:val="0"/>
      <w:marBottom w:val="0"/>
      <w:divBdr>
        <w:top w:val="none" w:sz="0" w:space="0" w:color="auto"/>
        <w:left w:val="none" w:sz="0" w:space="0" w:color="auto"/>
        <w:bottom w:val="none" w:sz="0" w:space="0" w:color="auto"/>
        <w:right w:val="none" w:sz="0" w:space="0" w:color="auto"/>
      </w:divBdr>
    </w:div>
    <w:div w:id="205411144">
      <w:bodyDiv w:val="1"/>
      <w:marLeft w:val="0"/>
      <w:marRight w:val="0"/>
      <w:marTop w:val="0"/>
      <w:marBottom w:val="0"/>
      <w:divBdr>
        <w:top w:val="none" w:sz="0" w:space="0" w:color="auto"/>
        <w:left w:val="none" w:sz="0" w:space="0" w:color="auto"/>
        <w:bottom w:val="none" w:sz="0" w:space="0" w:color="auto"/>
        <w:right w:val="none" w:sz="0" w:space="0" w:color="auto"/>
      </w:divBdr>
    </w:div>
    <w:div w:id="210115998">
      <w:bodyDiv w:val="1"/>
      <w:marLeft w:val="0"/>
      <w:marRight w:val="0"/>
      <w:marTop w:val="0"/>
      <w:marBottom w:val="0"/>
      <w:divBdr>
        <w:top w:val="none" w:sz="0" w:space="0" w:color="auto"/>
        <w:left w:val="none" w:sz="0" w:space="0" w:color="auto"/>
        <w:bottom w:val="none" w:sz="0" w:space="0" w:color="auto"/>
        <w:right w:val="none" w:sz="0" w:space="0" w:color="auto"/>
      </w:divBdr>
    </w:div>
    <w:div w:id="217981544">
      <w:bodyDiv w:val="1"/>
      <w:marLeft w:val="0"/>
      <w:marRight w:val="0"/>
      <w:marTop w:val="0"/>
      <w:marBottom w:val="0"/>
      <w:divBdr>
        <w:top w:val="none" w:sz="0" w:space="0" w:color="auto"/>
        <w:left w:val="none" w:sz="0" w:space="0" w:color="auto"/>
        <w:bottom w:val="none" w:sz="0" w:space="0" w:color="auto"/>
        <w:right w:val="none" w:sz="0" w:space="0" w:color="auto"/>
      </w:divBdr>
    </w:div>
    <w:div w:id="226037822">
      <w:bodyDiv w:val="1"/>
      <w:marLeft w:val="0"/>
      <w:marRight w:val="0"/>
      <w:marTop w:val="0"/>
      <w:marBottom w:val="0"/>
      <w:divBdr>
        <w:top w:val="none" w:sz="0" w:space="0" w:color="auto"/>
        <w:left w:val="none" w:sz="0" w:space="0" w:color="auto"/>
        <w:bottom w:val="none" w:sz="0" w:space="0" w:color="auto"/>
        <w:right w:val="none" w:sz="0" w:space="0" w:color="auto"/>
      </w:divBdr>
    </w:div>
    <w:div w:id="227111288">
      <w:bodyDiv w:val="1"/>
      <w:marLeft w:val="0"/>
      <w:marRight w:val="0"/>
      <w:marTop w:val="0"/>
      <w:marBottom w:val="0"/>
      <w:divBdr>
        <w:top w:val="none" w:sz="0" w:space="0" w:color="auto"/>
        <w:left w:val="none" w:sz="0" w:space="0" w:color="auto"/>
        <w:bottom w:val="none" w:sz="0" w:space="0" w:color="auto"/>
        <w:right w:val="none" w:sz="0" w:space="0" w:color="auto"/>
      </w:divBdr>
    </w:div>
    <w:div w:id="230701234">
      <w:bodyDiv w:val="1"/>
      <w:marLeft w:val="0"/>
      <w:marRight w:val="0"/>
      <w:marTop w:val="0"/>
      <w:marBottom w:val="0"/>
      <w:divBdr>
        <w:top w:val="none" w:sz="0" w:space="0" w:color="auto"/>
        <w:left w:val="none" w:sz="0" w:space="0" w:color="auto"/>
        <w:bottom w:val="none" w:sz="0" w:space="0" w:color="auto"/>
        <w:right w:val="none" w:sz="0" w:space="0" w:color="auto"/>
      </w:divBdr>
    </w:div>
    <w:div w:id="231817575">
      <w:bodyDiv w:val="1"/>
      <w:marLeft w:val="0"/>
      <w:marRight w:val="0"/>
      <w:marTop w:val="0"/>
      <w:marBottom w:val="0"/>
      <w:divBdr>
        <w:top w:val="none" w:sz="0" w:space="0" w:color="auto"/>
        <w:left w:val="none" w:sz="0" w:space="0" w:color="auto"/>
        <w:bottom w:val="none" w:sz="0" w:space="0" w:color="auto"/>
        <w:right w:val="none" w:sz="0" w:space="0" w:color="auto"/>
      </w:divBdr>
    </w:div>
    <w:div w:id="236981294">
      <w:bodyDiv w:val="1"/>
      <w:marLeft w:val="0"/>
      <w:marRight w:val="0"/>
      <w:marTop w:val="0"/>
      <w:marBottom w:val="0"/>
      <w:divBdr>
        <w:top w:val="none" w:sz="0" w:space="0" w:color="auto"/>
        <w:left w:val="none" w:sz="0" w:space="0" w:color="auto"/>
        <w:bottom w:val="none" w:sz="0" w:space="0" w:color="auto"/>
        <w:right w:val="none" w:sz="0" w:space="0" w:color="auto"/>
      </w:divBdr>
    </w:div>
    <w:div w:id="242300001">
      <w:bodyDiv w:val="1"/>
      <w:marLeft w:val="0"/>
      <w:marRight w:val="0"/>
      <w:marTop w:val="0"/>
      <w:marBottom w:val="0"/>
      <w:divBdr>
        <w:top w:val="none" w:sz="0" w:space="0" w:color="auto"/>
        <w:left w:val="none" w:sz="0" w:space="0" w:color="auto"/>
        <w:bottom w:val="none" w:sz="0" w:space="0" w:color="auto"/>
        <w:right w:val="none" w:sz="0" w:space="0" w:color="auto"/>
      </w:divBdr>
    </w:div>
    <w:div w:id="262031852">
      <w:bodyDiv w:val="1"/>
      <w:marLeft w:val="0"/>
      <w:marRight w:val="0"/>
      <w:marTop w:val="0"/>
      <w:marBottom w:val="0"/>
      <w:divBdr>
        <w:top w:val="none" w:sz="0" w:space="0" w:color="auto"/>
        <w:left w:val="none" w:sz="0" w:space="0" w:color="auto"/>
        <w:bottom w:val="none" w:sz="0" w:space="0" w:color="auto"/>
        <w:right w:val="none" w:sz="0" w:space="0" w:color="auto"/>
      </w:divBdr>
    </w:div>
    <w:div w:id="278414560">
      <w:bodyDiv w:val="1"/>
      <w:marLeft w:val="0"/>
      <w:marRight w:val="0"/>
      <w:marTop w:val="0"/>
      <w:marBottom w:val="0"/>
      <w:divBdr>
        <w:top w:val="none" w:sz="0" w:space="0" w:color="auto"/>
        <w:left w:val="none" w:sz="0" w:space="0" w:color="auto"/>
        <w:bottom w:val="none" w:sz="0" w:space="0" w:color="auto"/>
        <w:right w:val="none" w:sz="0" w:space="0" w:color="auto"/>
      </w:divBdr>
    </w:div>
    <w:div w:id="280769194">
      <w:bodyDiv w:val="1"/>
      <w:marLeft w:val="0"/>
      <w:marRight w:val="0"/>
      <w:marTop w:val="0"/>
      <w:marBottom w:val="0"/>
      <w:divBdr>
        <w:top w:val="none" w:sz="0" w:space="0" w:color="auto"/>
        <w:left w:val="none" w:sz="0" w:space="0" w:color="auto"/>
        <w:bottom w:val="none" w:sz="0" w:space="0" w:color="auto"/>
        <w:right w:val="none" w:sz="0" w:space="0" w:color="auto"/>
      </w:divBdr>
    </w:div>
    <w:div w:id="287126018">
      <w:bodyDiv w:val="1"/>
      <w:marLeft w:val="0"/>
      <w:marRight w:val="0"/>
      <w:marTop w:val="0"/>
      <w:marBottom w:val="0"/>
      <w:divBdr>
        <w:top w:val="none" w:sz="0" w:space="0" w:color="auto"/>
        <w:left w:val="none" w:sz="0" w:space="0" w:color="auto"/>
        <w:bottom w:val="none" w:sz="0" w:space="0" w:color="auto"/>
        <w:right w:val="none" w:sz="0" w:space="0" w:color="auto"/>
      </w:divBdr>
    </w:div>
    <w:div w:id="293606193">
      <w:bodyDiv w:val="1"/>
      <w:marLeft w:val="0"/>
      <w:marRight w:val="0"/>
      <w:marTop w:val="0"/>
      <w:marBottom w:val="0"/>
      <w:divBdr>
        <w:top w:val="none" w:sz="0" w:space="0" w:color="auto"/>
        <w:left w:val="none" w:sz="0" w:space="0" w:color="auto"/>
        <w:bottom w:val="none" w:sz="0" w:space="0" w:color="auto"/>
        <w:right w:val="none" w:sz="0" w:space="0" w:color="auto"/>
      </w:divBdr>
    </w:div>
    <w:div w:id="300616106">
      <w:bodyDiv w:val="1"/>
      <w:marLeft w:val="0"/>
      <w:marRight w:val="0"/>
      <w:marTop w:val="0"/>
      <w:marBottom w:val="0"/>
      <w:divBdr>
        <w:top w:val="none" w:sz="0" w:space="0" w:color="auto"/>
        <w:left w:val="none" w:sz="0" w:space="0" w:color="auto"/>
        <w:bottom w:val="none" w:sz="0" w:space="0" w:color="auto"/>
        <w:right w:val="none" w:sz="0" w:space="0" w:color="auto"/>
      </w:divBdr>
    </w:div>
    <w:div w:id="308290587">
      <w:bodyDiv w:val="1"/>
      <w:marLeft w:val="0"/>
      <w:marRight w:val="0"/>
      <w:marTop w:val="0"/>
      <w:marBottom w:val="0"/>
      <w:divBdr>
        <w:top w:val="none" w:sz="0" w:space="0" w:color="auto"/>
        <w:left w:val="none" w:sz="0" w:space="0" w:color="auto"/>
        <w:bottom w:val="none" w:sz="0" w:space="0" w:color="auto"/>
        <w:right w:val="none" w:sz="0" w:space="0" w:color="auto"/>
      </w:divBdr>
    </w:div>
    <w:div w:id="308630408">
      <w:bodyDiv w:val="1"/>
      <w:marLeft w:val="0"/>
      <w:marRight w:val="0"/>
      <w:marTop w:val="0"/>
      <w:marBottom w:val="0"/>
      <w:divBdr>
        <w:top w:val="none" w:sz="0" w:space="0" w:color="auto"/>
        <w:left w:val="none" w:sz="0" w:space="0" w:color="auto"/>
        <w:bottom w:val="none" w:sz="0" w:space="0" w:color="auto"/>
        <w:right w:val="none" w:sz="0" w:space="0" w:color="auto"/>
      </w:divBdr>
    </w:div>
    <w:div w:id="341007319">
      <w:bodyDiv w:val="1"/>
      <w:marLeft w:val="0"/>
      <w:marRight w:val="0"/>
      <w:marTop w:val="0"/>
      <w:marBottom w:val="0"/>
      <w:divBdr>
        <w:top w:val="none" w:sz="0" w:space="0" w:color="auto"/>
        <w:left w:val="none" w:sz="0" w:space="0" w:color="auto"/>
        <w:bottom w:val="none" w:sz="0" w:space="0" w:color="auto"/>
        <w:right w:val="none" w:sz="0" w:space="0" w:color="auto"/>
      </w:divBdr>
    </w:div>
    <w:div w:id="351028496">
      <w:bodyDiv w:val="1"/>
      <w:marLeft w:val="0"/>
      <w:marRight w:val="0"/>
      <w:marTop w:val="0"/>
      <w:marBottom w:val="0"/>
      <w:divBdr>
        <w:top w:val="none" w:sz="0" w:space="0" w:color="auto"/>
        <w:left w:val="none" w:sz="0" w:space="0" w:color="auto"/>
        <w:bottom w:val="none" w:sz="0" w:space="0" w:color="auto"/>
        <w:right w:val="none" w:sz="0" w:space="0" w:color="auto"/>
      </w:divBdr>
    </w:div>
    <w:div w:id="367992757">
      <w:bodyDiv w:val="1"/>
      <w:marLeft w:val="0"/>
      <w:marRight w:val="0"/>
      <w:marTop w:val="0"/>
      <w:marBottom w:val="0"/>
      <w:divBdr>
        <w:top w:val="none" w:sz="0" w:space="0" w:color="auto"/>
        <w:left w:val="none" w:sz="0" w:space="0" w:color="auto"/>
        <w:bottom w:val="none" w:sz="0" w:space="0" w:color="auto"/>
        <w:right w:val="none" w:sz="0" w:space="0" w:color="auto"/>
      </w:divBdr>
    </w:div>
    <w:div w:id="382484740">
      <w:bodyDiv w:val="1"/>
      <w:marLeft w:val="0"/>
      <w:marRight w:val="0"/>
      <w:marTop w:val="0"/>
      <w:marBottom w:val="0"/>
      <w:divBdr>
        <w:top w:val="none" w:sz="0" w:space="0" w:color="auto"/>
        <w:left w:val="none" w:sz="0" w:space="0" w:color="auto"/>
        <w:bottom w:val="none" w:sz="0" w:space="0" w:color="auto"/>
        <w:right w:val="none" w:sz="0" w:space="0" w:color="auto"/>
      </w:divBdr>
    </w:div>
    <w:div w:id="388958495">
      <w:bodyDiv w:val="1"/>
      <w:marLeft w:val="0"/>
      <w:marRight w:val="0"/>
      <w:marTop w:val="0"/>
      <w:marBottom w:val="0"/>
      <w:divBdr>
        <w:top w:val="none" w:sz="0" w:space="0" w:color="auto"/>
        <w:left w:val="none" w:sz="0" w:space="0" w:color="auto"/>
        <w:bottom w:val="none" w:sz="0" w:space="0" w:color="auto"/>
        <w:right w:val="none" w:sz="0" w:space="0" w:color="auto"/>
      </w:divBdr>
    </w:div>
    <w:div w:id="390428238">
      <w:bodyDiv w:val="1"/>
      <w:marLeft w:val="0"/>
      <w:marRight w:val="0"/>
      <w:marTop w:val="0"/>
      <w:marBottom w:val="0"/>
      <w:divBdr>
        <w:top w:val="none" w:sz="0" w:space="0" w:color="auto"/>
        <w:left w:val="none" w:sz="0" w:space="0" w:color="auto"/>
        <w:bottom w:val="none" w:sz="0" w:space="0" w:color="auto"/>
        <w:right w:val="none" w:sz="0" w:space="0" w:color="auto"/>
      </w:divBdr>
    </w:div>
    <w:div w:id="390539113">
      <w:bodyDiv w:val="1"/>
      <w:marLeft w:val="0"/>
      <w:marRight w:val="0"/>
      <w:marTop w:val="0"/>
      <w:marBottom w:val="0"/>
      <w:divBdr>
        <w:top w:val="none" w:sz="0" w:space="0" w:color="auto"/>
        <w:left w:val="none" w:sz="0" w:space="0" w:color="auto"/>
        <w:bottom w:val="none" w:sz="0" w:space="0" w:color="auto"/>
        <w:right w:val="none" w:sz="0" w:space="0" w:color="auto"/>
      </w:divBdr>
    </w:div>
    <w:div w:id="395248009">
      <w:bodyDiv w:val="1"/>
      <w:marLeft w:val="0"/>
      <w:marRight w:val="0"/>
      <w:marTop w:val="0"/>
      <w:marBottom w:val="0"/>
      <w:divBdr>
        <w:top w:val="none" w:sz="0" w:space="0" w:color="auto"/>
        <w:left w:val="none" w:sz="0" w:space="0" w:color="auto"/>
        <w:bottom w:val="none" w:sz="0" w:space="0" w:color="auto"/>
        <w:right w:val="none" w:sz="0" w:space="0" w:color="auto"/>
      </w:divBdr>
    </w:div>
    <w:div w:id="399252852">
      <w:bodyDiv w:val="1"/>
      <w:marLeft w:val="0"/>
      <w:marRight w:val="0"/>
      <w:marTop w:val="0"/>
      <w:marBottom w:val="0"/>
      <w:divBdr>
        <w:top w:val="none" w:sz="0" w:space="0" w:color="auto"/>
        <w:left w:val="none" w:sz="0" w:space="0" w:color="auto"/>
        <w:bottom w:val="none" w:sz="0" w:space="0" w:color="auto"/>
        <w:right w:val="none" w:sz="0" w:space="0" w:color="auto"/>
      </w:divBdr>
    </w:div>
    <w:div w:id="405614425">
      <w:bodyDiv w:val="1"/>
      <w:marLeft w:val="0"/>
      <w:marRight w:val="0"/>
      <w:marTop w:val="0"/>
      <w:marBottom w:val="0"/>
      <w:divBdr>
        <w:top w:val="none" w:sz="0" w:space="0" w:color="auto"/>
        <w:left w:val="none" w:sz="0" w:space="0" w:color="auto"/>
        <w:bottom w:val="none" w:sz="0" w:space="0" w:color="auto"/>
        <w:right w:val="none" w:sz="0" w:space="0" w:color="auto"/>
      </w:divBdr>
    </w:div>
    <w:div w:id="408382750">
      <w:bodyDiv w:val="1"/>
      <w:marLeft w:val="0"/>
      <w:marRight w:val="0"/>
      <w:marTop w:val="0"/>
      <w:marBottom w:val="0"/>
      <w:divBdr>
        <w:top w:val="none" w:sz="0" w:space="0" w:color="auto"/>
        <w:left w:val="none" w:sz="0" w:space="0" w:color="auto"/>
        <w:bottom w:val="none" w:sz="0" w:space="0" w:color="auto"/>
        <w:right w:val="none" w:sz="0" w:space="0" w:color="auto"/>
      </w:divBdr>
    </w:div>
    <w:div w:id="421999142">
      <w:bodyDiv w:val="1"/>
      <w:marLeft w:val="0"/>
      <w:marRight w:val="0"/>
      <w:marTop w:val="0"/>
      <w:marBottom w:val="0"/>
      <w:divBdr>
        <w:top w:val="none" w:sz="0" w:space="0" w:color="auto"/>
        <w:left w:val="none" w:sz="0" w:space="0" w:color="auto"/>
        <w:bottom w:val="none" w:sz="0" w:space="0" w:color="auto"/>
        <w:right w:val="none" w:sz="0" w:space="0" w:color="auto"/>
      </w:divBdr>
    </w:div>
    <w:div w:id="424233136">
      <w:bodyDiv w:val="1"/>
      <w:marLeft w:val="0"/>
      <w:marRight w:val="0"/>
      <w:marTop w:val="0"/>
      <w:marBottom w:val="0"/>
      <w:divBdr>
        <w:top w:val="none" w:sz="0" w:space="0" w:color="auto"/>
        <w:left w:val="none" w:sz="0" w:space="0" w:color="auto"/>
        <w:bottom w:val="none" w:sz="0" w:space="0" w:color="auto"/>
        <w:right w:val="none" w:sz="0" w:space="0" w:color="auto"/>
      </w:divBdr>
    </w:div>
    <w:div w:id="431627026">
      <w:bodyDiv w:val="1"/>
      <w:marLeft w:val="0"/>
      <w:marRight w:val="0"/>
      <w:marTop w:val="0"/>
      <w:marBottom w:val="0"/>
      <w:divBdr>
        <w:top w:val="none" w:sz="0" w:space="0" w:color="auto"/>
        <w:left w:val="none" w:sz="0" w:space="0" w:color="auto"/>
        <w:bottom w:val="none" w:sz="0" w:space="0" w:color="auto"/>
        <w:right w:val="none" w:sz="0" w:space="0" w:color="auto"/>
      </w:divBdr>
    </w:div>
    <w:div w:id="432550743">
      <w:bodyDiv w:val="1"/>
      <w:marLeft w:val="0"/>
      <w:marRight w:val="0"/>
      <w:marTop w:val="0"/>
      <w:marBottom w:val="0"/>
      <w:divBdr>
        <w:top w:val="none" w:sz="0" w:space="0" w:color="auto"/>
        <w:left w:val="none" w:sz="0" w:space="0" w:color="auto"/>
        <w:bottom w:val="none" w:sz="0" w:space="0" w:color="auto"/>
        <w:right w:val="none" w:sz="0" w:space="0" w:color="auto"/>
      </w:divBdr>
    </w:div>
    <w:div w:id="441194656">
      <w:bodyDiv w:val="1"/>
      <w:marLeft w:val="0"/>
      <w:marRight w:val="0"/>
      <w:marTop w:val="0"/>
      <w:marBottom w:val="0"/>
      <w:divBdr>
        <w:top w:val="none" w:sz="0" w:space="0" w:color="auto"/>
        <w:left w:val="none" w:sz="0" w:space="0" w:color="auto"/>
        <w:bottom w:val="none" w:sz="0" w:space="0" w:color="auto"/>
        <w:right w:val="none" w:sz="0" w:space="0" w:color="auto"/>
      </w:divBdr>
    </w:div>
    <w:div w:id="456683794">
      <w:bodyDiv w:val="1"/>
      <w:marLeft w:val="0"/>
      <w:marRight w:val="0"/>
      <w:marTop w:val="0"/>
      <w:marBottom w:val="0"/>
      <w:divBdr>
        <w:top w:val="none" w:sz="0" w:space="0" w:color="auto"/>
        <w:left w:val="none" w:sz="0" w:space="0" w:color="auto"/>
        <w:bottom w:val="none" w:sz="0" w:space="0" w:color="auto"/>
        <w:right w:val="none" w:sz="0" w:space="0" w:color="auto"/>
      </w:divBdr>
    </w:div>
    <w:div w:id="466824286">
      <w:bodyDiv w:val="1"/>
      <w:marLeft w:val="0"/>
      <w:marRight w:val="0"/>
      <w:marTop w:val="0"/>
      <w:marBottom w:val="0"/>
      <w:divBdr>
        <w:top w:val="none" w:sz="0" w:space="0" w:color="auto"/>
        <w:left w:val="none" w:sz="0" w:space="0" w:color="auto"/>
        <w:bottom w:val="none" w:sz="0" w:space="0" w:color="auto"/>
        <w:right w:val="none" w:sz="0" w:space="0" w:color="auto"/>
      </w:divBdr>
    </w:div>
    <w:div w:id="472332199">
      <w:bodyDiv w:val="1"/>
      <w:marLeft w:val="0"/>
      <w:marRight w:val="0"/>
      <w:marTop w:val="0"/>
      <w:marBottom w:val="0"/>
      <w:divBdr>
        <w:top w:val="none" w:sz="0" w:space="0" w:color="auto"/>
        <w:left w:val="none" w:sz="0" w:space="0" w:color="auto"/>
        <w:bottom w:val="none" w:sz="0" w:space="0" w:color="auto"/>
        <w:right w:val="none" w:sz="0" w:space="0" w:color="auto"/>
      </w:divBdr>
    </w:div>
    <w:div w:id="490868990">
      <w:bodyDiv w:val="1"/>
      <w:marLeft w:val="0"/>
      <w:marRight w:val="0"/>
      <w:marTop w:val="0"/>
      <w:marBottom w:val="0"/>
      <w:divBdr>
        <w:top w:val="none" w:sz="0" w:space="0" w:color="auto"/>
        <w:left w:val="none" w:sz="0" w:space="0" w:color="auto"/>
        <w:bottom w:val="none" w:sz="0" w:space="0" w:color="auto"/>
        <w:right w:val="none" w:sz="0" w:space="0" w:color="auto"/>
      </w:divBdr>
    </w:div>
    <w:div w:id="493104106">
      <w:bodyDiv w:val="1"/>
      <w:marLeft w:val="0"/>
      <w:marRight w:val="0"/>
      <w:marTop w:val="0"/>
      <w:marBottom w:val="0"/>
      <w:divBdr>
        <w:top w:val="none" w:sz="0" w:space="0" w:color="auto"/>
        <w:left w:val="none" w:sz="0" w:space="0" w:color="auto"/>
        <w:bottom w:val="none" w:sz="0" w:space="0" w:color="auto"/>
        <w:right w:val="none" w:sz="0" w:space="0" w:color="auto"/>
      </w:divBdr>
    </w:div>
    <w:div w:id="500775453">
      <w:bodyDiv w:val="1"/>
      <w:marLeft w:val="0"/>
      <w:marRight w:val="0"/>
      <w:marTop w:val="0"/>
      <w:marBottom w:val="0"/>
      <w:divBdr>
        <w:top w:val="none" w:sz="0" w:space="0" w:color="auto"/>
        <w:left w:val="none" w:sz="0" w:space="0" w:color="auto"/>
        <w:bottom w:val="none" w:sz="0" w:space="0" w:color="auto"/>
        <w:right w:val="none" w:sz="0" w:space="0" w:color="auto"/>
      </w:divBdr>
    </w:div>
    <w:div w:id="503983044">
      <w:bodyDiv w:val="1"/>
      <w:marLeft w:val="0"/>
      <w:marRight w:val="0"/>
      <w:marTop w:val="0"/>
      <w:marBottom w:val="0"/>
      <w:divBdr>
        <w:top w:val="none" w:sz="0" w:space="0" w:color="auto"/>
        <w:left w:val="none" w:sz="0" w:space="0" w:color="auto"/>
        <w:bottom w:val="none" w:sz="0" w:space="0" w:color="auto"/>
        <w:right w:val="none" w:sz="0" w:space="0" w:color="auto"/>
      </w:divBdr>
    </w:div>
    <w:div w:id="509683111">
      <w:bodyDiv w:val="1"/>
      <w:marLeft w:val="0"/>
      <w:marRight w:val="0"/>
      <w:marTop w:val="0"/>
      <w:marBottom w:val="0"/>
      <w:divBdr>
        <w:top w:val="none" w:sz="0" w:space="0" w:color="auto"/>
        <w:left w:val="none" w:sz="0" w:space="0" w:color="auto"/>
        <w:bottom w:val="none" w:sz="0" w:space="0" w:color="auto"/>
        <w:right w:val="none" w:sz="0" w:space="0" w:color="auto"/>
      </w:divBdr>
    </w:div>
    <w:div w:id="513492199">
      <w:bodyDiv w:val="1"/>
      <w:marLeft w:val="0"/>
      <w:marRight w:val="0"/>
      <w:marTop w:val="0"/>
      <w:marBottom w:val="0"/>
      <w:divBdr>
        <w:top w:val="none" w:sz="0" w:space="0" w:color="auto"/>
        <w:left w:val="none" w:sz="0" w:space="0" w:color="auto"/>
        <w:bottom w:val="none" w:sz="0" w:space="0" w:color="auto"/>
        <w:right w:val="none" w:sz="0" w:space="0" w:color="auto"/>
      </w:divBdr>
    </w:div>
    <w:div w:id="514736508">
      <w:bodyDiv w:val="1"/>
      <w:marLeft w:val="0"/>
      <w:marRight w:val="0"/>
      <w:marTop w:val="0"/>
      <w:marBottom w:val="0"/>
      <w:divBdr>
        <w:top w:val="none" w:sz="0" w:space="0" w:color="auto"/>
        <w:left w:val="none" w:sz="0" w:space="0" w:color="auto"/>
        <w:bottom w:val="none" w:sz="0" w:space="0" w:color="auto"/>
        <w:right w:val="none" w:sz="0" w:space="0" w:color="auto"/>
      </w:divBdr>
    </w:div>
    <w:div w:id="516385197">
      <w:bodyDiv w:val="1"/>
      <w:marLeft w:val="0"/>
      <w:marRight w:val="0"/>
      <w:marTop w:val="0"/>
      <w:marBottom w:val="0"/>
      <w:divBdr>
        <w:top w:val="none" w:sz="0" w:space="0" w:color="auto"/>
        <w:left w:val="none" w:sz="0" w:space="0" w:color="auto"/>
        <w:bottom w:val="none" w:sz="0" w:space="0" w:color="auto"/>
        <w:right w:val="none" w:sz="0" w:space="0" w:color="auto"/>
      </w:divBdr>
    </w:div>
    <w:div w:id="528300379">
      <w:bodyDiv w:val="1"/>
      <w:marLeft w:val="0"/>
      <w:marRight w:val="0"/>
      <w:marTop w:val="0"/>
      <w:marBottom w:val="0"/>
      <w:divBdr>
        <w:top w:val="none" w:sz="0" w:space="0" w:color="auto"/>
        <w:left w:val="none" w:sz="0" w:space="0" w:color="auto"/>
        <w:bottom w:val="none" w:sz="0" w:space="0" w:color="auto"/>
        <w:right w:val="none" w:sz="0" w:space="0" w:color="auto"/>
      </w:divBdr>
    </w:div>
    <w:div w:id="529300315">
      <w:bodyDiv w:val="1"/>
      <w:marLeft w:val="0"/>
      <w:marRight w:val="0"/>
      <w:marTop w:val="0"/>
      <w:marBottom w:val="0"/>
      <w:divBdr>
        <w:top w:val="none" w:sz="0" w:space="0" w:color="auto"/>
        <w:left w:val="none" w:sz="0" w:space="0" w:color="auto"/>
        <w:bottom w:val="none" w:sz="0" w:space="0" w:color="auto"/>
        <w:right w:val="none" w:sz="0" w:space="0" w:color="auto"/>
      </w:divBdr>
    </w:div>
    <w:div w:id="532424179">
      <w:bodyDiv w:val="1"/>
      <w:marLeft w:val="0"/>
      <w:marRight w:val="0"/>
      <w:marTop w:val="0"/>
      <w:marBottom w:val="0"/>
      <w:divBdr>
        <w:top w:val="none" w:sz="0" w:space="0" w:color="auto"/>
        <w:left w:val="none" w:sz="0" w:space="0" w:color="auto"/>
        <w:bottom w:val="none" w:sz="0" w:space="0" w:color="auto"/>
        <w:right w:val="none" w:sz="0" w:space="0" w:color="auto"/>
      </w:divBdr>
    </w:div>
    <w:div w:id="535436588">
      <w:bodyDiv w:val="1"/>
      <w:marLeft w:val="0"/>
      <w:marRight w:val="0"/>
      <w:marTop w:val="0"/>
      <w:marBottom w:val="0"/>
      <w:divBdr>
        <w:top w:val="none" w:sz="0" w:space="0" w:color="auto"/>
        <w:left w:val="none" w:sz="0" w:space="0" w:color="auto"/>
        <w:bottom w:val="none" w:sz="0" w:space="0" w:color="auto"/>
        <w:right w:val="none" w:sz="0" w:space="0" w:color="auto"/>
      </w:divBdr>
    </w:div>
    <w:div w:id="538325481">
      <w:bodyDiv w:val="1"/>
      <w:marLeft w:val="0"/>
      <w:marRight w:val="0"/>
      <w:marTop w:val="0"/>
      <w:marBottom w:val="0"/>
      <w:divBdr>
        <w:top w:val="none" w:sz="0" w:space="0" w:color="auto"/>
        <w:left w:val="none" w:sz="0" w:space="0" w:color="auto"/>
        <w:bottom w:val="none" w:sz="0" w:space="0" w:color="auto"/>
        <w:right w:val="none" w:sz="0" w:space="0" w:color="auto"/>
      </w:divBdr>
    </w:div>
    <w:div w:id="540825437">
      <w:bodyDiv w:val="1"/>
      <w:marLeft w:val="0"/>
      <w:marRight w:val="0"/>
      <w:marTop w:val="0"/>
      <w:marBottom w:val="0"/>
      <w:divBdr>
        <w:top w:val="none" w:sz="0" w:space="0" w:color="auto"/>
        <w:left w:val="none" w:sz="0" w:space="0" w:color="auto"/>
        <w:bottom w:val="none" w:sz="0" w:space="0" w:color="auto"/>
        <w:right w:val="none" w:sz="0" w:space="0" w:color="auto"/>
      </w:divBdr>
    </w:div>
    <w:div w:id="550463311">
      <w:bodyDiv w:val="1"/>
      <w:marLeft w:val="0"/>
      <w:marRight w:val="0"/>
      <w:marTop w:val="0"/>
      <w:marBottom w:val="0"/>
      <w:divBdr>
        <w:top w:val="none" w:sz="0" w:space="0" w:color="auto"/>
        <w:left w:val="none" w:sz="0" w:space="0" w:color="auto"/>
        <w:bottom w:val="none" w:sz="0" w:space="0" w:color="auto"/>
        <w:right w:val="none" w:sz="0" w:space="0" w:color="auto"/>
      </w:divBdr>
    </w:div>
    <w:div w:id="552276941">
      <w:bodyDiv w:val="1"/>
      <w:marLeft w:val="0"/>
      <w:marRight w:val="0"/>
      <w:marTop w:val="0"/>
      <w:marBottom w:val="0"/>
      <w:divBdr>
        <w:top w:val="none" w:sz="0" w:space="0" w:color="auto"/>
        <w:left w:val="none" w:sz="0" w:space="0" w:color="auto"/>
        <w:bottom w:val="none" w:sz="0" w:space="0" w:color="auto"/>
        <w:right w:val="none" w:sz="0" w:space="0" w:color="auto"/>
      </w:divBdr>
    </w:div>
    <w:div w:id="553585769">
      <w:bodyDiv w:val="1"/>
      <w:marLeft w:val="0"/>
      <w:marRight w:val="0"/>
      <w:marTop w:val="0"/>
      <w:marBottom w:val="0"/>
      <w:divBdr>
        <w:top w:val="none" w:sz="0" w:space="0" w:color="auto"/>
        <w:left w:val="none" w:sz="0" w:space="0" w:color="auto"/>
        <w:bottom w:val="none" w:sz="0" w:space="0" w:color="auto"/>
        <w:right w:val="none" w:sz="0" w:space="0" w:color="auto"/>
      </w:divBdr>
    </w:div>
    <w:div w:id="560822551">
      <w:bodyDiv w:val="1"/>
      <w:marLeft w:val="0"/>
      <w:marRight w:val="0"/>
      <w:marTop w:val="0"/>
      <w:marBottom w:val="0"/>
      <w:divBdr>
        <w:top w:val="none" w:sz="0" w:space="0" w:color="auto"/>
        <w:left w:val="none" w:sz="0" w:space="0" w:color="auto"/>
        <w:bottom w:val="none" w:sz="0" w:space="0" w:color="auto"/>
        <w:right w:val="none" w:sz="0" w:space="0" w:color="auto"/>
      </w:divBdr>
    </w:div>
    <w:div w:id="562104409">
      <w:bodyDiv w:val="1"/>
      <w:marLeft w:val="0"/>
      <w:marRight w:val="0"/>
      <w:marTop w:val="0"/>
      <w:marBottom w:val="0"/>
      <w:divBdr>
        <w:top w:val="none" w:sz="0" w:space="0" w:color="auto"/>
        <w:left w:val="none" w:sz="0" w:space="0" w:color="auto"/>
        <w:bottom w:val="none" w:sz="0" w:space="0" w:color="auto"/>
        <w:right w:val="none" w:sz="0" w:space="0" w:color="auto"/>
      </w:divBdr>
    </w:div>
    <w:div w:id="562982722">
      <w:bodyDiv w:val="1"/>
      <w:marLeft w:val="0"/>
      <w:marRight w:val="0"/>
      <w:marTop w:val="0"/>
      <w:marBottom w:val="0"/>
      <w:divBdr>
        <w:top w:val="none" w:sz="0" w:space="0" w:color="auto"/>
        <w:left w:val="none" w:sz="0" w:space="0" w:color="auto"/>
        <w:bottom w:val="none" w:sz="0" w:space="0" w:color="auto"/>
        <w:right w:val="none" w:sz="0" w:space="0" w:color="auto"/>
      </w:divBdr>
    </w:div>
    <w:div w:id="565995727">
      <w:bodyDiv w:val="1"/>
      <w:marLeft w:val="0"/>
      <w:marRight w:val="0"/>
      <w:marTop w:val="0"/>
      <w:marBottom w:val="0"/>
      <w:divBdr>
        <w:top w:val="none" w:sz="0" w:space="0" w:color="auto"/>
        <w:left w:val="none" w:sz="0" w:space="0" w:color="auto"/>
        <w:bottom w:val="none" w:sz="0" w:space="0" w:color="auto"/>
        <w:right w:val="none" w:sz="0" w:space="0" w:color="auto"/>
      </w:divBdr>
    </w:div>
    <w:div w:id="566458125">
      <w:bodyDiv w:val="1"/>
      <w:marLeft w:val="0"/>
      <w:marRight w:val="0"/>
      <w:marTop w:val="0"/>
      <w:marBottom w:val="0"/>
      <w:divBdr>
        <w:top w:val="none" w:sz="0" w:space="0" w:color="auto"/>
        <w:left w:val="none" w:sz="0" w:space="0" w:color="auto"/>
        <w:bottom w:val="none" w:sz="0" w:space="0" w:color="auto"/>
        <w:right w:val="none" w:sz="0" w:space="0" w:color="auto"/>
      </w:divBdr>
    </w:div>
    <w:div w:id="567812545">
      <w:bodyDiv w:val="1"/>
      <w:marLeft w:val="0"/>
      <w:marRight w:val="0"/>
      <w:marTop w:val="0"/>
      <w:marBottom w:val="0"/>
      <w:divBdr>
        <w:top w:val="none" w:sz="0" w:space="0" w:color="auto"/>
        <w:left w:val="none" w:sz="0" w:space="0" w:color="auto"/>
        <w:bottom w:val="none" w:sz="0" w:space="0" w:color="auto"/>
        <w:right w:val="none" w:sz="0" w:space="0" w:color="auto"/>
      </w:divBdr>
    </w:div>
    <w:div w:id="570163797">
      <w:bodyDiv w:val="1"/>
      <w:marLeft w:val="0"/>
      <w:marRight w:val="0"/>
      <w:marTop w:val="0"/>
      <w:marBottom w:val="0"/>
      <w:divBdr>
        <w:top w:val="none" w:sz="0" w:space="0" w:color="auto"/>
        <w:left w:val="none" w:sz="0" w:space="0" w:color="auto"/>
        <w:bottom w:val="none" w:sz="0" w:space="0" w:color="auto"/>
        <w:right w:val="none" w:sz="0" w:space="0" w:color="auto"/>
      </w:divBdr>
    </w:div>
    <w:div w:id="580483666">
      <w:bodyDiv w:val="1"/>
      <w:marLeft w:val="0"/>
      <w:marRight w:val="0"/>
      <w:marTop w:val="0"/>
      <w:marBottom w:val="0"/>
      <w:divBdr>
        <w:top w:val="none" w:sz="0" w:space="0" w:color="auto"/>
        <w:left w:val="none" w:sz="0" w:space="0" w:color="auto"/>
        <w:bottom w:val="none" w:sz="0" w:space="0" w:color="auto"/>
        <w:right w:val="none" w:sz="0" w:space="0" w:color="auto"/>
      </w:divBdr>
    </w:div>
    <w:div w:id="589001878">
      <w:bodyDiv w:val="1"/>
      <w:marLeft w:val="0"/>
      <w:marRight w:val="0"/>
      <w:marTop w:val="0"/>
      <w:marBottom w:val="0"/>
      <w:divBdr>
        <w:top w:val="none" w:sz="0" w:space="0" w:color="auto"/>
        <w:left w:val="none" w:sz="0" w:space="0" w:color="auto"/>
        <w:bottom w:val="none" w:sz="0" w:space="0" w:color="auto"/>
        <w:right w:val="none" w:sz="0" w:space="0" w:color="auto"/>
      </w:divBdr>
    </w:div>
    <w:div w:id="598223508">
      <w:bodyDiv w:val="1"/>
      <w:marLeft w:val="0"/>
      <w:marRight w:val="0"/>
      <w:marTop w:val="0"/>
      <w:marBottom w:val="0"/>
      <w:divBdr>
        <w:top w:val="none" w:sz="0" w:space="0" w:color="auto"/>
        <w:left w:val="none" w:sz="0" w:space="0" w:color="auto"/>
        <w:bottom w:val="none" w:sz="0" w:space="0" w:color="auto"/>
        <w:right w:val="none" w:sz="0" w:space="0" w:color="auto"/>
      </w:divBdr>
    </w:div>
    <w:div w:id="617839469">
      <w:bodyDiv w:val="1"/>
      <w:marLeft w:val="0"/>
      <w:marRight w:val="0"/>
      <w:marTop w:val="0"/>
      <w:marBottom w:val="0"/>
      <w:divBdr>
        <w:top w:val="none" w:sz="0" w:space="0" w:color="auto"/>
        <w:left w:val="none" w:sz="0" w:space="0" w:color="auto"/>
        <w:bottom w:val="none" w:sz="0" w:space="0" w:color="auto"/>
        <w:right w:val="none" w:sz="0" w:space="0" w:color="auto"/>
      </w:divBdr>
    </w:div>
    <w:div w:id="622617477">
      <w:bodyDiv w:val="1"/>
      <w:marLeft w:val="0"/>
      <w:marRight w:val="0"/>
      <w:marTop w:val="0"/>
      <w:marBottom w:val="0"/>
      <w:divBdr>
        <w:top w:val="none" w:sz="0" w:space="0" w:color="auto"/>
        <w:left w:val="none" w:sz="0" w:space="0" w:color="auto"/>
        <w:bottom w:val="none" w:sz="0" w:space="0" w:color="auto"/>
        <w:right w:val="none" w:sz="0" w:space="0" w:color="auto"/>
      </w:divBdr>
    </w:div>
    <w:div w:id="628166454">
      <w:bodyDiv w:val="1"/>
      <w:marLeft w:val="0"/>
      <w:marRight w:val="0"/>
      <w:marTop w:val="0"/>
      <w:marBottom w:val="0"/>
      <w:divBdr>
        <w:top w:val="none" w:sz="0" w:space="0" w:color="auto"/>
        <w:left w:val="none" w:sz="0" w:space="0" w:color="auto"/>
        <w:bottom w:val="none" w:sz="0" w:space="0" w:color="auto"/>
        <w:right w:val="none" w:sz="0" w:space="0" w:color="auto"/>
      </w:divBdr>
    </w:div>
    <w:div w:id="653991821">
      <w:bodyDiv w:val="1"/>
      <w:marLeft w:val="0"/>
      <w:marRight w:val="0"/>
      <w:marTop w:val="0"/>
      <w:marBottom w:val="0"/>
      <w:divBdr>
        <w:top w:val="none" w:sz="0" w:space="0" w:color="auto"/>
        <w:left w:val="none" w:sz="0" w:space="0" w:color="auto"/>
        <w:bottom w:val="none" w:sz="0" w:space="0" w:color="auto"/>
        <w:right w:val="none" w:sz="0" w:space="0" w:color="auto"/>
      </w:divBdr>
    </w:div>
    <w:div w:id="663355836">
      <w:bodyDiv w:val="1"/>
      <w:marLeft w:val="0"/>
      <w:marRight w:val="0"/>
      <w:marTop w:val="0"/>
      <w:marBottom w:val="0"/>
      <w:divBdr>
        <w:top w:val="none" w:sz="0" w:space="0" w:color="auto"/>
        <w:left w:val="none" w:sz="0" w:space="0" w:color="auto"/>
        <w:bottom w:val="none" w:sz="0" w:space="0" w:color="auto"/>
        <w:right w:val="none" w:sz="0" w:space="0" w:color="auto"/>
      </w:divBdr>
    </w:div>
    <w:div w:id="672101622">
      <w:bodyDiv w:val="1"/>
      <w:marLeft w:val="0"/>
      <w:marRight w:val="0"/>
      <w:marTop w:val="0"/>
      <w:marBottom w:val="0"/>
      <w:divBdr>
        <w:top w:val="none" w:sz="0" w:space="0" w:color="auto"/>
        <w:left w:val="none" w:sz="0" w:space="0" w:color="auto"/>
        <w:bottom w:val="none" w:sz="0" w:space="0" w:color="auto"/>
        <w:right w:val="none" w:sz="0" w:space="0" w:color="auto"/>
      </w:divBdr>
    </w:div>
    <w:div w:id="682558233">
      <w:bodyDiv w:val="1"/>
      <w:marLeft w:val="0"/>
      <w:marRight w:val="0"/>
      <w:marTop w:val="0"/>
      <w:marBottom w:val="0"/>
      <w:divBdr>
        <w:top w:val="none" w:sz="0" w:space="0" w:color="auto"/>
        <w:left w:val="none" w:sz="0" w:space="0" w:color="auto"/>
        <w:bottom w:val="none" w:sz="0" w:space="0" w:color="auto"/>
        <w:right w:val="none" w:sz="0" w:space="0" w:color="auto"/>
      </w:divBdr>
    </w:div>
    <w:div w:id="682980690">
      <w:bodyDiv w:val="1"/>
      <w:marLeft w:val="0"/>
      <w:marRight w:val="0"/>
      <w:marTop w:val="0"/>
      <w:marBottom w:val="0"/>
      <w:divBdr>
        <w:top w:val="none" w:sz="0" w:space="0" w:color="auto"/>
        <w:left w:val="none" w:sz="0" w:space="0" w:color="auto"/>
        <w:bottom w:val="none" w:sz="0" w:space="0" w:color="auto"/>
        <w:right w:val="none" w:sz="0" w:space="0" w:color="auto"/>
      </w:divBdr>
    </w:div>
    <w:div w:id="690034175">
      <w:bodyDiv w:val="1"/>
      <w:marLeft w:val="0"/>
      <w:marRight w:val="0"/>
      <w:marTop w:val="0"/>
      <w:marBottom w:val="0"/>
      <w:divBdr>
        <w:top w:val="none" w:sz="0" w:space="0" w:color="auto"/>
        <w:left w:val="none" w:sz="0" w:space="0" w:color="auto"/>
        <w:bottom w:val="none" w:sz="0" w:space="0" w:color="auto"/>
        <w:right w:val="none" w:sz="0" w:space="0" w:color="auto"/>
      </w:divBdr>
    </w:div>
    <w:div w:id="703292819">
      <w:bodyDiv w:val="1"/>
      <w:marLeft w:val="0"/>
      <w:marRight w:val="0"/>
      <w:marTop w:val="0"/>
      <w:marBottom w:val="0"/>
      <w:divBdr>
        <w:top w:val="none" w:sz="0" w:space="0" w:color="auto"/>
        <w:left w:val="none" w:sz="0" w:space="0" w:color="auto"/>
        <w:bottom w:val="none" w:sz="0" w:space="0" w:color="auto"/>
        <w:right w:val="none" w:sz="0" w:space="0" w:color="auto"/>
      </w:divBdr>
    </w:div>
    <w:div w:id="718895408">
      <w:bodyDiv w:val="1"/>
      <w:marLeft w:val="0"/>
      <w:marRight w:val="0"/>
      <w:marTop w:val="0"/>
      <w:marBottom w:val="0"/>
      <w:divBdr>
        <w:top w:val="none" w:sz="0" w:space="0" w:color="auto"/>
        <w:left w:val="none" w:sz="0" w:space="0" w:color="auto"/>
        <w:bottom w:val="none" w:sz="0" w:space="0" w:color="auto"/>
        <w:right w:val="none" w:sz="0" w:space="0" w:color="auto"/>
      </w:divBdr>
    </w:div>
    <w:div w:id="722484130">
      <w:bodyDiv w:val="1"/>
      <w:marLeft w:val="0"/>
      <w:marRight w:val="0"/>
      <w:marTop w:val="0"/>
      <w:marBottom w:val="0"/>
      <w:divBdr>
        <w:top w:val="none" w:sz="0" w:space="0" w:color="auto"/>
        <w:left w:val="none" w:sz="0" w:space="0" w:color="auto"/>
        <w:bottom w:val="none" w:sz="0" w:space="0" w:color="auto"/>
        <w:right w:val="none" w:sz="0" w:space="0" w:color="auto"/>
      </w:divBdr>
    </w:div>
    <w:div w:id="731778166">
      <w:bodyDiv w:val="1"/>
      <w:marLeft w:val="0"/>
      <w:marRight w:val="0"/>
      <w:marTop w:val="0"/>
      <w:marBottom w:val="0"/>
      <w:divBdr>
        <w:top w:val="none" w:sz="0" w:space="0" w:color="auto"/>
        <w:left w:val="none" w:sz="0" w:space="0" w:color="auto"/>
        <w:bottom w:val="none" w:sz="0" w:space="0" w:color="auto"/>
        <w:right w:val="none" w:sz="0" w:space="0" w:color="auto"/>
      </w:divBdr>
    </w:div>
    <w:div w:id="734858240">
      <w:bodyDiv w:val="1"/>
      <w:marLeft w:val="0"/>
      <w:marRight w:val="0"/>
      <w:marTop w:val="0"/>
      <w:marBottom w:val="0"/>
      <w:divBdr>
        <w:top w:val="none" w:sz="0" w:space="0" w:color="auto"/>
        <w:left w:val="none" w:sz="0" w:space="0" w:color="auto"/>
        <w:bottom w:val="none" w:sz="0" w:space="0" w:color="auto"/>
        <w:right w:val="none" w:sz="0" w:space="0" w:color="auto"/>
      </w:divBdr>
    </w:div>
    <w:div w:id="737047633">
      <w:bodyDiv w:val="1"/>
      <w:marLeft w:val="0"/>
      <w:marRight w:val="0"/>
      <w:marTop w:val="0"/>
      <w:marBottom w:val="0"/>
      <w:divBdr>
        <w:top w:val="none" w:sz="0" w:space="0" w:color="auto"/>
        <w:left w:val="none" w:sz="0" w:space="0" w:color="auto"/>
        <w:bottom w:val="none" w:sz="0" w:space="0" w:color="auto"/>
        <w:right w:val="none" w:sz="0" w:space="0" w:color="auto"/>
      </w:divBdr>
    </w:div>
    <w:div w:id="760684093">
      <w:bodyDiv w:val="1"/>
      <w:marLeft w:val="0"/>
      <w:marRight w:val="0"/>
      <w:marTop w:val="0"/>
      <w:marBottom w:val="0"/>
      <w:divBdr>
        <w:top w:val="none" w:sz="0" w:space="0" w:color="auto"/>
        <w:left w:val="none" w:sz="0" w:space="0" w:color="auto"/>
        <w:bottom w:val="none" w:sz="0" w:space="0" w:color="auto"/>
        <w:right w:val="none" w:sz="0" w:space="0" w:color="auto"/>
      </w:divBdr>
    </w:div>
    <w:div w:id="760839176">
      <w:bodyDiv w:val="1"/>
      <w:marLeft w:val="0"/>
      <w:marRight w:val="0"/>
      <w:marTop w:val="0"/>
      <w:marBottom w:val="0"/>
      <w:divBdr>
        <w:top w:val="none" w:sz="0" w:space="0" w:color="auto"/>
        <w:left w:val="none" w:sz="0" w:space="0" w:color="auto"/>
        <w:bottom w:val="none" w:sz="0" w:space="0" w:color="auto"/>
        <w:right w:val="none" w:sz="0" w:space="0" w:color="auto"/>
      </w:divBdr>
    </w:div>
    <w:div w:id="779372745">
      <w:bodyDiv w:val="1"/>
      <w:marLeft w:val="0"/>
      <w:marRight w:val="0"/>
      <w:marTop w:val="0"/>
      <w:marBottom w:val="0"/>
      <w:divBdr>
        <w:top w:val="none" w:sz="0" w:space="0" w:color="auto"/>
        <w:left w:val="none" w:sz="0" w:space="0" w:color="auto"/>
        <w:bottom w:val="none" w:sz="0" w:space="0" w:color="auto"/>
        <w:right w:val="none" w:sz="0" w:space="0" w:color="auto"/>
      </w:divBdr>
    </w:div>
    <w:div w:id="784813893">
      <w:bodyDiv w:val="1"/>
      <w:marLeft w:val="0"/>
      <w:marRight w:val="0"/>
      <w:marTop w:val="0"/>
      <w:marBottom w:val="0"/>
      <w:divBdr>
        <w:top w:val="none" w:sz="0" w:space="0" w:color="auto"/>
        <w:left w:val="none" w:sz="0" w:space="0" w:color="auto"/>
        <w:bottom w:val="none" w:sz="0" w:space="0" w:color="auto"/>
        <w:right w:val="none" w:sz="0" w:space="0" w:color="auto"/>
      </w:divBdr>
    </w:div>
    <w:div w:id="793207928">
      <w:bodyDiv w:val="1"/>
      <w:marLeft w:val="0"/>
      <w:marRight w:val="0"/>
      <w:marTop w:val="0"/>
      <w:marBottom w:val="0"/>
      <w:divBdr>
        <w:top w:val="none" w:sz="0" w:space="0" w:color="auto"/>
        <w:left w:val="none" w:sz="0" w:space="0" w:color="auto"/>
        <w:bottom w:val="none" w:sz="0" w:space="0" w:color="auto"/>
        <w:right w:val="none" w:sz="0" w:space="0" w:color="auto"/>
      </w:divBdr>
    </w:div>
    <w:div w:id="799543006">
      <w:bodyDiv w:val="1"/>
      <w:marLeft w:val="0"/>
      <w:marRight w:val="0"/>
      <w:marTop w:val="0"/>
      <w:marBottom w:val="0"/>
      <w:divBdr>
        <w:top w:val="none" w:sz="0" w:space="0" w:color="auto"/>
        <w:left w:val="none" w:sz="0" w:space="0" w:color="auto"/>
        <w:bottom w:val="none" w:sz="0" w:space="0" w:color="auto"/>
        <w:right w:val="none" w:sz="0" w:space="0" w:color="auto"/>
      </w:divBdr>
    </w:div>
    <w:div w:id="844978015">
      <w:bodyDiv w:val="1"/>
      <w:marLeft w:val="0"/>
      <w:marRight w:val="0"/>
      <w:marTop w:val="0"/>
      <w:marBottom w:val="0"/>
      <w:divBdr>
        <w:top w:val="none" w:sz="0" w:space="0" w:color="auto"/>
        <w:left w:val="none" w:sz="0" w:space="0" w:color="auto"/>
        <w:bottom w:val="none" w:sz="0" w:space="0" w:color="auto"/>
        <w:right w:val="none" w:sz="0" w:space="0" w:color="auto"/>
      </w:divBdr>
    </w:div>
    <w:div w:id="866068197">
      <w:bodyDiv w:val="1"/>
      <w:marLeft w:val="0"/>
      <w:marRight w:val="0"/>
      <w:marTop w:val="0"/>
      <w:marBottom w:val="0"/>
      <w:divBdr>
        <w:top w:val="none" w:sz="0" w:space="0" w:color="auto"/>
        <w:left w:val="none" w:sz="0" w:space="0" w:color="auto"/>
        <w:bottom w:val="none" w:sz="0" w:space="0" w:color="auto"/>
        <w:right w:val="none" w:sz="0" w:space="0" w:color="auto"/>
      </w:divBdr>
    </w:div>
    <w:div w:id="872114805">
      <w:bodyDiv w:val="1"/>
      <w:marLeft w:val="0"/>
      <w:marRight w:val="0"/>
      <w:marTop w:val="0"/>
      <w:marBottom w:val="0"/>
      <w:divBdr>
        <w:top w:val="none" w:sz="0" w:space="0" w:color="auto"/>
        <w:left w:val="none" w:sz="0" w:space="0" w:color="auto"/>
        <w:bottom w:val="none" w:sz="0" w:space="0" w:color="auto"/>
        <w:right w:val="none" w:sz="0" w:space="0" w:color="auto"/>
      </w:divBdr>
    </w:div>
    <w:div w:id="878203802">
      <w:bodyDiv w:val="1"/>
      <w:marLeft w:val="0"/>
      <w:marRight w:val="0"/>
      <w:marTop w:val="0"/>
      <w:marBottom w:val="0"/>
      <w:divBdr>
        <w:top w:val="none" w:sz="0" w:space="0" w:color="auto"/>
        <w:left w:val="none" w:sz="0" w:space="0" w:color="auto"/>
        <w:bottom w:val="none" w:sz="0" w:space="0" w:color="auto"/>
        <w:right w:val="none" w:sz="0" w:space="0" w:color="auto"/>
      </w:divBdr>
    </w:div>
    <w:div w:id="883906846">
      <w:bodyDiv w:val="1"/>
      <w:marLeft w:val="0"/>
      <w:marRight w:val="0"/>
      <w:marTop w:val="0"/>
      <w:marBottom w:val="0"/>
      <w:divBdr>
        <w:top w:val="none" w:sz="0" w:space="0" w:color="auto"/>
        <w:left w:val="none" w:sz="0" w:space="0" w:color="auto"/>
        <w:bottom w:val="none" w:sz="0" w:space="0" w:color="auto"/>
        <w:right w:val="none" w:sz="0" w:space="0" w:color="auto"/>
      </w:divBdr>
    </w:div>
    <w:div w:id="891844750">
      <w:bodyDiv w:val="1"/>
      <w:marLeft w:val="0"/>
      <w:marRight w:val="0"/>
      <w:marTop w:val="0"/>
      <w:marBottom w:val="0"/>
      <w:divBdr>
        <w:top w:val="none" w:sz="0" w:space="0" w:color="auto"/>
        <w:left w:val="none" w:sz="0" w:space="0" w:color="auto"/>
        <w:bottom w:val="none" w:sz="0" w:space="0" w:color="auto"/>
        <w:right w:val="none" w:sz="0" w:space="0" w:color="auto"/>
      </w:divBdr>
    </w:div>
    <w:div w:id="904796201">
      <w:bodyDiv w:val="1"/>
      <w:marLeft w:val="0"/>
      <w:marRight w:val="0"/>
      <w:marTop w:val="0"/>
      <w:marBottom w:val="0"/>
      <w:divBdr>
        <w:top w:val="none" w:sz="0" w:space="0" w:color="auto"/>
        <w:left w:val="none" w:sz="0" w:space="0" w:color="auto"/>
        <w:bottom w:val="none" w:sz="0" w:space="0" w:color="auto"/>
        <w:right w:val="none" w:sz="0" w:space="0" w:color="auto"/>
      </w:divBdr>
    </w:div>
    <w:div w:id="915170760">
      <w:bodyDiv w:val="1"/>
      <w:marLeft w:val="0"/>
      <w:marRight w:val="0"/>
      <w:marTop w:val="0"/>
      <w:marBottom w:val="0"/>
      <w:divBdr>
        <w:top w:val="none" w:sz="0" w:space="0" w:color="auto"/>
        <w:left w:val="none" w:sz="0" w:space="0" w:color="auto"/>
        <w:bottom w:val="none" w:sz="0" w:space="0" w:color="auto"/>
        <w:right w:val="none" w:sz="0" w:space="0" w:color="auto"/>
      </w:divBdr>
    </w:div>
    <w:div w:id="918372051">
      <w:bodyDiv w:val="1"/>
      <w:marLeft w:val="0"/>
      <w:marRight w:val="0"/>
      <w:marTop w:val="0"/>
      <w:marBottom w:val="0"/>
      <w:divBdr>
        <w:top w:val="none" w:sz="0" w:space="0" w:color="auto"/>
        <w:left w:val="none" w:sz="0" w:space="0" w:color="auto"/>
        <w:bottom w:val="none" w:sz="0" w:space="0" w:color="auto"/>
        <w:right w:val="none" w:sz="0" w:space="0" w:color="auto"/>
      </w:divBdr>
    </w:div>
    <w:div w:id="932280944">
      <w:bodyDiv w:val="1"/>
      <w:marLeft w:val="0"/>
      <w:marRight w:val="0"/>
      <w:marTop w:val="0"/>
      <w:marBottom w:val="0"/>
      <w:divBdr>
        <w:top w:val="none" w:sz="0" w:space="0" w:color="auto"/>
        <w:left w:val="none" w:sz="0" w:space="0" w:color="auto"/>
        <w:bottom w:val="none" w:sz="0" w:space="0" w:color="auto"/>
        <w:right w:val="none" w:sz="0" w:space="0" w:color="auto"/>
      </w:divBdr>
    </w:div>
    <w:div w:id="933248490">
      <w:bodyDiv w:val="1"/>
      <w:marLeft w:val="0"/>
      <w:marRight w:val="0"/>
      <w:marTop w:val="0"/>
      <w:marBottom w:val="0"/>
      <w:divBdr>
        <w:top w:val="none" w:sz="0" w:space="0" w:color="auto"/>
        <w:left w:val="none" w:sz="0" w:space="0" w:color="auto"/>
        <w:bottom w:val="none" w:sz="0" w:space="0" w:color="auto"/>
        <w:right w:val="none" w:sz="0" w:space="0" w:color="auto"/>
      </w:divBdr>
    </w:div>
    <w:div w:id="936135365">
      <w:bodyDiv w:val="1"/>
      <w:marLeft w:val="0"/>
      <w:marRight w:val="0"/>
      <w:marTop w:val="0"/>
      <w:marBottom w:val="0"/>
      <w:divBdr>
        <w:top w:val="none" w:sz="0" w:space="0" w:color="auto"/>
        <w:left w:val="none" w:sz="0" w:space="0" w:color="auto"/>
        <w:bottom w:val="none" w:sz="0" w:space="0" w:color="auto"/>
        <w:right w:val="none" w:sz="0" w:space="0" w:color="auto"/>
      </w:divBdr>
    </w:div>
    <w:div w:id="938638472">
      <w:bodyDiv w:val="1"/>
      <w:marLeft w:val="0"/>
      <w:marRight w:val="0"/>
      <w:marTop w:val="0"/>
      <w:marBottom w:val="0"/>
      <w:divBdr>
        <w:top w:val="none" w:sz="0" w:space="0" w:color="auto"/>
        <w:left w:val="none" w:sz="0" w:space="0" w:color="auto"/>
        <w:bottom w:val="none" w:sz="0" w:space="0" w:color="auto"/>
        <w:right w:val="none" w:sz="0" w:space="0" w:color="auto"/>
      </w:divBdr>
    </w:div>
    <w:div w:id="939337124">
      <w:bodyDiv w:val="1"/>
      <w:marLeft w:val="0"/>
      <w:marRight w:val="0"/>
      <w:marTop w:val="0"/>
      <w:marBottom w:val="0"/>
      <w:divBdr>
        <w:top w:val="none" w:sz="0" w:space="0" w:color="auto"/>
        <w:left w:val="none" w:sz="0" w:space="0" w:color="auto"/>
        <w:bottom w:val="none" w:sz="0" w:space="0" w:color="auto"/>
        <w:right w:val="none" w:sz="0" w:space="0" w:color="auto"/>
      </w:divBdr>
    </w:div>
    <w:div w:id="944734178">
      <w:bodyDiv w:val="1"/>
      <w:marLeft w:val="0"/>
      <w:marRight w:val="0"/>
      <w:marTop w:val="0"/>
      <w:marBottom w:val="0"/>
      <w:divBdr>
        <w:top w:val="none" w:sz="0" w:space="0" w:color="auto"/>
        <w:left w:val="none" w:sz="0" w:space="0" w:color="auto"/>
        <w:bottom w:val="none" w:sz="0" w:space="0" w:color="auto"/>
        <w:right w:val="none" w:sz="0" w:space="0" w:color="auto"/>
      </w:divBdr>
    </w:div>
    <w:div w:id="946621062">
      <w:bodyDiv w:val="1"/>
      <w:marLeft w:val="0"/>
      <w:marRight w:val="0"/>
      <w:marTop w:val="0"/>
      <w:marBottom w:val="0"/>
      <w:divBdr>
        <w:top w:val="none" w:sz="0" w:space="0" w:color="auto"/>
        <w:left w:val="none" w:sz="0" w:space="0" w:color="auto"/>
        <w:bottom w:val="none" w:sz="0" w:space="0" w:color="auto"/>
        <w:right w:val="none" w:sz="0" w:space="0" w:color="auto"/>
      </w:divBdr>
    </w:div>
    <w:div w:id="975337634">
      <w:bodyDiv w:val="1"/>
      <w:marLeft w:val="0"/>
      <w:marRight w:val="0"/>
      <w:marTop w:val="0"/>
      <w:marBottom w:val="0"/>
      <w:divBdr>
        <w:top w:val="none" w:sz="0" w:space="0" w:color="auto"/>
        <w:left w:val="none" w:sz="0" w:space="0" w:color="auto"/>
        <w:bottom w:val="none" w:sz="0" w:space="0" w:color="auto"/>
        <w:right w:val="none" w:sz="0" w:space="0" w:color="auto"/>
      </w:divBdr>
    </w:div>
    <w:div w:id="983701455">
      <w:bodyDiv w:val="1"/>
      <w:marLeft w:val="0"/>
      <w:marRight w:val="0"/>
      <w:marTop w:val="0"/>
      <w:marBottom w:val="0"/>
      <w:divBdr>
        <w:top w:val="none" w:sz="0" w:space="0" w:color="auto"/>
        <w:left w:val="none" w:sz="0" w:space="0" w:color="auto"/>
        <w:bottom w:val="none" w:sz="0" w:space="0" w:color="auto"/>
        <w:right w:val="none" w:sz="0" w:space="0" w:color="auto"/>
      </w:divBdr>
    </w:div>
    <w:div w:id="1007900357">
      <w:bodyDiv w:val="1"/>
      <w:marLeft w:val="0"/>
      <w:marRight w:val="0"/>
      <w:marTop w:val="0"/>
      <w:marBottom w:val="0"/>
      <w:divBdr>
        <w:top w:val="none" w:sz="0" w:space="0" w:color="auto"/>
        <w:left w:val="none" w:sz="0" w:space="0" w:color="auto"/>
        <w:bottom w:val="none" w:sz="0" w:space="0" w:color="auto"/>
        <w:right w:val="none" w:sz="0" w:space="0" w:color="auto"/>
      </w:divBdr>
    </w:div>
    <w:div w:id="1010176704">
      <w:bodyDiv w:val="1"/>
      <w:marLeft w:val="0"/>
      <w:marRight w:val="0"/>
      <w:marTop w:val="0"/>
      <w:marBottom w:val="0"/>
      <w:divBdr>
        <w:top w:val="none" w:sz="0" w:space="0" w:color="auto"/>
        <w:left w:val="none" w:sz="0" w:space="0" w:color="auto"/>
        <w:bottom w:val="none" w:sz="0" w:space="0" w:color="auto"/>
        <w:right w:val="none" w:sz="0" w:space="0" w:color="auto"/>
      </w:divBdr>
    </w:div>
    <w:div w:id="1011029386">
      <w:bodyDiv w:val="1"/>
      <w:marLeft w:val="0"/>
      <w:marRight w:val="0"/>
      <w:marTop w:val="0"/>
      <w:marBottom w:val="0"/>
      <w:divBdr>
        <w:top w:val="none" w:sz="0" w:space="0" w:color="auto"/>
        <w:left w:val="none" w:sz="0" w:space="0" w:color="auto"/>
        <w:bottom w:val="none" w:sz="0" w:space="0" w:color="auto"/>
        <w:right w:val="none" w:sz="0" w:space="0" w:color="auto"/>
      </w:divBdr>
    </w:div>
    <w:div w:id="1011565612">
      <w:bodyDiv w:val="1"/>
      <w:marLeft w:val="0"/>
      <w:marRight w:val="0"/>
      <w:marTop w:val="0"/>
      <w:marBottom w:val="0"/>
      <w:divBdr>
        <w:top w:val="none" w:sz="0" w:space="0" w:color="auto"/>
        <w:left w:val="none" w:sz="0" w:space="0" w:color="auto"/>
        <w:bottom w:val="none" w:sz="0" w:space="0" w:color="auto"/>
        <w:right w:val="none" w:sz="0" w:space="0" w:color="auto"/>
      </w:divBdr>
    </w:div>
    <w:div w:id="1015498530">
      <w:bodyDiv w:val="1"/>
      <w:marLeft w:val="0"/>
      <w:marRight w:val="0"/>
      <w:marTop w:val="0"/>
      <w:marBottom w:val="0"/>
      <w:divBdr>
        <w:top w:val="none" w:sz="0" w:space="0" w:color="auto"/>
        <w:left w:val="none" w:sz="0" w:space="0" w:color="auto"/>
        <w:bottom w:val="none" w:sz="0" w:space="0" w:color="auto"/>
        <w:right w:val="none" w:sz="0" w:space="0" w:color="auto"/>
      </w:divBdr>
    </w:div>
    <w:div w:id="1020350838">
      <w:bodyDiv w:val="1"/>
      <w:marLeft w:val="0"/>
      <w:marRight w:val="0"/>
      <w:marTop w:val="0"/>
      <w:marBottom w:val="0"/>
      <w:divBdr>
        <w:top w:val="none" w:sz="0" w:space="0" w:color="auto"/>
        <w:left w:val="none" w:sz="0" w:space="0" w:color="auto"/>
        <w:bottom w:val="none" w:sz="0" w:space="0" w:color="auto"/>
        <w:right w:val="none" w:sz="0" w:space="0" w:color="auto"/>
      </w:divBdr>
    </w:div>
    <w:div w:id="1021248165">
      <w:bodyDiv w:val="1"/>
      <w:marLeft w:val="0"/>
      <w:marRight w:val="0"/>
      <w:marTop w:val="0"/>
      <w:marBottom w:val="0"/>
      <w:divBdr>
        <w:top w:val="none" w:sz="0" w:space="0" w:color="auto"/>
        <w:left w:val="none" w:sz="0" w:space="0" w:color="auto"/>
        <w:bottom w:val="none" w:sz="0" w:space="0" w:color="auto"/>
        <w:right w:val="none" w:sz="0" w:space="0" w:color="auto"/>
      </w:divBdr>
    </w:div>
    <w:div w:id="1021400589">
      <w:bodyDiv w:val="1"/>
      <w:marLeft w:val="0"/>
      <w:marRight w:val="0"/>
      <w:marTop w:val="0"/>
      <w:marBottom w:val="0"/>
      <w:divBdr>
        <w:top w:val="none" w:sz="0" w:space="0" w:color="auto"/>
        <w:left w:val="none" w:sz="0" w:space="0" w:color="auto"/>
        <w:bottom w:val="none" w:sz="0" w:space="0" w:color="auto"/>
        <w:right w:val="none" w:sz="0" w:space="0" w:color="auto"/>
      </w:divBdr>
    </w:div>
    <w:div w:id="1023752711">
      <w:bodyDiv w:val="1"/>
      <w:marLeft w:val="0"/>
      <w:marRight w:val="0"/>
      <w:marTop w:val="0"/>
      <w:marBottom w:val="0"/>
      <w:divBdr>
        <w:top w:val="none" w:sz="0" w:space="0" w:color="auto"/>
        <w:left w:val="none" w:sz="0" w:space="0" w:color="auto"/>
        <w:bottom w:val="none" w:sz="0" w:space="0" w:color="auto"/>
        <w:right w:val="none" w:sz="0" w:space="0" w:color="auto"/>
      </w:divBdr>
    </w:div>
    <w:div w:id="1030180264">
      <w:bodyDiv w:val="1"/>
      <w:marLeft w:val="0"/>
      <w:marRight w:val="0"/>
      <w:marTop w:val="0"/>
      <w:marBottom w:val="0"/>
      <w:divBdr>
        <w:top w:val="none" w:sz="0" w:space="0" w:color="auto"/>
        <w:left w:val="none" w:sz="0" w:space="0" w:color="auto"/>
        <w:bottom w:val="none" w:sz="0" w:space="0" w:color="auto"/>
        <w:right w:val="none" w:sz="0" w:space="0" w:color="auto"/>
      </w:divBdr>
    </w:div>
    <w:div w:id="1030377713">
      <w:bodyDiv w:val="1"/>
      <w:marLeft w:val="0"/>
      <w:marRight w:val="0"/>
      <w:marTop w:val="0"/>
      <w:marBottom w:val="0"/>
      <w:divBdr>
        <w:top w:val="none" w:sz="0" w:space="0" w:color="auto"/>
        <w:left w:val="none" w:sz="0" w:space="0" w:color="auto"/>
        <w:bottom w:val="none" w:sz="0" w:space="0" w:color="auto"/>
        <w:right w:val="none" w:sz="0" w:space="0" w:color="auto"/>
      </w:divBdr>
    </w:div>
    <w:div w:id="1030691045">
      <w:bodyDiv w:val="1"/>
      <w:marLeft w:val="0"/>
      <w:marRight w:val="0"/>
      <w:marTop w:val="0"/>
      <w:marBottom w:val="0"/>
      <w:divBdr>
        <w:top w:val="none" w:sz="0" w:space="0" w:color="auto"/>
        <w:left w:val="none" w:sz="0" w:space="0" w:color="auto"/>
        <w:bottom w:val="none" w:sz="0" w:space="0" w:color="auto"/>
        <w:right w:val="none" w:sz="0" w:space="0" w:color="auto"/>
      </w:divBdr>
    </w:div>
    <w:div w:id="1044020977">
      <w:bodyDiv w:val="1"/>
      <w:marLeft w:val="0"/>
      <w:marRight w:val="0"/>
      <w:marTop w:val="0"/>
      <w:marBottom w:val="0"/>
      <w:divBdr>
        <w:top w:val="none" w:sz="0" w:space="0" w:color="auto"/>
        <w:left w:val="none" w:sz="0" w:space="0" w:color="auto"/>
        <w:bottom w:val="none" w:sz="0" w:space="0" w:color="auto"/>
        <w:right w:val="none" w:sz="0" w:space="0" w:color="auto"/>
      </w:divBdr>
    </w:div>
    <w:div w:id="1044448324">
      <w:bodyDiv w:val="1"/>
      <w:marLeft w:val="0"/>
      <w:marRight w:val="0"/>
      <w:marTop w:val="0"/>
      <w:marBottom w:val="0"/>
      <w:divBdr>
        <w:top w:val="none" w:sz="0" w:space="0" w:color="auto"/>
        <w:left w:val="none" w:sz="0" w:space="0" w:color="auto"/>
        <w:bottom w:val="none" w:sz="0" w:space="0" w:color="auto"/>
        <w:right w:val="none" w:sz="0" w:space="0" w:color="auto"/>
      </w:divBdr>
    </w:div>
    <w:div w:id="1044796278">
      <w:bodyDiv w:val="1"/>
      <w:marLeft w:val="0"/>
      <w:marRight w:val="0"/>
      <w:marTop w:val="0"/>
      <w:marBottom w:val="0"/>
      <w:divBdr>
        <w:top w:val="none" w:sz="0" w:space="0" w:color="auto"/>
        <w:left w:val="none" w:sz="0" w:space="0" w:color="auto"/>
        <w:bottom w:val="none" w:sz="0" w:space="0" w:color="auto"/>
        <w:right w:val="none" w:sz="0" w:space="0" w:color="auto"/>
      </w:divBdr>
    </w:div>
    <w:div w:id="1048453316">
      <w:bodyDiv w:val="1"/>
      <w:marLeft w:val="0"/>
      <w:marRight w:val="0"/>
      <w:marTop w:val="0"/>
      <w:marBottom w:val="0"/>
      <w:divBdr>
        <w:top w:val="none" w:sz="0" w:space="0" w:color="auto"/>
        <w:left w:val="none" w:sz="0" w:space="0" w:color="auto"/>
        <w:bottom w:val="none" w:sz="0" w:space="0" w:color="auto"/>
        <w:right w:val="none" w:sz="0" w:space="0" w:color="auto"/>
      </w:divBdr>
    </w:div>
    <w:div w:id="1053574754">
      <w:bodyDiv w:val="1"/>
      <w:marLeft w:val="0"/>
      <w:marRight w:val="0"/>
      <w:marTop w:val="0"/>
      <w:marBottom w:val="0"/>
      <w:divBdr>
        <w:top w:val="none" w:sz="0" w:space="0" w:color="auto"/>
        <w:left w:val="none" w:sz="0" w:space="0" w:color="auto"/>
        <w:bottom w:val="none" w:sz="0" w:space="0" w:color="auto"/>
        <w:right w:val="none" w:sz="0" w:space="0" w:color="auto"/>
      </w:divBdr>
    </w:div>
    <w:div w:id="1053967076">
      <w:bodyDiv w:val="1"/>
      <w:marLeft w:val="0"/>
      <w:marRight w:val="0"/>
      <w:marTop w:val="0"/>
      <w:marBottom w:val="0"/>
      <w:divBdr>
        <w:top w:val="none" w:sz="0" w:space="0" w:color="auto"/>
        <w:left w:val="none" w:sz="0" w:space="0" w:color="auto"/>
        <w:bottom w:val="none" w:sz="0" w:space="0" w:color="auto"/>
        <w:right w:val="none" w:sz="0" w:space="0" w:color="auto"/>
      </w:divBdr>
    </w:div>
    <w:div w:id="1055009451">
      <w:bodyDiv w:val="1"/>
      <w:marLeft w:val="0"/>
      <w:marRight w:val="0"/>
      <w:marTop w:val="0"/>
      <w:marBottom w:val="0"/>
      <w:divBdr>
        <w:top w:val="none" w:sz="0" w:space="0" w:color="auto"/>
        <w:left w:val="none" w:sz="0" w:space="0" w:color="auto"/>
        <w:bottom w:val="none" w:sz="0" w:space="0" w:color="auto"/>
        <w:right w:val="none" w:sz="0" w:space="0" w:color="auto"/>
      </w:divBdr>
    </w:div>
    <w:div w:id="1064527019">
      <w:bodyDiv w:val="1"/>
      <w:marLeft w:val="0"/>
      <w:marRight w:val="0"/>
      <w:marTop w:val="0"/>
      <w:marBottom w:val="0"/>
      <w:divBdr>
        <w:top w:val="none" w:sz="0" w:space="0" w:color="auto"/>
        <w:left w:val="none" w:sz="0" w:space="0" w:color="auto"/>
        <w:bottom w:val="none" w:sz="0" w:space="0" w:color="auto"/>
        <w:right w:val="none" w:sz="0" w:space="0" w:color="auto"/>
      </w:divBdr>
    </w:div>
    <w:div w:id="1067073948">
      <w:bodyDiv w:val="1"/>
      <w:marLeft w:val="0"/>
      <w:marRight w:val="0"/>
      <w:marTop w:val="0"/>
      <w:marBottom w:val="0"/>
      <w:divBdr>
        <w:top w:val="none" w:sz="0" w:space="0" w:color="auto"/>
        <w:left w:val="none" w:sz="0" w:space="0" w:color="auto"/>
        <w:bottom w:val="none" w:sz="0" w:space="0" w:color="auto"/>
        <w:right w:val="none" w:sz="0" w:space="0" w:color="auto"/>
      </w:divBdr>
    </w:div>
    <w:div w:id="1071274219">
      <w:bodyDiv w:val="1"/>
      <w:marLeft w:val="0"/>
      <w:marRight w:val="0"/>
      <w:marTop w:val="0"/>
      <w:marBottom w:val="0"/>
      <w:divBdr>
        <w:top w:val="none" w:sz="0" w:space="0" w:color="auto"/>
        <w:left w:val="none" w:sz="0" w:space="0" w:color="auto"/>
        <w:bottom w:val="none" w:sz="0" w:space="0" w:color="auto"/>
        <w:right w:val="none" w:sz="0" w:space="0" w:color="auto"/>
      </w:divBdr>
    </w:div>
    <w:div w:id="1103114746">
      <w:bodyDiv w:val="1"/>
      <w:marLeft w:val="0"/>
      <w:marRight w:val="0"/>
      <w:marTop w:val="0"/>
      <w:marBottom w:val="0"/>
      <w:divBdr>
        <w:top w:val="none" w:sz="0" w:space="0" w:color="auto"/>
        <w:left w:val="none" w:sz="0" w:space="0" w:color="auto"/>
        <w:bottom w:val="none" w:sz="0" w:space="0" w:color="auto"/>
        <w:right w:val="none" w:sz="0" w:space="0" w:color="auto"/>
      </w:divBdr>
    </w:div>
    <w:div w:id="1105854860">
      <w:bodyDiv w:val="1"/>
      <w:marLeft w:val="0"/>
      <w:marRight w:val="0"/>
      <w:marTop w:val="0"/>
      <w:marBottom w:val="0"/>
      <w:divBdr>
        <w:top w:val="none" w:sz="0" w:space="0" w:color="auto"/>
        <w:left w:val="none" w:sz="0" w:space="0" w:color="auto"/>
        <w:bottom w:val="none" w:sz="0" w:space="0" w:color="auto"/>
        <w:right w:val="none" w:sz="0" w:space="0" w:color="auto"/>
      </w:divBdr>
    </w:div>
    <w:div w:id="1107696547">
      <w:bodyDiv w:val="1"/>
      <w:marLeft w:val="0"/>
      <w:marRight w:val="0"/>
      <w:marTop w:val="0"/>
      <w:marBottom w:val="0"/>
      <w:divBdr>
        <w:top w:val="none" w:sz="0" w:space="0" w:color="auto"/>
        <w:left w:val="none" w:sz="0" w:space="0" w:color="auto"/>
        <w:bottom w:val="none" w:sz="0" w:space="0" w:color="auto"/>
        <w:right w:val="none" w:sz="0" w:space="0" w:color="auto"/>
      </w:divBdr>
    </w:div>
    <w:div w:id="1108624778">
      <w:bodyDiv w:val="1"/>
      <w:marLeft w:val="0"/>
      <w:marRight w:val="0"/>
      <w:marTop w:val="0"/>
      <w:marBottom w:val="0"/>
      <w:divBdr>
        <w:top w:val="none" w:sz="0" w:space="0" w:color="auto"/>
        <w:left w:val="none" w:sz="0" w:space="0" w:color="auto"/>
        <w:bottom w:val="none" w:sz="0" w:space="0" w:color="auto"/>
        <w:right w:val="none" w:sz="0" w:space="0" w:color="auto"/>
      </w:divBdr>
    </w:div>
    <w:div w:id="1123425487">
      <w:bodyDiv w:val="1"/>
      <w:marLeft w:val="0"/>
      <w:marRight w:val="0"/>
      <w:marTop w:val="0"/>
      <w:marBottom w:val="0"/>
      <w:divBdr>
        <w:top w:val="none" w:sz="0" w:space="0" w:color="auto"/>
        <w:left w:val="none" w:sz="0" w:space="0" w:color="auto"/>
        <w:bottom w:val="none" w:sz="0" w:space="0" w:color="auto"/>
        <w:right w:val="none" w:sz="0" w:space="0" w:color="auto"/>
      </w:divBdr>
    </w:div>
    <w:div w:id="1125735622">
      <w:bodyDiv w:val="1"/>
      <w:marLeft w:val="0"/>
      <w:marRight w:val="0"/>
      <w:marTop w:val="0"/>
      <w:marBottom w:val="0"/>
      <w:divBdr>
        <w:top w:val="none" w:sz="0" w:space="0" w:color="auto"/>
        <w:left w:val="none" w:sz="0" w:space="0" w:color="auto"/>
        <w:bottom w:val="none" w:sz="0" w:space="0" w:color="auto"/>
        <w:right w:val="none" w:sz="0" w:space="0" w:color="auto"/>
      </w:divBdr>
    </w:div>
    <w:div w:id="1130367468">
      <w:bodyDiv w:val="1"/>
      <w:marLeft w:val="0"/>
      <w:marRight w:val="0"/>
      <w:marTop w:val="0"/>
      <w:marBottom w:val="0"/>
      <w:divBdr>
        <w:top w:val="none" w:sz="0" w:space="0" w:color="auto"/>
        <w:left w:val="none" w:sz="0" w:space="0" w:color="auto"/>
        <w:bottom w:val="none" w:sz="0" w:space="0" w:color="auto"/>
        <w:right w:val="none" w:sz="0" w:space="0" w:color="auto"/>
      </w:divBdr>
    </w:div>
    <w:div w:id="1145271984">
      <w:bodyDiv w:val="1"/>
      <w:marLeft w:val="0"/>
      <w:marRight w:val="0"/>
      <w:marTop w:val="0"/>
      <w:marBottom w:val="0"/>
      <w:divBdr>
        <w:top w:val="none" w:sz="0" w:space="0" w:color="auto"/>
        <w:left w:val="none" w:sz="0" w:space="0" w:color="auto"/>
        <w:bottom w:val="none" w:sz="0" w:space="0" w:color="auto"/>
        <w:right w:val="none" w:sz="0" w:space="0" w:color="auto"/>
      </w:divBdr>
    </w:div>
    <w:div w:id="1162161964">
      <w:bodyDiv w:val="1"/>
      <w:marLeft w:val="0"/>
      <w:marRight w:val="0"/>
      <w:marTop w:val="0"/>
      <w:marBottom w:val="0"/>
      <w:divBdr>
        <w:top w:val="none" w:sz="0" w:space="0" w:color="auto"/>
        <w:left w:val="none" w:sz="0" w:space="0" w:color="auto"/>
        <w:bottom w:val="none" w:sz="0" w:space="0" w:color="auto"/>
        <w:right w:val="none" w:sz="0" w:space="0" w:color="auto"/>
      </w:divBdr>
    </w:div>
    <w:div w:id="1167746900">
      <w:bodyDiv w:val="1"/>
      <w:marLeft w:val="0"/>
      <w:marRight w:val="0"/>
      <w:marTop w:val="0"/>
      <w:marBottom w:val="0"/>
      <w:divBdr>
        <w:top w:val="none" w:sz="0" w:space="0" w:color="auto"/>
        <w:left w:val="none" w:sz="0" w:space="0" w:color="auto"/>
        <w:bottom w:val="none" w:sz="0" w:space="0" w:color="auto"/>
        <w:right w:val="none" w:sz="0" w:space="0" w:color="auto"/>
      </w:divBdr>
    </w:div>
    <w:div w:id="1172797196">
      <w:bodyDiv w:val="1"/>
      <w:marLeft w:val="0"/>
      <w:marRight w:val="0"/>
      <w:marTop w:val="0"/>
      <w:marBottom w:val="0"/>
      <w:divBdr>
        <w:top w:val="none" w:sz="0" w:space="0" w:color="auto"/>
        <w:left w:val="none" w:sz="0" w:space="0" w:color="auto"/>
        <w:bottom w:val="none" w:sz="0" w:space="0" w:color="auto"/>
        <w:right w:val="none" w:sz="0" w:space="0" w:color="auto"/>
      </w:divBdr>
    </w:div>
    <w:div w:id="1175996805">
      <w:bodyDiv w:val="1"/>
      <w:marLeft w:val="0"/>
      <w:marRight w:val="0"/>
      <w:marTop w:val="0"/>
      <w:marBottom w:val="0"/>
      <w:divBdr>
        <w:top w:val="none" w:sz="0" w:space="0" w:color="auto"/>
        <w:left w:val="none" w:sz="0" w:space="0" w:color="auto"/>
        <w:bottom w:val="none" w:sz="0" w:space="0" w:color="auto"/>
        <w:right w:val="none" w:sz="0" w:space="0" w:color="auto"/>
      </w:divBdr>
    </w:div>
    <w:div w:id="1199665929">
      <w:bodyDiv w:val="1"/>
      <w:marLeft w:val="0"/>
      <w:marRight w:val="0"/>
      <w:marTop w:val="0"/>
      <w:marBottom w:val="0"/>
      <w:divBdr>
        <w:top w:val="none" w:sz="0" w:space="0" w:color="auto"/>
        <w:left w:val="none" w:sz="0" w:space="0" w:color="auto"/>
        <w:bottom w:val="none" w:sz="0" w:space="0" w:color="auto"/>
        <w:right w:val="none" w:sz="0" w:space="0" w:color="auto"/>
      </w:divBdr>
    </w:div>
    <w:div w:id="1200318452">
      <w:bodyDiv w:val="1"/>
      <w:marLeft w:val="0"/>
      <w:marRight w:val="0"/>
      <w:marTop w:val="0"/>
      <w:marBottom w:val="0"/>
      <w:divBdr>
        <w:top w:val="none" w:sz="0" w:space="0" w:color="auto"/>
        <w:left w:val="none" w:sz="0" w:space="0" w:color="auto"/>
        <w:bottom w:val="none" w:sz="0" w:space="0" w:color="auto"/>
        <w:right w:val="none" w:sz="0" w:space="0" w:color="auto"/>
      </w:divBdr>
    </w:div>
    <w:div w:id="1201630655">
      <w:bodyDiv w:val="1"/>
      <w:marLeft w:val="0"/>
      <w:marRight w:val="0"/>
      <w:marTop w:val="0"/>
      <w:marBottom w:val="0"/>
      <w:divBdr>
        <w:top w:val="none" w:sz="0" w:space="0" w:color="auto"/>
        <w:left w:val="none" w:sz="0" w:space="0" w:color="auto"/>
        <w:bottom w:val="none" w:sz="0" w:space="0" w:color="auto"/>
        <w:right w:val="none" w:sz="0" w:space="0" w:color="auto"/>
      </w:divBdr>
    </w:div>
    <w:div w:id="1202522985">
      <w:bodyDiv w:val="1"/>
      <w:marLeft w:val="0"/>
      <w:marRight w:val="0"/>
      <w:marTop w:val="0"/>
      <w:marBottom w:val="0"/>
      <w:divBdr>
        <w:top w:val="none" w:sz="0" w:space="0" w:color="auto"/>
        <w:left w:val="none" w:sz="0" w:space="0" w:color="auto"/>
        <w:bottom w:val="none" w:sz="0" w:space="0" w:color="auto"/>
        <w:right w:val="none" w:sz="0" w:space="0" w:color="auto"/>
      </w:divBdr>
    </w:div>
    <w:div w:id="1216428617">
      <w:bodyDiv w:val="1"/>
      <w:marLeft w:val="0"/>
      <w:marRight w:val="0"/>
      <w:marTop w:val="0"/>
      <w:marBottom w:val="0"/>
      <w:divBdr>
        <w:top w:val="none" w:sz="0" w:space="0" w:color="auto"/>
        <w:left w:val="none" w:sz="0" w:space="0" w:color="auto"/>
        <w:bottom w:val="none" w:sz="0" w:space="0" w:color="auto"/>
        <w:right w:val="none" w:sz="0" w:space="0" w:color="auto"/>
      </w:divBdr>
    </w:div>
    <w:div w:id="1222447796">
      <w:bodyDiv w:val="1"/>
      <w:marLeft w:val="0"/>
      <w:marRight w:val="0"/>
      <w:marTop w:val="0"/>
      <w:marBottom w:val="0"/>
      <w:divBdr>
        <w:top w:val="none" w:sz="0" w:space="0" w:color="auto"/>
        <w:left w:val="none" w:sz="0" w:space="0" w:color="auto"/>
        <w:bottom w:val="none" w:sz="0" w:space="0" w:color="auto"/>
        <w:right w:val="none" w:sz="0" w:space="0" w:color="auto"/>
      </w:divBdr>
    </w:div>
    <w:div w:id="1225602338">
      <w:bodyDiv w:val="1"/>
      <w:marLeft w:val="0"/>
      <w:marRight w:val="0"/>
      <w:marTop w:val="0"/>
      <w:marBottom w:val="0"/>
      <w:divBdr>
        <w:top w:val="none" w:sz="0" w:space="0" w:color="auto"/>
        <w:left w:val="none" w:sz="0" w:space="0" w:color="auto"/>
        <w:bottom w:val="none" w:sz="0" w:space="0" w:color="auto"/>
        <w:right w:val="none" w:sz="0" w:space="0" w:color="auto"/>
      </w:divBdr>
    </w:div>
    <w:div w:id="1227691176">
      <w:bodyDiv w:val="1"/>
      <w:marLeft w:val="0"/>
      <w:marRight w:val="0"/>
      <w:marTop w:val="0"/>
      <w:marBottom w:val="0"/>
      <w:divBdr>
        <w:top w:val="none" w:sz="0" w:space="0" w:color="auto"/>
        <w:left w:val="none" w:sz="0" w:space="0" w:color="auto"/>
        <w:bottom w:val="none" w:sz="0" w:space="0" w:color="auto"/>
        <w:right w:val="none" w:sz="0" w:space="0" w:color="auto"/>
      </w:divBdr>
    </w:div>
    <w:div w:id="1228567085">
      <w:bodyDiv w:val="1"/>
      <w:marLeft w:val="0"/>
      <w:marRight w:val="0"/>
      <w:marTop w:val="0"/>
      <w:marBottom w:val="0"/>
      <w:divBdr>
        <w:top w:val="none" w:sz="0" w:space="0" w:color="auto"/>
        <w:left w:val="none" w:sz="0" w:space="0" w:color="auto"/>
        <w:bottom w:val="none" w:sz="0" w:space="0" w:color="auto"/>
        <w:right w:val="none" w:sz="0" w:space="0" w:color="auto"/>
      </w:divBdr>
    </w:div>
    <w:div w:id="1228611805">
      <w:bodyDiv w:val="1"/>
      <w:marLeft w:val="0"/>
      <w:marRight w:val="0"/>
      <w:marTop w:val="0"/>
      <w:marBottom w:val="0"/>
      <w:divBdr>
        <w:top w:val="none" w:sz="0" w:space="0" w:color="auto"/>
        <w:left w:val="none" w:sz="0" w:space="0" w:color="auto"/>
        <w:bottom w:val="none" w:sz="0" w:space="0" w:color="auto"/>
        <w:right w:val="none" w:sz="0" w:space="0" w:color="auto"/>
      </w:divBdr>
    </w:div>
    <w:div w:id="1236932694">
      <w:bodyDiv w:val="1"/>
      <w:marLeft w:val="0"/>
      <w:marRight w:val="0"/>
      <w:marTop w:val="0"/>
      <w:marBottom w:val="0"/>
      <w:divBdr>
        <w:top w:val="none" w:sz="0" w:space="0" w:color="auto"/>
        <w:left w:val="none" w:sz="0" w:space="0" w:color="auto"/>
        <w:bottom w:val="none" w:sz="0" w:space="0" w:color="auto"/>
        <w:right w:val="none" w:sz="0" w:space="0" w:color="auto"/>
      </w:divBdr>
    </w:div>
    <w:div w:id="1244220678">
      <w:bodyDiv w:val="1"/>
      <w:marLeft w:val="0"/>
      <w:marRight w:val="0"/>
      <w:marTop w:val="0"/>
      <w:marBottom w:val="0"/>
      <w:divBdr>
        <w:top w:val="none" w:sz="0" w:space="0" w:color="auto"/>
        <w:left w:val="none" w:sz="0" w:space="0" w:color="auto"/>
        <w:bottom w:val="none" w:sz="0" w:space="0" w:color="auto"/>
        <w:right w:val="none" w:sz="0" w:space="0" w:color="auto"/>
      </w:divBdr>
    </w:div>
    <w:div w:id="1245919478">
      <w:bodyDiv w:val="1"/>
      <w:marLeft w:val="0"/>
      <w:marRight w:val="0"/>
      <w:marTop w:val="0"/>
      <w:marBottom w:val="0"/>
      <w:divBdr>
        <w:top w:val="none" w:sz="0" w:space="0" w:color="auto"/>
        <w:left w:val="none" w:sz="0" w:space="0" w:color="auto"/>
        <w:bottom w:val="none" w:sz="0" w:space="0" w:color="auto"/>
        <w:right w:val="none" w:sz="0" w:space="0" w:color="auto"/>
      </w:divBdr>
    </w:div>
    <w:div w:id="1246382058">
      <w:bodyDiv w:val="1"/>
      <w:marLeft w:val="0"/>
      <w:marRight w:val="0"/>
      <w:marTop w:val="0"/>
      <w:marBottom w:val="0"/>
      <w:divBdr>
        <w:top w:val="none" w:sz="0" w:space="0" w:color="auto"/>
        <w:left w:val="none" w:sz="0" w:space="0" w:color="auto"/>
        <w:bottom w:val="none" w:sz="0" w:space="0" w:color="auto"/>
        <w:right w:val="none" w:sz="0" w:space="0" w:color="auto"/>
      </w:divBdr>
    </w:div>
    <w:div w:id="1256985760">
      <w:bodyDiv w:val="1"/>
      <w:marLeft w:val="0"/>
      <w:marRight w:val="0"/>
      <w:marTop w:val="0"/>
      <w:marBottom w:val="0"/>
      <w:divBdr>
        <w:top w:val="none" w:sz="0" w:space="0" w:color="auto"/>
        <w:left w:val="none" w:sz="0" w:space="0" w:color="auto"/>
        <w:bottom w:val="none" w:sz="0" w:space="0" w:color="auto"/>
        <w:right w:val="none" w:sz="0" w:space="0" w:color="auto"/>
      </w:divBdr>
    </w:div>
    <w:div w:id="1263685667">
      <w:bodyDiv w:val="1"/>
      <w:marLeft w:val="0"/>
      <w:marRight w:val="0"/>
      <w:marTop w:val="0"/>
      <w:marBottom w:val="0"/>
      <w:divBdr>
        <w:top w:val="none" w:sz="0" w:space="0" w:color="auto"/>
        <w:left w:val="none" w:sz="0" w:space="0" w:color="auto"/>
        <w:bottom w:val="none" w:sz="0" w:space="0" w:color="auto"/>
        <w:right w:val="none" w:sz="0" w:space="0" w:color="auto"/>
      </w:divBdr>
    </w:div>
    <w:div w:id="1275135423">
      <w:bodyDiv w:val="1"/>
      <w:marLeft w:val="0"/>
      <w:marRight w:val="0"/>
      <w:marTop w:val="0"/>
      <w:marBottom w:val="0"/>
      <w:divBdr>
        <w:top w:val="none" w:sz="0" w:space="0" w:color="auto"/>
        <w:left w:val="none" w:sz="0" w:space="0" w:color="auto"/>
        <w:bottom w:val="none" w:sz="0" w:space="0" w:color="auto"/>
        <w:right w:val="none" w:sz="0" w:space="0" w:color="auto"/>
      </w:divBdr>
    </w:div>
    <w:div w:id="1276451118">
      <w:bodyDiv w:val="1"/>
      <w:marLeft w:val="0"/>
      <w:marRight w:val="0"/>
      <w:marTop w:val="0"/>
      <w:marBottom w:val="0"/>
      <w:divBdr>
        <w:top w:val="none" w:sz="0" w:space="0" w:color="auto"/>
        <w:left w:val="none" w:sz="0" w:space="0" w:color="auto"/>
        <w:bottom w:val="none" w:sz="0" w:space="0" w:color="auto"/>
        <w:right w:val="none" w:sz="0" w:space="0" w:color="auto"/>
      </w:divBdr>
    </w:div>
    <w:div w:id="1279800294">
      <w:bodyDiv w:val="1"/>
      <w:marLeft w:val="0"/>
      <w:marRight w:val="0"/>
      <w:marTop w:val="0"/>
      <w:marBottom w:val="0"/>
      <w:divBdr>
        <w:top w:val="none" w:sz="0" w:space="0" w:color="auto"/>
        <w:left w:val="none" w:sz="0" w:space="0" w:color="auto"/>
        <w:bottom w:val="none" w:sz="0" w:space="0" w:color="auto"/>
        <w:right w:val="none" w:sz="0" w:space="0" w:color="auto"/>
      </w:divBdr>
    </w:div>
    <w:div w:id="1293632637">
      <w:bodyDiv w:val="1"/>
      <w:marLeft w:val="0"/>
      <w:marRight w:val="0"/>
      <w:marTop w:val="0"/>
      <w:marBottom w:val="0"/>
      <w:divBdr>
        <w:top w:val="none" w:sz="0" w:space="0" w:color="auto"/>
        <w:left w:val="none" w:sz="0" w:space="0" w:color="auto"/>
        <w:bottom w:val="none" w:sz="0" w:space="0" w:color="auto"/>
        <w:right w:val="none" w:sz="0" w:space="0" w:color="auto"/>
      </w:divBdr>
    </w:div>
    <w:div w:id="1294288679">
      <w:bodyDiv w:val="1"/>
      <w:marLeft w:val="0"/>
      <w:marRight w:val="0"/>
      <w:marTop w:val="0"/>
      <w:marBottom w:val="0"/>
      <w:divBdr>
        <w:top w:val="none" w:sz="0" w:space="0" w:color="auto"/>
        <w:left w:val="none" w:sz="0" w:space="0" w:color="auto"/>
        <w:bottom w:val="none" w:sz="0" w:space="0" w:color="auto"/>
        <w:right w:val="none" w:sz="0" w:space="0" w:color="auto"/>
      </w:divBdr>
    </w:div>
    <w:div w:id="1301030848">
      <w:bodyDiv w:val="1"/>
      <w:marLeft w:val="0"/>
      <w:marRight w:val="0"/>
      <w:marTop w:val="0"/>
      <w:marBottom w:val="0"/>
      <w:divBdr>
        <w:top w:val="none" w:sz="0" w:space="0" w:color="auto"/>
        <w:left w:val="none" w:sz="0" w:space="0" w:color="auto"/>
        <w:bottom w:val="none" w:sz="0" w:space="0" w:color="auto"/>
        <w:right w:val="none" w:sz="0" w:space="0" w:color="auto"/>
      </w:divBdr>
    </w:div>
    <w:div w:id="1302929456">
      <w:bodyDiv w:val="1"/>
      <w:marLeft w:val="0"/>
      <w:marRight w:val="0"/>
      <w:marTop w:val="0"/>
      <w:marBottom w:val="0"/>
      <w:divBdr>
        <w:top w:val="none" w:sz="0" w:space="0" w:color="auto"/>
        <w:left w:val="none" w:sz="0" w:space="0" w:color="auto"/>
        <w:bottom w:val="none" w:sz="0" w:space="0" w:color="auto"/>
        <w:right w:val="none" w:sz="0" w:space="0" w:color="auto"/>
      </w:divBdr>
    </w:div>
    <w:div w:id="1307515730">
      <w:bodyDiv w:val="1"/>
      <w:marLeft w:val="0"/>
      <w:marRight w:val="0"/>
      <w:marTop w:val="0"/>
      <w:marBottom w:val="0"/>
      <w:divBdr>
        <w:top w:val="none" w:sz="0" w:space="0" w:color="auto"/>
        <w:left w:val="none" w:sz="0" w:space="0" w:color="auto"/>
        <w:bottom w:val="none" w:sz="0" w:space="0" w:color="auto"/>
        <w:right w:val="none" w:sz="0" w:space="0" w:color="auto"/>
      </w:divBdr>
    </w:div>
    <w:div w:id="1315065127">
      <w:bodyDiv w:val="1"/>
      <w:marLeft w:val="0"/>
      <w:marRight w:val="0"/>
      <w:marTop w:val="0"/>
      <w:marBottom w:val="0"/>
      <w:divBdr>
        <w:top w:val="none" w:sz="0" w:space="0" w:color="auto"/>
        <w:left w:val="none" w:sz="0" w:space="0" w:color="auto"/>
        <w:bottom w:val="none" w:sz="0" w:space="0" w:color="auto"/>
        <w:right w:val="none" w:sz="0" w:space="0" w:color="auto"/>
      </w:divBdr>
    </w:div>
    <w:div w:id="1325620900">
      <w:bodyDiv w:val="1"/>
      <w:marLeft w:val="0"/>
      <w:marRight w:val="0"/>
      <w:marTop w:val="0"/>
      <w:marBottom w:val="0"/>
      <w:divBdr>
        <w:top w:val="none" w:sz="0" w:space="0" w:color="auto"/>
        <w:left w:val="none" w:sz="0" w:space="0" w:color="auto"/>
        <w:bottom w:val="none" w:sz="0" w:space="0" w:color="auto"/>
        <w:right w:val="none" w:sz="0" w:space="0" w:color="auto"/>
      </w:divBdr>
    </w:div>
    <w:div w:id="1339622005">
      <w:bodyDiv w:val="1"/>
      <w:marLeft w:val="0"/>
      <w:marRight w:val="0"/>
      <w:marTop w:val="0"/>
      <w:marBottom w:val="0"/>
      <w:divBdr>
        <w:top w:val="none" w:sz="0" w:space="0" w:color="auto"/>
        <w:left w:val="none" w:sz="0" w:space="0" w:color="auto"/>
        <w:bottom w:val="none" w:sz="0" w:space="0" w:color="auto"/>
        <w:right w:val="none" w:sz="0" w:space="0" w:color="auto"/>
      </w:divBdr>
    </w:div>
    <w:div w:id="1346860499">
      <w:bodyDiv w:val="1"/>
      <w:marLeft w:val="0"/>
      <w:marRight w:val="0"/>
      <w:marTop w:val="0"/>
      <w:marBottom w:val="0"/>
      <w:divBdr>
        <w:top w:val="none" w:sz="0" w:space="0" w:color="auto"/>
        <w:left w:val="none" w:sz="0" w:space="0" w:color="auto"/>
        <w:bottom w:val="none" w:sz="0" w:space="0" w:color="auto"/>
        <w:right w:val="none" w:sz="0" w:space="0" w:color="auto"/>
      </w:divBdr>
    </w:div>
    <w:div w:id="1356496749">
      <w:bodyDiv w:val="1"/>
      <w:marLeft w:val="0"/>
      <w:marRight w:val="0"/>
      <w:marTop w:val="0"/>
      <w:marBottom w:val="0"/>
      <w:divBdr>
        <w:top w:val="none" w:sz="0" w:space="0" w:color="auto"/>
        <w:left w:val="none" w:sz="0" w:space="0" w:color="auto"/>
        <w:bottom w:val="none" w:sz="0" w:space="0" w:color="auto"/>
        <w:right w:val="none" w:sz="0" w:space="0" w:color="auto"/>
      </w:divBdr>
    </w:div>
    <w:div w:id="1358853227">
      <w:bodyDiv w:val="1"/>
      <w:marLeft w:val="0"/>
      <w:marRight w:val="0"/>
      <w:marTop w:val="0"/>
      <w:marBottom w:val="0"/>
      <w:divBdr>
        <w:top w:val="none" w:sz="0" w:space="0" w:color="auto"/>
        <w:left w:val="none" w:sz="0" w:space="0" w:color="auto"/>
        <w:bottom w:val="none" w:sz="0" w:space="0" w:color="auto"/>
        <w:right w:val="none" w:sz="0" w:space="0" w:color="auto"/>
      </w:divBdr>
    </w:div>
    <w:div w:id="1359507340">
      <w:bodyDiv w:val="1"/>
      <w:marLeft w:val="0"/>
      <w:marRight w:val="0"/>
      <w:marTop w:val="0"/>
      <w:marBottom w:val="0"/>
      <w:divBdr>
        <w:top w:val="none" w:sz="0" w:space="0" w:color="auto"/>
        <w:left w:val="none" w:sz="0" w:space="0" w:color="auto"/>
        <w:bottom w:val="none" w:sz="0" w:space="0" w:color="auto"/>
        <w:right w:val="none" w:sz="0" w:space="0" w:color="auto"/>
      </w:divBdr>
    </w:div>
    <w:div w:id="1364596449">
      <w:bodyDiv w:val="1"/>
      <w:marLeft w:val="0"/>
      <w:marRight w:val="0"/>
      <w:marTop w:val="0"/>
      <w:marBottom w:val="0"/>
      <w:divBdr>
        <w:top w:val="none" w:sz="0" w:space="0" w:color="auto"/>
        <w:left w:val="none" w:sz="0" w:space="0" w:color="auto"/>
        <w:bottom w:val="none" w:sz="0" w:space="0" w:color="auto"/>
        <w:right w:val="none" w:sz="0" w:space="0" w:color="auto"/>
      </w:divBdr>
    </w:div>
    <w:div w:id="1367831127">
      <w:bodyDiv w:val="1"/>
      <w:marLeft w:val="0"/>
      <w:marRight w:val="0"/>
      <w:marTop w:val="0"/>
      <w:marBottom w:val="0"/>
      <w:divBdr>
        <w:top w:val="none" w:sz="0" w:space="0" w:color="auto"/>
        <w:left w:val="none" w:sz="0" w:space="0" w:color="auto"/>
        <w:bottom w:val="none" w:sz="0" w:space="0" w:color="auto"/>
        <w:right w:val="none" w:sz="0" w:space="0" w:color="auto"/>
      </w:divBdr>
    </w:div>
    <w:div w:id="1374037054">
      <w:bodyDiv w:val="1"/>
      <w:marLeft w:val="0"/>
      <w:marRight w:val="0"/>
      <w:marTop w:val="0"/>
      <w:marBottom w:val="0"/>
      <w:divBdr>
        <w:top w:val="none" w:sz="0" w:space="0" w:color="auto"/>
        <w:left w:val="none" w:sz="0" w:space="0" w:color="auto"/>
        <w:bottom w:val="none" w:sz="0" w:space="0" w:color="auto"/>
        <w:right w:val="none" w:sz="0" w:space="0" w:color="auto"/>
      </w:divBdr>
    </w:div>
    <w:div w:id="1378894310">
      <w:bodyDiv w:val="1"/>
      <w:marLeft w:val="0"/>
      <w:marRight w:val="0"/>
      <w:marTop w:val="0"/>
      <w:marBottom w:val="0"/>
      <w:divBdr>
        <w:top w:val="none" w:sz="0" w:space="0" w:color="auto"/>
        <w:left w:val="none" w:sz="0" w:space="0" w:color="auto"/>
        <w:bottom w:val="none" w:sz="0" w:space="0" w:color="auto"/>
        <w:right w:val="none" w:sz="0" w:space="0" w:color="auto"/>
      </w:divBdr>
    </w:div>
    <w:div w:id="1390684429">
      <w:bodyDiv w:val="1"/>
      <w:marLeft w:val="0"/>
      <w:marRight w:val="0"/>
      <w:marTop w:val="0"/>
      <w:marBottom w:val="0"/>
      <w:divBdr>
        <w:top w:val="none" w:sz="0" w:space="0" w:color="auto"/>
        <w:left w:val="none" w:sz="0" w:space="0" w:color="auto"/>
        <w:bottom w:val="none" w:sz="0" w:space="0" w:color="auto"/>
        <w:right w:val="none" w:sz="0" w:space="0" w:color="auto"/>
      </w:divBdr>
    </w:div>
    <w:div w:id="1408069142">
      <w:bodyDiv w:val="1"/>
      <w:marLeft w:val="0"/>
      <w:marRight w:val="0"/>
      <w:marTop w:val="0"/>
      <w:marBottom w:val="0"/>
      <w:divBdr>
        <w:top w:val="none" w:sz="0" w:space="0" w:color="auto"/>
        <w:left w:val="none" w:sz="0" w:space="0" w:color="auto"/>
        <w:bottom w:val="none" w:sz="0" w:space="0" w:color="auto"/>
        <w:right w:val="none" w:sz="0" w:space="0" w:color="auto"/>
      </w:divBdr>
    </w:div>
    <w:div w:id="1415737981">
      <w:bodyDiv w:val="1"/>
      <w:marLeft w:val="0"/>
      <w:marRight w:val="0"/>
      <w:marTop w:val="0"/>
      <w:marBottom w:val="0"/>
      <w:divBdr>
        <w:top w:val="none" w:sz="0" w:space="0" w:color="auto"/>
        <w:left w:val="none" w:sz="0" w:space="0" w:color="auto"/>
        <w:bottom w:val="none" w:sz="0" w:space="0" w:color="auto"/>
        <w:right w:val="none" w:sz="0" w:space="0" w:color="auto"/>
      </w:divBdr>
    </w:div>
    <w:div w:id="1420440324">
      <w:bodyDiv w:val="1"/>
      <w:marLeft w:val="0"/>
      <w:marRight w:val="0"/>
      <w:marTop w:val="0"/>
      <w:marBottom w:val="0"/>
      <w:divBdr>
        <w:top w:val="none" w:sz="0" w:space="0" w:color="auto"/>
        <w:left w:val="none" w:sz="0" w:space="0" w:color="auto"/>
        <w:bottom w:val="none" w:sz="0" w:space="0" w:color="auto"/>
        <w:right w:val="none" w:sz="0" w:space="0" w:color="auto"/>
      </w:divBdr>
    </w:div>
    <w:div w:id="1420643199">
      <w:bodyDiv w:val="1"/>
      <w:marLeft w:val="0"/>
      <w:marRight w:val="0"/>
      <w:marTop w:val="0"/>
      <w:marBottom w:val="0"/>
      <w:divBdr>
        <w:top w:val="none" w:sz="0" w:space="0" w:color="auto"/>
        <w:left w:val="none" w:sz="0" w:space="0" w:color="auto"/>
        <w:bottom w:val="none" w:sz="0" w:space="0" w:color="auto"/>
        <w:right w:val="none" w:sz="0" w:space="0" w:color="auto"/>
      </w:divBdr>
    </w:div>
    <w:div w:id="1432042246">
      <w:bodyDiv w:val="1"/>
      <w:marLeft w:val="0"/>
      <w:marRight w:val="0"/>
      <w:marTop w:val="0"/>
      <w:marBottom w:val="0"/>
      <w:divBdr>
        <w:top w:val="none" w:sz="0" w:space="0" w:color="auto"/>
        <w:left w:val="none" w:sz="0" w:space="0" w:color="auto"/>
        <w:bottom w:val="none" w:sz="0" w:space="0" w:color="auto"/>
        <w:right w:val="none" w:sz="0" w:space="0" w:color="auto"/>
      </w:divBdr>
    </w:div>
    <w:div w:id="1450128560">
      <w:bodyDiv w:val="1"/>
      <w:marLeft w:val="0"/>
      <w:marRight w:val="0"/>
      <w:marTop w:val="0"/>
      <w:marBottom w:val="0"/>
      <w:divBdr>
        <w:top w:val="none" w:sz="0" w:space="0" w:color="auto"/>
        <w:left w:val="none" w:sz="0" w:space="0" w:color="auto"/>
        <w:bottom w:val="none" w:sz="0" w:space="0" w:color="auto"/>
        <w:right w:val="none" w:sz="0" w:space="0" w:color="auto"/>
      </w:divBdr>
    </w:div>
    <w:div w:id="1461723414">
      <w:bodyDiv w:val="1"/>
      <w:marLeft w:val="0"/>
      <w:marRight w:val="0"/>
      <w:marTop w:val="0"/>
      <w:marBottom w:val="0"/>
      <w:divBdr>
        <w:top w:val="none" w:sz="0" w:space="0" w:color="auto"/>
        <w:left w:val="none" w:sz="0" w:space="0" w:color="auto"/>
        <w:bottom w:val="none" w:sz="0" w:space="0" w:color="auto"/>
        <w:right w:val="none" w:sz="0" w:space="0" w:color="auto"/>
      </w:divBdr>
    </w:div>
    <w:div w:id="1473674361">
      <w:bodyDiv w:val="1"/>
      <w:marLeft w:val="0"/>
      <w:marRight w:val="0"/>
      <w:marTop w:val="0"/>
      <w:marBottom w:val="0"/>
      <w:divBdr>
        <w:top w:val="none" w:sz="0" w:space="0" w:color="auto"/>
        <w:left w:val="none" w:sz="0" w:space="0" w:color="auto"/>
        <w:bottom w:val="none" w:sz="0" w:space="0" w:color="auto"/>
        <w:right w:val="none" w:sz="0" w:space="0" w:color="auto"/>
      </w:divBdr>
    </w:div>
    <w:div w:id="1477844564">
      <w:bodyDiv w:val="1"/>
      <w:marLeft w:val="0"/>
      <w:marRight w:val="0"/>
      <w:marTop w:val="0"/>
      <w:marBottom w:val="0"/>
      <w:divBdr>
        <w:top w:val="none" w:sz="0" w:space="0" w:color="auto"/>
        <w:left w:val="none" w:sz="0" w:space="0" w:color="auto"/>
        <w:bottom w:val="none" w:sz="0" w:space="0" w:color="auto"/>
        <w:right w:val="none" w:sz="0" w:space="0" w:color="auto"/>
      </w:divBdr>
    </w:div>
    <w:div w:id="1484196124">
      <w:bodyDiv w:val="1"/>
      <w:marLeft w:val="0"/>
      <w:marRight w:val="0"/>
      <w:marTop w:val="0"/>
      <w:marBottom w:val="0"/>
      <w:divBdr>
        <w:top w:val="none" w:sz="0" w:space="0" w:color="auto"/>
        <w:left w:val="none" w:sz="0" w:space="0" w:color="auto"/>
        <w:bottom w:val="none" w:sz="0" w:space="0" w:color="auto"/>
        <w:right w:val="none" w:sz="0" w:space="0" w:color="auto"/>
      </w:divBdr>
    </w:div>
    <w:div w:id="1485389836">
      <w:bodyDiv w:val="1"/>
      <w:marLeft w:val="0"/>
      <w:marRight w:val="0"/>
      <w:marTop w:val="0"/>
      <w:marBottom w:val="0"/>
      <w:divBdr>
        <w:top w:val="none" w:sz="0" w:space="0" w:color="auto"/>
        <w:left w:val="none" w:sz="0" w:space="0" w:color="auto"/>
        <w:bottom w:val="none" w:sz="0" w:space="0" w:color="auto"/>
        <w:right w:val="none" w:sz="0" w:space="0" w:color="auto"/>
      </w:divBdr>
    </w:div>
    <w:div w:id="1486363236">
      <w:bodyDiv w:val="1"/>
      <w:marLeft w:val="0"/>
      <w:marRight w:val="0"/>
      <w:marTop w:val="0"/>
      <w:marBottom w:val="0"/>
      <w:divBdr>
        <w:top w:val="none" w:sz="0" w:space="0" w:color="auto"/>
        <w:left w:val="none" w:sz="0" w:space="0" w:color="auto"/>
        <w:bottom w:val="none" w:sz="0" w:space="0" w:color="auto"/>
        <w:right w:val="none" w:sz="0" w:space="0" w:color="auto"/>
      </w:divBdr>
    </w:div>
    <w:div w:id="1487086429">
      <w:bodyDiv w:val="1"/>
      <w:marLeft w:val="0"/>
      <w:marRight w:val="0"/>
      <w:marTop w:val="0"/>
      <w:marBottom w:val="0"/>
      <w:divBdr>
        <w:top w:val="none" w:sz="0" w:space="0" w:color="auto"/>
        <w:left w:val="none" w:sz="0" w:space="0" w:color="auto"/>
        <w:bottom w:val="none" w:sz="0" w:space="0" w:color="auto"/>
        <w:right w:val="none" w:sz="0" w:space="0" w:color="auto"/>
      </w:divBdr>
    </w:div>
    <w:div w:id="1488932306">
      <w:bodyDiv w:val="1"/>
      <w:marLeft w:val="0"/>
      <w:marRight w:val="0"/>
      <w:marTop w:val="0"/>
      <w:marBottom w:val="0"/>
      <w:divBdr>
        <w:top w:val="none" w:sz="0" w:space="0" w:color="auto"/>
        <w:left w:val="none" w:sz="0" w:space="0" w:color="auto"/>
        <w:bottom w:val="none" w:sz="0" w:space="0" w:color="auto"/>
        <w:right w:val="none" w:sz="0" w:space="0" w:color="auto"/>
      </w:divBdr>
    </w:div>
    <w:div w:id="1490488084">
      <w:bodyDiv w:val="1"/>
      <w:marLeft w:val="0"/>
      <w:marRight w:val="0"/>
      <w:marTop w:val="0"/>
      <w:marBottom w:val="0"/>
      <w:divBdr>
        <w:top w:val="none" w:sz="0" w:space="0" w:color="auto"/>
        <w:left w:val="none" w:sz="0" w:space="0" w:color="auto"/>
        <w:bottom w:val="none" w:sz="0" w:space="0" w:color="auto"/>
        <w:right w:val="none" w:sz="0" w:space="0" w:color="auto"/>
      </w:divBdr>
    </w:div>
    <w:div w:id="1491603904">
      <w:bodyDiv w:val="1"/>
      <w:marLeft w:val="0"/>
      <w:marRight w:val="0"/>
      <w:marTop w:val="0"/>
      <w:marBottom w:val="0"/>
      <w:divBdr>
        <w:top w:val="none" w:sz="0" w:space="0" w:color="auto"/>
        <w:left w:val="none" w:sz="0" w:space="0" w:color="auto"/>
        <w:bottom w:val="none" w:sz="0" w:space="0" w:color="auto"/>
        <w:right w:val="none" w:sz="0" w:space="0" w:color="auto"/>
      </w:divBdr>
    </w:div>
    <w:div w:id="1492679270">
      <w:bodyDiv w:val="1"/>
      <w:marLeft w:val="0"/>
      <w:marRight w:val="0"/>
      <w:marTop w:val="0"/>
      <w:marBottom w:val="0"/>
      <w:divBdr>
        <w:top w:val="none" w:sz="0" w:space="0" w:color="auto"/>
        <w:left w:val="none" w:sz="0" w:space="0" w:color="auto"/>
        <w:bottom w:val="none" w:sz="0" w:space="0" w:color="auto"/>
        <w:right w:val="none" w:sz="0" w:space="0" w:color="auto"/>
      </w:divBdr>
    </w:div>
    <w:div w:id="1498307398">
      <w:bodyDiv w:val="1"/>
      <w:marLeft w:val="0"/>
      <w:marRight w:val="0"/>
      <w:marTop w:val="0"/>
      <w:marBottom w:val="0"/>
      <w:divBdr>
        <w:top w:val="none" w:sz="0" w:space="0" w:color="auto"/>
        <w:left w:val="none" w:sz="0" w:space="0" w:color="auto"/>
        <w:bottom w:val="none" w:sz="0" w:space="0" w:color="auto"/>
        <w:right w:val="none" w:sz="0" w:space="0" w:color="auto"/>
      </w:divBdr>
    </w:div>
    <w:div w:id="1499151303">
      <w:bodyDiv w:val="1"/>
      <w:marLeft w:val="0"/>
      <w:marRight w:val="0"/>
      <w:marTop w:val="0"/>
      <w:marBottom w:val="0"/>
      <w:divBdr>
        <w:top w:val="none" w:sz="0" w:space="0" w:color="auto"/>
        <w:left w:val="none" w:sz="0" w:space="0" w:color="auto"/>
        <w:bottom w:val="none" w:sz="0" w:space="0" w:color="auto"/>
        <w:right w:val="none" w:sz="0" w:space="0" w:color="auto"/>
      </w:divBdr>
    </w:div>
    <w:div w:id="1500076998">
      <w:bodyDiv w:val="1"/>
      <w:marLeft w:val="0"/>
      <w:marRight w:val="0"/>
      <w:marTop w:val="0"/>
      <w:marBottom w:val="0"/>
      <w:divBdr>
        <w:top w:val="none" w:sz="0" w:space="0" w:color="auto"/>
        <w:left w:val="none" w:sz="0" w:space="0" w:color="auto"/>
        <w:bottom w:val="none" w:sz="0" w:space="0" w:color="auto"/>
        <w:right w:val="none" w:sz="0" w:space="0" w:color="auto"/>
      </w:divBdr>
    </w:div>
    <w:div w:id="1502433176">
      <w:bodyDiv w:val="1"/>
      <w:marLeft w:val="0"/>
      <w:marRight w:val="0"/>
      <w:marTop w:val="0"/>
      <w:marBottom w:val="0"/>
      <w:divBdr>
        <w:top w:val="none" w:sz="0" w:space="0" w:color="auto"/>
        <w:left w:val="none" w:sz="0" w:space="0" w:color="auto"/>
        <w:bottom w:val="none" w:sz="0" w:space="0" w:color="auto"/>
        <w:right w:val="none" w:sz="0" w:space="0" w:color="auto"/>
      </w:divBdr>
    </w:div>
    <w:div w:id="1513253880">
      <w:bodyDiv w:val="1"/>
      <w:marLeft w:val="0"/>
      <w:marRight w:val="0"/>
      <w:marTop w:val="0"/>
      <w:marBottom w:val="0"/>
      <w:divBdr>
        <w:top w:val="none" w:sz="0" w:space="0" w:color="auto"/>
        <w:left w:val="none" w:sz="0" w:space="0" w:color="auto"/>
        <w:bottom w:val="none" w:sz="0" w:space="0" w:color="auto"/>
        <w:right w:val="none" w:sz="0" w:space="0" w:color="auto"/>
      </w:divBdr>
    </w:div>
    <w:div w:id="1548838607">
      <w:bodyDiv w:val="1"/>
      <w:marLeft w:val="0"/>
      <w:marRight w:val="0"/>
      <w:marTop w:val="0"/>
      <w:marBottom w:val="0"/>
      <w:divBdr>
        <w:top w:val="none" w:sz="0" w:space="0" w:color="auto"/>
        <w:left w:val="none" w:sz="0" w:space="0" w:color="auto"/>
        <w:bottom w:val="none" w:sz="0" w:space="0" w:color="auto"/>
        <w:right w:val="none" w:sz="0" w:space="0" w:color="auto"/>
      </w:divBdr>
    </w:div>
    <w:div w:id="1554804841">
      <w:bodyDiv w:val="1"/>
      <w:marLeft w:val="0"/>
      <w:marRight w:val="0"/>
      <w:marTop w:val="0"/>
      <w:marBottom w:val="0"/>
      <w:divBdr>
        <w:top w:val="none" w:sz="0" w:space="0" w:color="auto"/>
        <w:left w:val="none" w:sz="0" w:space="0" w:color="auto"/>
        <w:bottom w:val="none" w:sz="0" w:space="0" w:color="auto"/>
        <w:right w:val="none" w:sz="0" w:space="0" w:color="auto"/>
      </w:divBdr>
    </w:div>
    <w:div w:id="1562209055">
      <w:bodyDiv w:val="1"/>
      <w:marLeft w:val="0"/>
      <w:marRight w:val="0"/>
      <w:marTop w:val="0"/>
      <w:marBottom w:val="0"/>
      <w:divBdr>
        <w:top w:val="none" w:sz="0" w:space="0" w:color="auto"/>
        <w:left w:val="none" w:sz="0" w:space="0" w:color="auto"/>
        <w:bottom w:val="none" w:sz="0" w:space="0" w:color="auto"/>
        <w:right w:val="none" w:sz="0" w:space="0" w:color="auto"/>
      </w:divBdr>
    </w:div>
    <w:div w:id="1566144060">
      <w:bodyDiv w:val="1"/>
      <w:marLeft w:val="0"/>
      <w:marRight w:val="0"/>
      <w:marTop w:val="0"/>
      <w:marBottom w:val="0"/>
      <w:divBdr>
        <w:top w:val="none" w:sz="0" w:space="0" w:color="auto"/>
        <w:left w:val="none" w:sz="0" w:space="0" w:color="auto"/>
        <w:bottom w:val="none" w:sz="0" w:space="0" w:color="auto"/>
        <w:right w:val="none" w:sz="0" w:space="0" w:color="auto"/>
      </w:divBdr>
    </w:div>
    <w:div w:id="1566448556">
      <w:bodyDiv w:val="1"/>
      <w:marLeft w:val="0"/>
      <w:marRight w:val="0"/>
      <w:marTop w:val="0"/>
      <w:marBottom w:val="0"/>
      <w:divBdr>
        <w:top w:val="none" w:sz="0" w:space="0" w:color="auto"/>
        <w:left w:val="none" w:sz="0" w:space="0" w:color="auto"/>
        <w:bottom w:val="none" w:sz="0" w:space="0" w:color="auto"/>
        <w:right w:val="none" w:sz="0" w:space="0" w:color="auto"/>
      </w:divBdr>
    </w:div>
    <w:div w:id="1571883457">
      <w:bodyDiv w:val="1"/>
      <w:marLeft w:val="0"/>
      <w:marRight w:val="0"/>
      <w:marTop w:val="0"/>
      <w:marBottom w:val="0"/>
      <w:divBdr>
        <w:top w:val="none" w:sz="0" w:space="0" w:color="auto"/>
        <w:left w:val="none" w:sz="0" w:space="0" w:color="auto"/>
        <w:bottom w:val="none" w:sz="0" w:space="0" w:color="auto"/>
        <w:right w:val="none" w:sz="0" w:space="0" w:color="auto"/>
      </w:divBdr>
    </w:div>
    <w:div w:id="1577283465">
      <w:bodyDiv w:val="1"/>
      <w:marLeft w:val="0"/>
      <w:marRight w:val="0"/>
      <w:marTop w:val="0"/>
      <w:marBottom w:val="0"/>
      <w:divBdr>
        <w:top w:val="none" w:sz="0" w:space="0" w:color="auto"/>
        <w:left w:val="none" w:sz="0" w:space="0" w:color="auto"/>
        <w:bottom w:val="none" w:sz="0" w:space="0" w:color="auto"/>
        <w:right w:val="none" w:sz="0" w:space="0" w:color="auto"/>
      </w:divBdr>
    </w:div>
    <w:div w:id="1591964161">
      <w:bodyDiv w:val="1"/>
      <w:marLeft w:val="0"/>
      <w:marRight w:val="0"/>
      <w:marTop w:val="0"/>
      <w:marBottom w:val="0"/>
      <w:divBdr>
        <w:top w:val="none" w:sz="0" w:space="0" w:color="auto"/>
        <w:left w:val="none" w:sz="0" w:space="0" w:color="auto"/>
        <w:bottom w:val="none" w:sz="0" w:space="0" w:color="auto"/>
        <w:right w:val="none" w:sz="0" w:space="0" w:color="auto"/>
      </w:divBdr>
    </w:div>
    <w:div w:id="1601990765">
      <w:bodyDiv w:val="1"/>
      <w:marLeft w:val="0"/>
      <w:marRight w:val="0"/>
      <w:marTop w:val="0"/>
      <w:marBottom w:val="0"/>
      <w:divBdr>
        <w:top w:val="none" w:sz="0" w:space="0" w:color="auto"/>
        <w:left w:val="none" w:sz="0" w:space="0" w:color="auto"/>
        <w:bottom w:val="none" w:sz="0" w:space="0" w:color="auto"/>
        <w:right w:val="none" w:sz="0" w:space="0" w:color="auto"/>
      </w:divBdr>
    </w:div>
    <w:div w:id="1602567654">
      <w:bodyDiv w:val="1"/>
      <w:marLeft w:val="0"/>
      <w:marRight w:val="0"/>
      <w:marTop w:val="0"/>
      <w:marBottom w:val="0"/>
      <w:divBdr>
        <w:top w:val="none" w:sz="0" w:space="0" w:color="auto"/>
        <w:left w:val="none" w:sz="0" w:space="0" w:color="auto"/>
        <w:bottom w:val="none" w:sz="0" w:space="0" w:color="auto"/>
        <w:right w:val="none" w:sz="0" w:space="0" w:color="auto"/>
      </w:divBdr>
    </w:div>
    <w:div w:id="1607738793">
      <w:bodyDiv w:val="1"/>
      <w:marLeft w:val="0"/>
      <w:marRight w:val="0"/>
      <w:marTop w:val="0"/>
      <w:marBottom w:val="0"/>
      <w:divBdr>
        <w:top w:val="none" w:sz="0" w:space="0" w:color="auto"/>
        <w:left w:val="none" w:sz="0" w:space="0" w:color="auto"/>
        <w:bottom w:val="none" w:sz="0" w:space="0" w:color="auto"/>
        <w:right w:val="none" w:sz="0" w:space="0" w:color="auto"/>
      </w:divBdr>
    </w:div>
    <w:div w:id="1608851435">
      <w:bodyDiv w:val="1"/>
      <w:marLeft w:val="0"/>
      <w:marRight w:val="0"/>
      <w:marTop w:val="0"/>
      <w:marBottom w:val="0"/>
      <w:divBdr>
        <w:top w:val="none" w:sz="0" w:space="0" w:color="auto"/>
        <w:left w:val="none" w:sz="0" w:space="0" w:color="auto"/>
        <w:bottom w:val="none" w:sz="0" w:space="0" w:color="auto"/>
        <w:right w:val="none" w:sz="0" w:space="0" w:color="auto"/>
      </w:divBdr>
    </w:div>
    <w:div w:id="1612665427">
      <w:bodyDiv w:val="1"/>
      <w:marLeft w:val="0"/>
      <w:marRight w:val="0"/>
      <w:marTop w:val="0"/>
      <w:marBottom w:val="0"/>
      <w:divBdr>
        <w:top w:val="none" w:sz="0" w:space="0" w:color="auto"/>
        <w:left w:val="none" w:sz="0" w:space="0" w:color="auto"/>
        <w:bottom w:val="none" w:sz="0" w:space="0" w:color="auto"/>
        <w:right w:val="none" w:sz="0" w:space="0" w:color="auto"/>
      </w:divBdr>
    </w:div>
    <w:div w:id="1616598558">
      <w:bodyDiv w:val="1"/>
      <w:marLeft w:val="0"/>
      <w:marRight w:val="0"/>
      <w:marTop w:val="0"/>
      <w:marBottom w:val="0"/>
      <w:divBdr>
        <w:top w:val="none" w:sz="0" w:space="0" w:color="auto"/>
        <w:left w:val="none" w:sz="0" w:space="0" w:color="auto"/>
        <w:bottom w:val="none" w:sz="0" w:space="0" w:color="auto"/>
        <w:right w:val="none" w:sz="0" w:space="0" w:color="auto"/>
      </w:divBdr>
    </w:div>
    <w:div w:id="1621449850">
      <w:bodyDiv w:val="1"/>
      <w:marLeft w:val="0"/>
      <w:marRight w:val="0"/>
      <w:marTop w:val="0"/>
      <w:marBottom w:val="0"/>
      <w:divBdr>
        <w:top w:val="none" w:sz="0" w:space="0" w:color="auto"/>
        <w:left w:val="none" w:sz="0" w:space="0" w:color="auto"/>
        <w:bottom w:val="none" w:sz="0" w:space="0" w:color="auto"/>
        <w:right w:val="none" w:sz="0" w:space="0" w:color="auto"/>
      </w:divBdr>
    </w:div>
    <w:div w:id="1622299508">
      <w:bodyDiv w:val="1"/>
      <w:marLeft w:val="0"/>
      <w:marRight w:val="0"/>
      <w:marTop w:val="0"/>
      <w:marBottom w:val="0"/>
      <w:divBdr>
        <w:top w:val="none" w:sz="0" w:space="0" w:color="auto"/>
        <w:left w:val="none" w:sz="0" w:space="0" w:color="auto"/>
        <w:bottom w:val="none" w:sz="0" w:space="0" w:color="auto"/>
        <w:right w:val="none" w:sz="0" w:space="0" w:color="auto"/>
      </w:divBdr>
    </w:div>
    <w:div w:id="1643801812">
      <w:bodyDiv w:val="1"/>
      <w:marLeft w:val="0"/>
      <w:marRight w:val="0"/>
      <w:marTop w:val="0"/>
      <w:marBottom w:val="0"/>
      <w:divBdr>
        <w:top w:val="none" w:sz="0" w:space="0" w:color="auto"/>
        <w:left w:val="none" w:sz="0" w:space="0" w:color="auto"/>
        <w:bottom w:val="none" w:sz="0" w:space="0" w:color="auto"/>
        <w:right w:val="none" w:sz="0" w:space="0" w:color="auto"/>
      </w:divBdr>
    </w:div>
    <w:div w:id="1656492873">
      <w:bodyDiv w:val="1"/>
      <w:marLeft w:val="0"/>
      <w:marRight w:val="0"/>
      <w:marTop w:val="0"/>
      <w:marBottom w:val="0"/>
      <w:divBdr>
        <w:top w:val="none" w:sz="0" w:space="0" w:color="auto"/>
        <w:left w:val="none" w:sz="0" w:space="0" w:color="auto"/>
        <w:bottom w:val="none" w:sz="0" w:space="0" w:color="auto"/>
        <w:right w:val="none" w:sz="0" w:space="0" w:color="auto"/>
      </w:divBdr>
    </w:div>
    <w:div w:id="1662998126">
      <w:bodyDiv w:val="1"/>
      <w:marLeft w:val="0"/>
      <w:marRight w:val="0"/>
      <w:marTop w:val="0"/>
      <w:marBottom w:val="0"/>
      <w:divBdr>
        <w:top w:val="none" w:sz="0" w:space="0" w:color="auto"/>
        <w:left w:val="none" w:sz="0" w:space="0" w:color="auto"/>
        <w:bottom w:val="none" w:sz="0" w:space="0" w:color="auto"/>
        <w:right w:val="none" w:sz="0" w:space="0" w:color="auto"/>
      </w:divBdr>
    </w:div>
    <w:div w:id="1663317619">
      <w:bodyDiv w:val="1"/>
      <w:marLeft w:val="0"/>
      <w:marRight w:val="0"/>
      <w:marTop w:val="0"/>
      <w:marBottom w:val="0"/>
      <w:divBdr>
        <w:top w:val="none" w:sz="0" w:space="0" w:color="auto"/>
        <w:left w:val="none" w:sz="0" w:space="0" w:color="auto"/>
        <w:bottom w:val="none" w:sz="0" w:space="0" w:color="auto"/>
        <w:right w:val="none" w:sz="0" w:space="0" w:color="auto"/>
      </w:divBdr>
    </w:div>
    <w:div w:id="1664506008">
      <w:bodyDiv w:val="1"/>
      <w:marLeft w:val="0"/>
      <w:marRight w:val="0"/>
      <w:marTop w:val="0"/>
      <w:marBottom w:val="0"/>
      <w:divBdr>
        <w:top w:val="none" w:sz="0" w:space="0" w:color="auto"/>
        <w:left w:val="none" w:sz="0" w:space="0" w:color="auto"/>
        <w:bottom w:val="none" w:sz="0" w:space="0" w:color="auto"/>
        <w:right w:val="none" w:sz="0" w:space="0" w:color="auto"/>
      </w:divBdr>
    </w:div>
    <w:div w:id="1672566817">
      <w:bodyDiv w:val="1"/>
      <w:marLeft w:val="0"/>
      <w:marRight w:val="0"/>
      <w:marTop w:val="0"/>
      <w:marBottom w:val="0"/>
      <w:divBdr>
        <w:top w:val="none" w:sz="0" w:space="0" w:color="auto"/>
        <w:left w:val="none" w:sz="0" w:space="0" w:color="auto"/>
        <w:bottom w:val="none" w:sz="0" w:space="0" w:color="auto"/>
        <w:right w:val="none" w:sz="0" w:space="0" w:color="auto"/>
      </w:divBdr>
    </w:div>
    <w:div w:id="1676684829">
      <w:bodyDiv w:val="1"/>
      <w:marLeft w:val="0"/>
      <w:marRight w:val="0"/>
      <w:marTop w:val="0"/>
      <w:marBottom w:val="0"/>
      <w:divBdr>
        <w:top w:val="none" w:sz="0" w:space="0" w:color="auto"/>
        <w:left w:val="none" w:sz="0" w:space="0" w:color="auto"/>
        <w:bottom w:val="none" w:sz="0" w:space="0" w:color="auto"/>
        <w:right w:val="none" w:sz="0" w:space="0" w:color="auto"/>
      </w:divBdr>
    </w:div>
    <w:div w:id="1678074681">
      <w:bodyDiv w:val="1"/>
      <w:marLeft w:val="0"/>
      <w:marRight w:val="0"/>
      <w:marTop w:val="0"/>
      <w:marBottom w:val="0"/>
      <w:divBdr>
        <w:top w:val="none" w:sz="0" w:space="0" w:color="auto"/>
        <w:left w:val="none" w:sz="0" w:space="0" w:color="auto"/>
        <w:bottom w:val="none" w:sz="0" w:space="0" w:color="auto"/>
        <w:right w:val="none" w:sz="0" w:space="0" w:color="auto"/>
      </w:divBdr>
    </w:div>
    <w:div w:id="1678267504">
      <w:bodyDiv w:val="1"/>
      <w:marLeft w:val="0"/>
      <w:marRight w:val="0"/>
      <w:marTop w:val="0"/>
      <w:marBottom w:val="0"/>
      <w:divBdr>
        <w:top w:val="none" w:sz="0" w:space="0" w:color="auto"/>
        <w:left w:val="none" w:sz="0" w:space="0" w:color="auto"/>
        <w:bottom w:val="none" w:sz="0" w:space="0" w:color="auto"/>
        <w:right w:val="none" w:sz="0" w:space="0" w:color="auto"/>
      </w:divBdr>
    </w:div>
    <w:div w:id="1683315730">
      <w:bodyDiv w:val="1"/>
      <w:marLeft w:val="0"/>
      <w:marRight w:val="0"/>
      <w:marTop w:val="0"/>
      <w:marBottom w:val="0"/>
      <w:divBdr>
        <w:top w:val="none" w:sz="0" w:space="0" w:color="auto"/>
        <w:left w:val="none" w:sz="0" w:space="0" w:color="auto"/>
        <w:bottom w:val="none" w:sz="0" w:space="0" w:color="auto"/>
        <w:right w:val="none" w:sz="0" w:space="0" w:color="auto"/>
      </w:divBdr>
    </w:div>
    <w:div w:id="1704162477">
      <w:bodyDiv w:val="1"/>
      <w:marLeft w:val="0"/>
      <w:marRight w:val="0"/>
      <w:marTop w:val="0"/>
      <w:marBottom w:val="0"/>
      <w:divBdr>
        <w:top w:val="none" w:sz="0" w:space="0" w:color="auto"/>
        <w:left w:val="none" w:sz="0" w:space="0" w:color="auto"/>
        <w:bottom w:val="none" w:sz="0" w:space="0" w:color="auto"/>
        <w:right w:val="none" w:sz="0" w:space="0" w:color="auto"/>
      </w:divBdr>
    </w:div>
    <w:div w:id="1734043272">
      <w:bodyDiv w:val="1"/>
      <w:marLeft w:val="0"/>
      <w:marRight w:val="0"/>
      <w:marTop w:val="0"/>
      <w:marBottom w:val="0"/>
      <w:divBdr>
        <w:top w:val="none" w:sz="0" w:space="0" w:color="auto"/>
        <w:left w:val="none" w:sz="0" w:space="0" w:color="auto"/>
        <w:bottom w:val="none" w:sz="0" w:space="0" w:color="auto"/>
        <w:right w:val="none" w:sz="0" w:space="0" w:color="auto"/>
      </w:divBdr>
    </w:div>
    <w:div w:id="1739981106">
      <w:bodyDiv w:val="1"/>
      <w:marLeft w:val="0"/>
      <w:marRight w:val="0"/>
      <w:marTop w:val="0"/>
      <w:marBottom w:val="0"/>
      <w:divBdr>
        <w:top w:val="none" w:sz="0" w:space="0" w:color="auto"/>
        <w:left w:val="none" w:sz="0" w:space="0" w:color="auto"/>
        <w:bottom w:val="none" w:sz="0" w:space="0" w:color="auto"/>
        <w:right w:val="none" w:sz="0" w:space="0" w:color="auto"/>
      </w:divBdr>
    </w:div>
    <w:div w:id="1740008486">
      <w:bodyDiv w:val="1"/>
      <w:marLeft w:val="0"/>
      <w:marRight w:val="0"/>
      <w:marTop w:val="0"/>
      <w:marBottom w:val="0"/>
      <w:divBdr>
        <w:top w:val="none" w:sz="0" w:space="0" w:color="auto"/>
        <w:left w:val="none" w:sz="0" w:space="0" w:color="auto"/>
        <w:bottom w:val="none" w:sz="0" w:space="0" w:color="auto"/>
        <w:right w:val="none" w:sz="0" w:space="0" w:color="auto"/>
      </w:divBdr>
    </w:div>
    <w:div w:id="1769693163">
      <w:bodyDiv w:val="1"/>
      <w:marLeft w:val="0"/>
      <w:marRight w:val="0"/>
      <w:marTop w:val="0"/>
      <w:marBottom w:val="0"/>
      <w:divBdr>
        <w:top w:val="none" w:sz="0" w:space="0" w:color="auto"/>
        <w:left w:val="none" w:sz="0" w:space="0" w:color="auto"/>
        <w:bottom w:val="none" w:sz="0" w:space="0" w:color="auto"/>
        <w:right w:val="none" w:sz="0" w:space="0" w:color="auto"/>
      </w:divBdr>
    </w:div>
    <w:div w:id="1791432966">
      <w:bodyDiv w:val="1"/>
      <w:marLeft w:val="0"/>
      <w:marRight w:val="0"/>
      <w:marTop w:val="0"/>
      <w:marBottom w:val="0"/>
      <w:divBdr>
        <w:top w:val="none" w:sz="0" w:space="0" w:color="auto"/>
        <w:left w:val="none" w:sz="0" w:space="0" w:color="auto"/>
        <w:bottom w:val="none" w:sz="0" w:space="0" w:color="auto"/>
        <w:right w:val="none" w:sz="0" w:space="0" w:color="auto"/>
      </w:divBdr>
    </w:div>
    <w:div w:id="1800411232">
      <w:bodyDiv w:val="1"/>
      <w:marLeft w:val="0"/>
      <w:marRight w:val="0"/>
      <w:marTop w:val="0"/>
      <w:marBottom w:val="0"/>
      <w:divBdr>
        <w:top w:val="none" w:sz="0" w:space="0" w:color="auto"/>
        <w:left w:val="none" w:sz="0" w:space="0" w:color="auto"/>
        <w:bottom w:val="none" w:sz="0" w:space="0" w:color="auto"/>
        <w:right w:val="none" w:sz="0" w:space="0" w:color="auto"/>
      </w:divBdr>
    </w:div>
    <w:div w:id="1800804904">
      <w:bodyDiv w:val="1"/>
      <w:marLeft w:val="0"/>
      <w:marRight w:val="0"/>
      <w:marTop w:val="0"/>
      <w:marBottom w:val="0"/>
      <w:divBdr>
        <w:top w:val="none" w:sz="0" w:space="0" w:color="auto"/>
        <w:left w:val="none" w:sz="0" w:space="0" w:color="auto"/>
        <w:bottom w:val="none" w:sz="0" w:space="0" w:color="auto"/>
        <w:right w:val="none" w:sz="0" w:space="0" w:color="auto"/>
      </w:divBdr>
    </w:div>
    <w:div w:id="1805073948">
      <w:bodyDiv w:val="1"/>
      <w:marLeft w:val="0"/>
      <w:marRight w:val="0"/>
      <w:marTop w:val="0"/>
      <w:marBottom w:val="0"/>
      <w:divBdr>
        <w:top w:val="none" w:sz="0" w:space="0" w:color="auto"/>
        <w:left w:val="none" w:sz="0" w:space="0" w:color="auto"/>
        <w:bottom w:val="none" w:sz="0" w:space="0" w:color="auto"/>
        <w:right w:val="none" w:sz="0" w:space="0" w:color="auto"/>
      </w:divBdr>
    </w:div>
    <w:div w:id="1808473690">
      <w:bodyDiv w:val="1"/>
      <w:marLeft w:val="0"/>
      <w:marRight w:val="0"/>
      <w:marTop w:val="0"/>
      <w:marBottom w:val="0"/>
      <w:divBdr>
        <w:top w:val="none" w:sz="0" w:space="0" w:color="auto"/>
        <w:left w:val="none" w:sz="0" w:space="0" w:color="auto"/>
        <w:bottom w:val="none" w:sz="0" w:space="0" w:color="auto"/>
        <w:right w:val="none" w:sz="0" w:space="0" w:color="auto"/>
      </w:divBdr>
    </w:div>
    <w:div w:id="1829125707">
      <w:bodyDiv w:val="1"/>
      <w:marLeft w:val="0"/>
      <w:marRight w:val="0"/>
      <w:marTop w:val="0"/>
      <w:marBottom w:val="0"/>
      <w:divBdr>
        <w:top w:val="none" w:sz="0" w:space="0" w:color="auto"/>
        <w:left w:val="none" w:sz="0" w:space="0" w:color="auto"/>
        <w:bottom w:val="none" w:sz="0" w:space="0" w:color="auto"/>
        <w:right w:val="none" w:sz="0" w:space="0" w:color="auto"/>
      </w:divBdr>
    </w:div>
    <w:div w:id="1856839727">
      <w:bodyDiv w:val="1"/>
      <w:marLeft w:val="0"/>
      <w:marRight w:val="0"/>
      <w:marTop w:val="0"/>
      <w:marBottom w:val="0"/>
      <w:divBdr>
        <w:top w:val="none" w:sz="0" w:space="0" w:color="auto"/>
        <w:left w:val="none" w:sz="0" w:space="0" w:color="auto"/>
        <w:bottom w:val="none" w:sz="0" w:space="0" w:color="auto"/>
        <w:right w:val="none" w:sz="0" w:space="0" w:color="auto"/>
      </w:divBdr>
    </w:div>
    <w:div w:id="1857309923">
      <w:bodyDiv w:val="1"/>
      <w:marLeft w:val="0"/>
      <w:marRight w:val="0"/>
      <w:marTop w:val="0"/>
      <w:marBottom w:val="0"/>
      <w:divBdr>
        <w:top w:val="none" w:sz="0" w:space="0" w:color="auto"/>
        <w:left w:val="none" w:sz="0" w:space="0" w:color="auto"/>
        <w:bottom w:val="none" w:sz="0" w:space="0" w:color="auto"/>
        <w:right w:val="none" w:sz="0" w:space="0" w:color="auto"/>
      </w:divBdr>
    </w:div>
    <w:div w:id="1895575998">
      <w:bodyDiv w:val="1"/>
      <w:marLeft w:val="0"/>
      <w:marRight w:val="0"/>
      <w:marTop w:val="0"/>
      <w:marBottom w:val="0"/>
      <w:divBdr>
        <w:top w:val="none" w:sz="0" w:space="0" w:color="auto"/>
        <w:left w:val="none" w:sz="0" w:space="0" w:color="auto"/>
        <w:bottom w:val="none" w:sz="0" w:space="0" w:color="auto"/>
        <w:right w:val="none" w:sz="0" w:space="0" w:color="auto"/>
      </w:divBdr>
    </w:div>
    <w:div w:id="1905988224">
      <w:bodyDiv w:val="1"/>
      <w:marLeft w:val="0"/>
      <w:marRight w:val="0"/>
      <w:marTop w:val="0"/>
      <w:marBottom w:val="0"/>
      <w:divBdr>
        <w:top w:val="none" w:sz="0" w:space="0" w:color="auto"/>
        <w:left w:val="none" w:sz="0" w:space="0" w:color="auto"/>
        <w:bottom w:val="none" w:sz="0" w:space="0" w:color="auto"/>
        <w:right w:val="none" w:sz="0" w:space="0" w:color="auto"/>
      </w:divBdr>
    </w:div>
    <w:div w:id="1906988327">
      <w:bodyDiv w:val="1"/>
      <w:marLeft w:val="0"/>
      <w:marRight w:val="0"/>
      <w:marTop w:val="0"/>
      <w:marBottom w:val="0"/>
      <w:divBdr>
        <w:top w:val="none" w:sz="0" w:space="0" w:color="auto"/>
        <w:left w:val="none" w:sz="0" w:space="0" w:color="auto"/>
        <w:bottom w:val="none" w:sz="0" w:space="0" w:color="auto"/>
        <w:right w:val="none" w:sz="0" w:space="0" w:color="auto"/>
      </w:divBdr>
    </w:div>
    <w:div w:id="1911694916">
      <w:bodyDiv w:val="1"/>
      <w:marLeft w:val="0"/>
      <w:marRight w:val="0"/>
      <w:marTop w:val="0"/>
      <w:marBottom w:val="0"/>
      <w:divBdr>
        <w:top w:val="none" w:sz="0" w:space="0" w:color="auto"/>
        <w:left w:val="none" w:sz="0" w:space="0" w:color="auto"/>
        <w:bottom w:val="none" w:sz="0" w:space="0" w:color="auto"/>
        <w:right w:val="none" w:sz="0" w:space="0" w:color="auto"/>
      </w:divBdr>
    </w:div>
    <w:div w:id="1912696868">
      <w:bodyDiv w:val="1"/>
      <w:marLeft w:val="0"/>
      <w:marRight w:val="0"/>
      <w:marTop w:val="0"/>
      <w:marBottom w:val="0"/>
      <w:divBdr>
        <w:top w:val="none" w:sz="0" w:space="0" w:color="auto"/>
        <w:left w:val="none" w:sz="0" w:space="0" w:color="auto"/>
        <w:bottom w:val="none" w:sz="0" w:space="0" w:color="auto"/>
        <w:right w:val="none" w:sz="0" w:space="0" w:color="auto"/>
      </w:divBdr>
    </w:div>
    <w:div w:id="1920097932">
      <w:bodyDiv w:val="1"/>
      <w:marLeft w:val="0"/>
      <w:marRight w:val="0"/>
      <w:marTop w:val="0"/>
      <w:marBottom w:val="0"/>
      <w:divBdr>
        <w:top w:val="none" w:sz="0" w:space="0" w:color="auto"/>
        <w:left w:val="none" w:sz="0" w:space="0" w:color="auto"/>
        <w:bottom w:val="none" w:sz="0" w:space="0" w:color="auto"/>
        <w:right w:val="none" w:sz="0" w:space="0" w:color="auto"/>
      </w:divBdr>
    </w:div>
    <w:div w:id="1921864943">
      <w:bodyDiv w:val="1"/>
      <w:marLeft w:val="0"/>
      <w:marRight w:val="0"/>
      <w:marTop w:val="0"/>
      <w:marBottom w:val="0"/>
      <w:divBdr>
        <w:top w:val="none" w:sz="0" w:space="0" w:color="auto"/>
        <w:left w:val="none" w:sz="0" w:space="0" w:color="auto"/>
        <w:bottom w:val="none" w:sz="0" w:space="0" w:color="auto"/>
        <w:right w:val="none" w:sz="0" w:space="0" w:color="auto"/>
      </w:divBdr>
    </w:div>
    <w:div w:id="1924991065">
      <w:bodyDiv w:val="1"/>
      <w:marLeft w:val="0"/>
      <w:marRight w:val="0"/>
      <w:marTop w:val="0"/>
      <w:marBottom w:val="0"/>
      <w:divBdr>
        <w:top w:val="none" w:sz="0" w:space="0" w:color="auto"/>
        <w:left w:val="none" w:sz="0" w:space="0" w:color="auto"/>
        <w:bottom w:val="none" w:sz="0" w:space="0" w:color="auto"/>
        <w:right w:val="none" w:sz="0" w:space="0" w:color="auto"/>
      </w:divBdr>
    </w:div>
    <w:div w:id="1935743488">
      <w:bodyDiv w:val="1"/>
      <w:marLeft w:val="0"/>
      <w:marRight w:val="0"/>
      <w:marTop w:val="0"/>
      <w:marBottom w:val="0"/>
      <w:divBdr>
        <w:top w:val="none" w:sz="0" w:space="0" w:color="auto"/>
        <w:left w:val="none" w:sz="0" w:space="0" w:color="auto"/>
        <w:bottom w:val="none" w:sz="0" w:space="0" w:color="auto"/>
        <w:right w:val="none" w:sz="0" w:space="0" w:color="auto"/>
      </w:divBdr>
    </w:div>
    <w:div w:id="1941520469">
      <w:bodyDiv w:val="1"/>
      <w:marLeft w:val="0"/>
      <w:marRight w:val="0"/>
      <w:marTop w:val="0"/>
      <w:marBottom w:val="0"/>
      <w:divBdr>
        <w:top w:val="none" w:sz="0" w:space="0" w:color="auto"/>
        <w:left w:val="none" w:sz="0" w:space="0" w:color="auto"/>
        <w:bottom w:val="none" w:sz="0" w:space="0" w:color="auto"/>
        <w:right w:val="none" w:sz="0" w:space="0" w:color="auto"/>
      </w:divBdr>
    </w:div>
    <w:div w:id="1943950679">
      <w:bodyDiv w:val="1"/>
      <w:marLeft w:val="0"/>
      <w:marRight w:val="0"/>
      <w:marTop w:val="0"/>
      <w:marBottom w:val="0"/>
      <w:divBdr>
        <w:top w:val="none" w:sz="0" w:space="0" w:color="auto"/>
        <w:left w:val="none" w:sz="0" w:space="0" w:color="auto"/>
        <w:bottom w:val="none" w:sz="0" w:space="0" w:color="auto"/>
        <w:right w:val="none" w:sz="0" w:space="0" w:color="auto"/>
      </w:divBdr>
    </w:div>
    <w:div w:id="1945720934">
      <w:bodyDiv w:val="1"/>
      <w:marLeft w:val="0"/>
      <w:marRight w:val="0"/>
      <w:marTop w:val="0"/>
      <w:marBottom w:val="0"/>
      <w:divBdr>
        <w:top w:val="none" w:sz="0" w:space="0" w:color="auto"/>
        <w:left w:val="none" w:sz="0" w:space="0" w:color="auto"/>
        <w:bottom w:val="none" w:sz="0" w:space="0" w:color="auto"/>
        <w:right w:val="none" w:sz="0" w:space="0" w:color="auto"/>
      </w:divBdr>
    </w:div>
    <w:div w:id="1954625723">
      <w:bodyDiv w:val="1"/>
      <w:marLeft w:val="0"/>
      <w:marRight w:val="0"/>
      <w:marTop w:val="0"/>
      <w:marBottom w:val="0"/>
      <w:divBdr>
        <w:top w:val="none" w:sz="0" w:space="0" w:color="auto"/>
        <w:left w:val="none" w:sz="0" w:space="0" w:color="auto"/>
        <w:bottom w:val="none" w:sz="0" w:space="0" w:color="auto"/>
        <w:right w:val="none" w:sz="0" w:space="0" w:color="auto"/>
      </w:divBdr>
    </w:div>
    <w:div w:id="1967471047">
      <w:bodyDiv w:val="1"/>
      <w:marLeft w:val="0"/>
      <w:marRight w:val="0"/>
      <w:marTop w:val="0"/>
      <w:marBottom w:val="0"/>
      <w:divBdr>
        <w:top w:val="none" w:sz="0" w:space="0" w:color="auto"/>
        <w:left w:val="none" w:sz="0" w:space="0" w:color="auto"/>
        <w:bottom w:val="none" w:sz="0" w:space="0" w:color="auto"/>
        <w:right w:val="none" w:sz="0" w:space="0" w:color="auto"/>
      </w:divBdr>
    </w:div>
    <w:div w:id="1975285883">
      <w:bodyDiv w:val="1"/>
      <w:marLeft w:val="0"/>
      <w:marRight w:val="0"/>
      <w:marTop w:val="0"/>
      <w:marBottom w:val="0"/>
      <w:divBdr>
        <w:top w:val="none" w:sz="0" w:space="0" w:color="auto"/>
        <w:left w:val="none" w:sz="0" w:space="0" w:color="auto"/>
        <w:bottom w:val="none" w:sz="0" w:space="0" w:color="auto"/>
        <w:right w:val="none" w:sz="0" w:space="0" w:color="auto"/>
      </w:divBdr>
    </w:div>
    <w:div w:id="1978798486">
      <w:bodyDiv w:val="1"/>
      <w:marLeft w:val="0"/>
      <w:marRight w:val="0"/>
      <w:marTop w:val="0"/>
      <w:marBottom w:val="0"/>
      <w:divBdr>
        <w:top w:val="none" w:sz="0" w:space="0" w:color="auto"/>
        <w:left w:val="none" w:sz="0" w:space="0" w:color="auto"/>
        <w:bottom w:val="none" w:sz="0" w:space="0" w:color="auto"/>
        <w:right w:val="none" w:sz="0" w:space="0" w:color="auto"/>
      </w:divBdr>
    </w:div>
    <w:div w:id="1989675205">
      <w:bodyDiv w:val="1"/>
      <w:marLeft w:val="0"/>
      <w:marRight w:val="0"/>
      <w:marTop w:val="0"/>
      <w:marBottom w:val="0"/>
      <w:divBdr>
        <w:top w:val="none" w:sz="0" w:space="0" w:color="auto"/>
        <w:left w:val="none" w:sz="0" w:space="0" w:color="auto"/>
        <w:bottom w:val="none" w:sz="0" w:space="0" w:color="auto"/>
        <w:right w:val="none" w:sz="0" w:space="0" w:color="auto"/>
      </w:divBdr>
    </w:div>
    <w:div w:id="1990549876">
      <w:bodyDiv w:val="1"/>
      <w:marLeft w:val="0"/>
      <w:marRight w:val="0"/>
      <w:marTop w:val="0"/>
      <w:marBottom w:val="0"/>
      <w:divBdr>
        <w:top w:val="none" w:sz="0" w:space="0" w:color="auto"/>
        <w:left w:val="none" w:sz="0" w:space="0" w:color="auto"/>
        <w:bottom w:val="none" w:sz="0" w:space="0" w:color="auto"/>
        <w:right w:val="none" w:sz="0" w:space="0" w:color="auto"/>
      </w:divBdr>
    </w:div>
    <w:div w:id="1999646252">
      <w:bodyDiv w:val="1"/>
      <w:marLeft w:val="0"/>
      <w:marRight w:val="0"/>
      <w:marTop w:val="0"/>
      <w:marBottom w:val="0"/>
      <w:divBdr>
        <w:top w:val="none" w:sz="0" w:space="0" w:color="auto"/>
        <w:left w:val="none" w:sz="0" w:space="0" w:color="auto"/>
        <w:bottom w:val="none" w:sz="0" w:space="0" w:color="auto"/>
        <w:right w:val="none" w:sz="0" w:space="0" w:color="auto"/>
      </w:divBdr>
    </w:div>
    <w:div w:id="2000428259">
      <w:bodyDiv w:val="1"/>
      <w:marLeft w:val="0"/>
      <w:marRight w:val="0"/>
      <w:marTop w:val="0"/>
      <w:marBottom w:val="0"/>
      <w:divBdr>
        <w:top w:val="none" w:sz="0" w:space="0" w:color="auto"/>
        <w:left w:val="none" w:sz="0" w:space="0" w:color="auto"/>
        <w:bottom w:val="none" w:sz="0" w:space="0" w:color="auto"/>
        <w:right w:val="none" w:sz="0" w:space="0" w:color="auto"/>
      </w:divBdr>
    </w:div>
    <w:div w:id="2008248840">
      <w:bodyDiv w:val="1"/>
      <w:marLeft w:val="0"/>
      <w:marRight w:val="0"/>
      <w:marTop w:val="0"/>
      <w:marBottom w:val="0"/>
      <w:divBdr>
        <w:top w:val="none" w:sz="0" w:space="0" w:color="auto"/>
        <w:left w:val="none" w:sz="0" w:space="0" w:color="auto"/>
        <w:bottom w:val="none" w:sz="0" w:space="0" w:color="auto"/>
        <w:right w:val="none" w:sz="0" w:space="0" w:color="auto"/>
      </w:divBdr>
    </w:div>
    <w:div w:id="2023434981">
      <w:bodyDiv w:val="1"/>
      <w:marLeft w:val="0"/>
      <w:marRight w:val="0"/>
      <w:marTop w:val="0"/>
      <w:marBottom w:val="0"/>
      <w:divBdr>
        <w:top w:val="none" w:sz="0" w:space="0" w:color="auto"/>
        <w:left w:val="none" w:sz="0" w:space="0" w:color="auto"/>
        <w:bottom w:val="none" w:sz="0" w:space="0" w:color="auto"/>
        <w:right w:val="none" w:sz="0" w:space="0" w:color="auto"/>
      </w:divBdr>
    </w:div>
    <w:div w:id="2027436862">
      <w:bodyDiv w:val="1"/>
      <w:marLeft w:val="0"/>
      <w:marRight w:val="0"/>
      <w:marTop w:val="0"/>
      <w:marBottom w:val="0"/>
      <w:divBdr>
        <w:top w:val="none" w:sz="0" w:space="0" w:color="auto"/>
        <w:left w:val="none" w:sz="0" w:space="0" w:color="auto"/>
        <w:bottom w:val="none" w:sz="0" w:space="0" w:color="auto"/>
        <w:right w:val="none" w:sz="0" w:space="0" w:color="auto"/>
      </w:divBdr>
    </w:div>
    <w:div w:id="2030793681">
      <w:bodyDiv w:val="1"/>
      <w:marLeft w:val="0"/>
      <w:marRight w:val="0"/>
      <w:marTop w:val="0"/>
      <w:marBottom w:val="0"/>
      <w:divBdr>
        <w:top w:val="none" w:sz="0" w:space="0" w:color="auto"/>
        <w:left w:val="none" w:sz="0" w:space="0" w:color="auto"/>
        <w:bottom w:val="none" w:sz="0" w:space="0" w:color="auto"/>
        <w:right w:val="none" w:sz="0" w:space="0" w:color="auto"/>
      </w:divBdr>
    </w:div>
    <w:div w:id="2035492210">
      <w:bodyDiv w:val="1"/>
      <w:marLeft w:val="0"/>
      <w:marRight w:val="0"/>
      <w:marTop w:val="0"/>
      <w:marBottom w:val="0"/>
      <w:divBdr>
        <w:top w:val="none" w:sz="0" w:space="0" w:color="auto"/>
        <w:left w:val="none" w:sz="0" w:space="0" w:color="auto"/>
        <w:bottom w:val="none" w:sz="0" w:space="0" w:color="auto"/>
        <w:right w:val="none" w:sz="0" w:space="0" w:color="auto"/>
      </w:divBdr>
    </w:div>
    <w:div w:id="2043552315">
      <w:bodyDiv w:val="1"/>
      <w:marLeft w:val="0"/>
      <w:marRight w:val="0"/>
      <w:marTop w:val="0"/>
      <w:marBottom w:val="0"/>
      <w:divBdr>
        <w:top w:val="none" w:sz="0" w:space="0" w:color="auto"/>
        <w:left w:val="none" w:sz="0" w:space="0" w:color="auto"/>
        <w:bottom w:val="none" w:sz="0" w:space="0" w:color="auto"/>
        <w:right w:val="none" w:sz="0" w:space="0" w:color="auto"/>
      </w:divBdr>
    </w:div>
    <w:div w:id="2057968755">
      <w:bodyDiv w:val="1"/>
      <w:marLeft w:val="0"/>
      <w:marRight w:val="0"/>
      <w:marTop w:val="0"/>
      <w:marBottom w:val="0"/>
      <w:divBdr>
        <w:top w:val="none" w:sz="0" w:space="0" w:color="auto"/>
        <w:left w:val="none" w:sz="0" w:space="0" w:color="auto"/>
        <w:bottom w:val="none" w:sz="0" w:space="0" w:color="auto"/>
        <w:right w:val="none" w:sz="0" w:space="0" w:color="auto"/>
      </w:divBdr>
    </w:div>
    <w:div w:id="2062708677">
      <w:bodyDiv w:val="1"/>
      <w:marLeft w:val="0"/>
      <w:marRight w:val="0"/>
      <w:marTop w:val="0"/>
      <w:marBottom w:val="0"/>
      <w:divBdr>
        <w:top w:val="none" w:sz="0" w:space="0" w:color="auto"/>
        <w:left w:val="none" w:sz="0" w:space="0" w:color="auto"/>
        <w:bottom w:val="none" w:sz="0" w:space="0" w:color="auto"/>
        <w:right w:val="none" w:sz="0" w:space="0" w:color="auto"/>
      </w:divBdr>
    </w:div>
    <w:div w:id="2069186351">
      <w:bodyDiv w:val="1"/>
      <w:marLeft w:val="0"/>
      <w:marRight w:val="0"/>
      <w:marTop w:val="0"/>
      <w:marBottom w:val="0"/>
      <w:divBdr>
        <w:top w:val="none" w:sz="0" w:space="0" w:color="auto"/>
        <w:left w:val="none" w:sz="0" w:space="0" w:color="auto"/>
        <w:bottom w:val="none" w:sz="0" w:space="0" w:color="auto"/>
        <w:right w:val="none" w:sz="0" w:space="0" w:color="auto"/>
      </w:divBdr>
    </w:div>
    <w:div w:id="2071343068">
      <w:bodyDiv w:val="1"/>
      <w:marLeft w:val="0"/>
      <w:marRight w:val="0"/>
      <w:marTop w:val="0"/>
      <w:marBottom w:val="0"/>
      <w:divBdr>
        <w:top w:val="none" w:sz="0" w:space="0" w:color="auto"/>
        <w:left w:val="none" w:sz="0" w:space="0" w:color="auto"/>
        <w:bottom w:val="none" w:sz="0" w:space="0" w:color="auto"/>
        <w:right w:val="none" w:sz="0" w:space="0" w:color="auto"/>
      </w:divBdr>
    </w:div>
    <w:div w:id="2081369660">
      <w:bodyDiv w:val="1"/>
      <w:marLeft w:val="0"/>
      <w:marRight w:val="0"/>
      <w:marTop w:val="0"/>
      <w:marBottom w:val="0"/>
      <w:divBdr>
        <w:top w:val="none" w:sz="0" w:space="0" w:color="auto"/>
        <w:left w:val="none" w:sz="0" w:space="0" w:color="auto"/>
        <w:bottom w:val="none" w:sz="0" w:space="0" w:color="auto"/>
        <w:right w:val="none" w:sz="0" w:space="0" w:color="auto"/>
      </w:divBdr>
    </w:div>
    <w:div w:id="2086490930">
      <w:bodyDiv w:val="1"/>
      <w:marLeft w:val="0"/>
      <w:marRight w:val="0"/>
      <w:marTop w:val="0"/>
      <w:marBottom w:val="0"/>
      <w:divBdr>
        <w:top w:val="none" w:sz="0" w:space="0" w:color="auto"/>
        <w:left w:val="none" w:sz="0" w:space="0" w:color="auto"/>
        <w:bottom w:val="none" w:sz="0" w:space="0" w:color="auto"/>
        <w:right w:val="none" w:sz="0" w:space="0" w:color="auto"/>
      </w:divBdr>
    </w:div>
    <w:div w:id="2087413117">
      <w:bodyDiv w:val="1"/>
      <w:marLeft w:val="0"/>
      <w:marRight w:val="0"/>
      <w:marTop w:val="0"/>
      <w:marBottom w:val="0"/>
      <w:divBdr>
        <w:top w:val="none" w:sz="0" w:space="0" w:color="auto"/>
        <w:left w:val="none" w:sz="0" w:space="0" w:color="auto"/>
        <w:bottom w:val="none" w:sz="0" w:space="0" w:color="auto"/>
        <w:right w:val="none" w:sz="0" w:space="0" w:color="auto"/>
      </w:divBdr>
    </w:div>
    <w:div w:id="2089500854">
      <w:bodyDiv w:val="1"/>
      <w:marLeft w:val="0"/>
      <w:marRight w:val="0"/>
      <w:marTop w:val="0"/>
      <w:marBottom w:val="0"/>
      <w:divBdr>
        <w:top w:val="none" w:sz="0" w:space="0" w:color="auto"/>
        <w:left w:val="none" w:sz="0" w:space="0" w:color="auto"/>
        <w:bottom w:val="none" w:sz="0" w:space="0" w:color="auto"/>
        <w:right w:val="none" w:sz="0" w:space="0" w:color="auto"/>
      </w:divBdr>
    </w:div>
    <w:div w:id="2092385573">
      <w:bodyDiv w:val="1"/>
      <w:marLeft w:val="0"/>
      <w:marRight w:val="0"/>
      <w:marTop w:val="0"/>
      <w:marBottom w:val="0"/>
      <w:divBdr>
        <w:top w:val="none" w:sz="0" w:space="0" w:color="auto"/>
        <w:left w:val="none" w:sz="0" w:space="0" w:color="auto"/>
        <w:bottom w:val="none" w:sz="0" w:space="0" w:color="auto"/>
        <w:right w:val="none" w:sz="0" w:space="0" w:color="auto"/>
      </w:divBdr>
    </w:div>
    <w:div w:id="2092653995">
      <w:bodyDiv w:val="1"/>
      <w:marLeft w:val="0"/>
      <w:marRight w:val="0"/>
      <w:marTop w:val="0"/>
      <w:marBottom w:val="0"/>
      <w:divBdr>
        <w:top w:val="none" w:sz="0" w:space="0" w:color="auto"/>
        <w:left w:val="none" w:sz="0" w:space="0" w:color="auto"/>
        <w:bottom w:val="none" w:sz="0" w:space="0" w:color="auto"/>
        <w:right w:val="none" w:sz="0" w:space="0" w:color="auto"/>
      </w:divBdr>
    </w:div>
    <w:div w:id="2102528398">
      <w:bodyDiv w:val="1"/>
      <w:marLeft w:val="0"/>
      <w:marRight w:val="0"/>
      <w:marTop w:val="0"/>
      <w:marBottom w:val="0"/>
      <w:divBdr>
        <w:top w:val="none" w:sz="0" w:space="0" w:color="auto"/>
        <w:left w:val="none" w:sz="0" w:space="0" w:color="auto"/>
        <w:bottom w:val="none" w:sz="0" w:space="0" w:color="auto"/>
        <w:right w:val="none" w:sz="0" w:space="0" w:color="auto"/>
      </w:divBdr>
    </w:div>
    <w:div w:id="2112507147">
      <w:bodyDiv w:val="1"/>
      <w:marLeft w:val="0"/>
      <w:marRight w:val="0"/>
      <w:marTop w:val="0"/>
      <w:marBottom w:val="0"/>
      <w:divBdr>
        <w:top w:val="none" w:sz="0" w:space="0" w:color="auto"/>
        <w:left w:val="none" w:sz="0" w:space="0" w:color="auto"/>
        <w:bottom w:val="none" w:sz="0" w:space="0" w:color="auto"/>
        <w:right w:val="none" w:sz="0" w:space="0" w:color="auto"/>
      </w:divBdr>
    </w:div>
    <w:div w:id="2122415625">
      <w:bodyDiv w:val="1"/>
      <w:marLeft w:val="0"/>
      <w:marRight w:val="0"/>
      <w:marTop w:val="0"/>
      <w:marBottom w:val="0"/>
      <w:divBdr>
        <w:top w:val="none" w:sz="0" w:space="0" w:color="auto"/>
        <w:left w:val="none" w:sz="0" w:space="0" w:color="auto"/>
        <w:bottom w:val="none" w:sz="0" w:space="0" w:color="auto"/>
        <w:right w:val="none" w:sz="0" w:space="0" w:color="auto"/>
      </w:divBdr>
    </w:div>
    <w:div w:id="2124883565">
      <w:bodyDiv w:val="1"/>
      <w:marLeft w:val="0"/>
      <w:marRight w:val="0"/>
      <w:marTop w:val="0"/>
      <w:marBottom w:val="0"/>
      <w:divBdr>
        <w:top w:val="none" w:sz="0" w:space="0" w:color="auto"/>
        <w:left w:val="none" w:sz="0" w:space="0" w:color="auto"/>
        <w:bottom w:val="none" w:sz="0" w:space="0" w:color="auto"/>
        <w:right w:val="none" w:sz="0" w:space="0" w:color="auto"/>
      </w:divBdr>
    </w:div>
    <w:div w:id="2138914296">
      <w:bodyDiv w:val="1"/>
      <w:marLeft w:val="0"/>
      <w:marRight w:val="0"/>
      <w:marTop w:val="0"/>
      <w:marBottom w:val="0"/>
      <w:divBdr>
        <w:top w:val="none" w:sz="0" w:space="0" w:color="auto"/>
        <w:left w:val="none" w:sz="0" w:space="0" w:color="auto"/>
        <w:bottom w:val="none" w:sz="0" w:space="0" w:color="auto"/>
        <w:right w:val="none" w:sz="0" w:space="0" w:color="auto"/>
      </w:divBdr>
    </w:div>
    <w:div w:id="214515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creti.regione.fvg.it/Storage/2024_167/ALLEGATO5%20AL%20DPREG%200167-2024.PDF?utm_source=chatgpt.com" TargetMode="External"/><Relationship Id="rId18" Type="http://schemas.microsoft.com/office/2011/relationships/commentsExtended" Target="commentsExtended.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www.regione.fvg.it/rafvg/comunicati/comunicato.act?dir=&amp;nm=20250620135559005&amp;utm_source=chatgpt.com" TargetMode="External"/><Relationship Id="rId17" Type="http://schemas.openxmlformats.org/officeDocument/2006/relationships/comments" Target="comments.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europa.regione.fvg.it/it/programmi-36605/pnrr-fvg-36725/dati-di-attuazione-sui-progetti-regionali-94295/missione-3-96314?utm_source=chatgpt.com" TargetMode="External"/><Relationship Id="rId20" Type="http://schemas.microsoft.com/office/2018/08/relationships/commentsExtensible" Target="commentsExtensible.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xview-int.regione.fvg.it/fontinormative/xml/XmlLex.aspx?anno=2021&amp;legge=23&amp;utm_source=chatgpt.com"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dspmao.it/it/pianificazione-e-opere/attuazione-pnrr-1/cold-ironing-porto-monfalcone?utm_source=chatgpt.com"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hyperlink" Target="https://www.regione.fvg.it/rafvg/cms/RAFVG/infrastrutture-lavori-pubblici/infrastrutture-logistica-trasporti/FOGLIA47/?utm_source=chatgpt.com" TargetMode="External"/><Relationship Id="rId19" Type="http://schemas.microsoft.com/office/2016/09/relationships/commentsIds" Target="commentsIds.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gione.fvg.it/rafvg/comunicati/comunicato.act?dir=%2Frafvg%2Fcms%2FRAFVG%2Fmappa%2F&amp;nm=20230324174148005&amp;utm_source=chatgpt.com"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emf"/><Relationship Id="rId1" Type="http://schemas.openxmlformats.org/officeDocument/2006/relationships/image" Target="media/image10.jpeg"/><Relationship Id="rId5" Type="http://schemas.openxmlformats.org/officeDocument/2006/relationships/image" Target="media/image14.emf"/><Relationship Id="rId4" Type="http://schemas.openxmlformats.org/officeDocument/2006/relationships/image" Target="media/image13.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MAS24</b:Tag>
    <b:SourceType>Misc</b:SourceType>
    <b:Guid>{DEF5845D-503E-4A85-B4B5-1E031A625638}</b:Guid>
    <b:Author>
      <b:Author>
        <b:Corporate>MASE - Ministero dell'Ambiente e della Sicurezza Energetica</b:Corporate>
      </b:Author>
    </b:Author>
    <b:Title>Strategia Nazionale Idrogeno - Novembre 2024</b:Title>
    <b:Year>2024</b:Year>
    <b:URL>https://www.mase.gov.it/portale/documents/d/guest/strategia-nazionale-idrogeno-pdf</b:URL>
    <b:RefOrder>17</b:RefOrder>
  </b:Source>
  <b:Source>
    <b:Tag>Par231</b:Tag>
    <b:SourceType>Misc</b:SourceType>
    <b:Guid>{4258D85E-D15B-45AA-95AA-8A64B4A59C2A}</b:Guid>
    <b:Author>
      <b:Author>
        <b:Corporate>Parlamento Europeo e Consiglio dell'Unione Europea</b:Corporate>
      </b:Author>
    </b:Author>
    <b:Title>REGOLAMENTO (UE) 2023/1804 DEL PARLAMENTO EUROPEO E DEL CONSIGLIO</b:Title>
    <b:Year>2023</b:Year>
    <b:URL>https://eur-lex.europa.eu/legal-content/IT/TXT/PDF/?uri=CELEX:32023R1804</b:URL>
    <b:RefOrder>16</b:RefOrder>
  </b:Source>
  <b:Source>
    <b:Tag>ARE24</b:Tag>
    <b:SourceType>Misc</b:SourceType>
    <b:Guid>{65618490-1686-414F-8C40-5E475BF73FF3}</b:Guid>
    <b:Author>
      <b:Author>
        <b:Corporate>ARERA - Autorità di Regolazione per Energia Reti e Ambiente</b:Corporate>
      </b:Author>
    </b:Author>
    <b:Title>DETERMINAZIONE N.2/ENERGIA/2024</b:Title>
    <b:Year>2024</b:Year>
    <b:URL>https://www.arera.it/fileadmin/allegati/docs/24/002-24ene.pdf?utm_source=chatgpt.com</b:URL>
    <b:RefOrder>18</b:RefOrder>
  </b:Source>
  <b:Source>
    <b:Tag>Sou06</b:Tag>
    <b:SourceType>InternetSite</b:SourceType>
    <b:Guid>{2FCD3843-B466-4754-B9E3-09A889C6BA9D}</b:Guid>
    <b:Author>
      <b:Author>
        <b:Corporate>SouthH2Corridor</b:Corporate>
      </b:Author>
    </b:Author>
    <b:Title>The SoutH2 Corridor initiative</b:Title>
    <b:Year>2006</b:Year>
    <b:URL>https://www.south2corridor.net/</b:URL>
    <b:RefOrder>19</b:RefOrder>
  </b:Source>
  <b:Source>
    <b:Tag>htt</b:Tag>
    <b:SourceType>Misc</b:SourceType>
    <b:Guid>{48982DC4-21F8-4CBD-9C23-6809E886B39A}</b:Guid>
    <b:Author>
      <b:Author>
        <b:Corporate>https://www.gazzettaufficiale.it/eli/id/2026/08/07/26A03843/SG?utm_source=chatgpt.com</b:Corporate>
      </b:Author>
    </b:Author>
    <b:Title>Meccanismo di sostegno alla produzione di idrogeno di origine rinnovabile. (26A03843) (GU Serie Generale n.182 del 07-08-2026)</b:Title>
    <b:ProductionCompany>Ministro dell'Ambiente e della sicurezza enertica</b:ProductionCompany>
    <b:RefOrder>20</b:RefOrder>
  </b:Source>
  <b:Source>
    <b:Tag>MIT22</b:Tag>
    <b:SourceType>Misc</b:SourceType>
    <b:Guid>{F850277F-8BF5-4D95-AB2F-C34DF2FC1004}</b:Guid>
    <b:Author>
      <b:Author>
        <b:Corporate>MIT - Ministero delle infrastrutture e dei trasporti</b:Corporate>
      </b:Author>
    </b:Author>
    <b:Title>Decreto Ministeriale 199/2022</b:Title>
    <b:Year>2022</b:Year>
    <b:URL>https://www.mit.gov.it/nfsmitgov/files/media/notizia/2022-07/DECRETO%20.0000199.30-06-2022.pdf</b:URL>
    <b:RefOrder>22</b:RefOrder>
  </b:Source>
  <b:Source>
    <b:Tag>MIT23</b:Tag>
    <b:SourceType>InternetSite</b:SourceType>
    <b:Guid>{2DB66624-D7C3-43EC-BD75-8831AE5D9ED4}</b:Guid>
    <b:Title>Stazioni rifornimento idrogeno: pubblicata la graduatoria</b:Title>
    <b:Year>2023</b:Year>
    <b:Author>
      <b:Author>
        <b:Corporate>MIT - Ministero delle infrastrutture e dei trasporti</b:Corporate>
      </b:Author>
    </b:Author>
    <b:URL>https://mit.gov.it/comunicazione/news/stazioni-rifornimento-idrogeno-pubblicata-la-graduatoria?utm_source=chatgpt.com</b:URL>
    <b:RefOrder>23</b:RefOrder>
  </b:Source>
  <b:Source>
    <b:Tag>MAS22</b:Tag>
    <b:SourceType>InternetSite</b:SourceType>
    <b:Guid>{D480FF4A-628D-4887-92FD-124A747306C4}</b:Guid>
    <b:Author>
      <b:Author>
        <b:Corporate>MASE - Ministero dell'Ambiente e della Sicurezza Energetica </b:Corporate>
      </b:Author>
    </b:Author>
    <b:Title>MISSIONE 2 (M2) Rivoluzione verde e transizione ecologica</b:Title>
    <b:Year>2022</b:Year>
    <b:URL>https://www.mase.gov.it/portale/missione-2-m2-rivoluzione-verde-e-transizione-ecologica</b:URL>
    <b:RefOrder>21</b:RefOrder>
  </b:Source>
  <b:Source>
    <b:Tag>NAH</b:Tag>
    <b:SourceType>InternetSite</b:SourceType>
    <b:Guid>{C85B646C-6CDD-417E-98AE-7EDFF6F658AD}</b:Guid>
    <b:Author>
      <b:Author>
        <b:Corporate>NAHV - North Adriatic Hydrogen Valley</b:Corporate>
      </b:Author>
    </b:Author>
    <b:Title>NAHV: the creation of a hydrogen-based economic, social and industrial ecosystem</b:Title>
    <b:URL>https://www.nahv.eu/about-nahv/</b:URL>
    <b:RefOrder>24</b:RefOrder>
  </b:Source>
  <b:Source>
    <b:Tag>NAH25</b:Tag>
    <b:SourceType>Report</b:SourceType>
    <b:Guid>{F2D292C7-4164-42B7-9B30-4B091A5858C6}</b:Guid>
    <b:Title>Testbed Catalogue - May 2025</b:Title>
    <b:Year>2025</b:Year>
    <b:URL>https://www.nahv.eu/wp-content/uploads/2025/05/NAHV-testbeds-catalogue-may-2025.pdf</b:URL>
    <b:Author>
      <b:Author>
        <b:Corporate>NAHV - North Adriatic Hydrogen Valley</b:Corporate>
      </b:Author>
    </b:Author>
    <b:RefOrder>25</b:RefOrder>
  </b:Source>
  <b:Source>
    <b:Tag>MAR</b:Tag>
    <b:SourceType>InternetSite</b:SourceType>
    <b:Guid>{6D065C61-937F-4ADC-9AE0-F04B0460C3C4}</b:Guid>
    <b:Title>TransH2 Transition to hydrogen fuelled cross-border sea-mobility</b:Title>
    <b:Author>
      <b:Author>
        <b:Corporate>MARE Technology Cluster FVG</b:Corporate>
      </b:Author>
    </b:Author>
    <b:URL>https://www.marefvg.it/en/progetto/transh2/</b:URL>
    <b:RefOrder>26</b:RefOrder>
  </b:Source>
  <b:Source>
    <b:Tag>Aut24</b:Tag>
    <b:SourceType>InternetSite</b:SourceType>
    <b:Guid>{35F34B4D-3720-42C6-B241-4B57C867FDCC}</b:Guid>
    <b:Author>
      <b:Author>
        <b:Corporate>Autorità di Sistema Portuale del Mare Adriatico Orientale Porti di Trieste e Monfalcone</b:Corporate>
      </b:Author>
    </b:Author>
    <b:Title>Imbarcazione idrogeno</b:Title>
    <b:Year>2024</b:Year>
    <b:URL>https://www.adspmao.it/it/pianificazione-e-opere/attuazione-pnrr-1/imbarcazione-idrogeno</b:URL>
    <b:RefOrder>27</b:RefOrder>
  </b:Source>
  <b:Source>
    <b:Tag>MAS221</b:Tag>
    <b:SourceType>InternetSite</b:SourceType>
    <b:Guid>{3B7C08A5-C4DC-4423-9087-EDFB65A837F5}</b:Guid>
    <b:Author>
      <b:Author>
        <b:Corporate>MASE - Ministero dell'Ambiente e della Sicurezza Energetica</b:Corporate>
      </b:Author>
    </b:Author>
    <b:Title>Piano Strategico Nazionale Mobilità Sostenibile – PSNMS</b:Title>
    <b:Year>2022</b:Year>
    <b:URL>https://www.mase.gov.it/portale/piano-strategico-nazionale-mobilit%C3%A0-sostenibile-psnms</b:URL>
    <b:RefOrder>11</b:RefOrder>
  </b:Source>
  <b:Source>
    <b:Tag>Min25</b:Tag>
    <b:SourceType>Report</b:SourceType>
    <b:Guid>{F7288D29-70B2-4CE1-88A4-86FE73F3D68A}</b:Guid>
    <b:Title>Documento di Finanza Pubblica - Allegato Strategie per le infrastrutture, la mobilità e la logistica</b:Title>
    <b:Year>2025</b:Year>
    <b:URL>https://www.mit.gov.it/nfsmitgov/files/media/notizia/2025-04/Allegato%20Infrastrutture%20al%20DFP%202025.pdf</b:URL>
    <b:Author>
      <b:Author>
        <b:Corporate>Ministero dell'Economia e delle Finanze</b:Corporate>
      </b:Author>
    </b:Author>
    <b:RefOrder>12</b:RefOrder>
  </b:Source>
  <b:Source>
    <b:Tag>Reg241</b:Tag>
    <b:SourceType>InternetSite</b:SourceType>
    <b:Guid>{B6E3BA80-B1F7-40CE-AFAA-1924B2E9748A}</b:Guid>
    <b:Author>
      <b:Author>
        <b:Corporate>Regione Autonoma Friuli Venezia Giulia</b:Corporate>
      </b:Author>
    </b:Author>
    <b:Title>Infrastrutture, logistica e servizi per i trasporti - Piano Regionale del Trasporto Pubblico Locale (PRTPL)</b:Title>
    <b:Year>2024</b:Year>
    <b:URL>https://www.regione.fvg.it/rafvg/cms/RAFVG/infrastrutture-lavori-pubblici/infrastrutture-logistica-trasporti/FOGLIA107/</b:URL>
    <b:RefOrder>14</b:RefOrder>
  </b:Source>
  <b:Source>
    <b:Tag>Reg24</b:Tag>
    <b:SourceType>InternetSite</b:SourceType>
    <b:Guid>{062573CB-A8EA-43AE-A1C0-1CCF4478B9AB}</b:Guid>
    <b:Title>Infrastrutture, logistica e servizi per i trasporti - Piano regionale delle infrastrutture di trasporto, della mobilità delle merci e della logistica</b:Title>
    <b:Year>2024</b:Year>
    <b:Author>
      <b:Author>
        <b:Corporate>Regione Autonoma Friuli Venezia Giulia</b:Corporate>
      </b:Author>
    </b:Author>
    <b:URL>https://www.regione.fvg.it/rafvg/cms/RAFVG/infrastrutture-lavori-pubblici/infrastrutture-logistica-trasporti/FOGLIA18/articolo.html</b:URL>
    <b:RefOrder>13</b:RefOrder>
  </b:Source>
  <b:Source>
    <b:Tag>Reg23</b:Tag>
    <b:SourceType>InternetSite</b:SourceType>
    <b:Guid>{74BD8C6B-A1D2-4E8D-A345-266D75164F82}</b:Guid>
    <b:Author>
      <b:Author>
        <b:Corporate>Regione Autonoma Friuli Venezia Giulia</b:Corporate>
      </b:Author>
    </b:Author>
    <b:Title>Energia - Piano Regionale per la Mobilità Elettrica (PREME_FVG)</b:Title>
    <b:Year>2023</b:Year>
    <b:URL>https://www.regione.fvg.it/rafvg/cms/RAFVG/ambiente-territorio/energia/FOGLIA123/</b:URL>
    <b:RefOrder>15</b:RefOrder>
  </b:Source>
  <b:Source>
    <b:Tag>MAS241</b:Tag>
    <b:SourceType>Report</b:SourceType>
    <b:Guid>{72514D45-5FF5-414E-981B-C467317EF643}</b:Guid>
    <b:Author>
      <b:Author>
        <b:Corporate>MASE - Ministero dell'Ambiente e della Sicurezza Energetica</b:Corporate>
      </b:Author>
    </b:Author>
    <b:Title>PIANO NAZIONALE INTEGRATO PER L'ENERGIA E IL CLIMA</b:Title>
    <b:Year>2024</b:Year>
    <b:URL>https://www.mase.gov.it/portale/documents/d/guest/pniec_2024_revfin_01072024-pdf</b:URL>
    <b:RefOrder>9</b:RefOrder>
  </b:Source>
  <b:Source>
    <b:Tag>Reg25</b:Tag>
    <b:SourceType>InternetSite</b:SourceType>
    <b:Guid>{FD400022-E0F4-4C50-9E49-FC8D70FD616C}</b:Guid>
    <b:Author>
      <b:Author>
        <b:Corporate>Regione Autonoma Friuli Venezia Giulia</b:Corporate>
      </b:Author>
    </b:Author>
    <b:Title>Energia - Piano Energetico Regionale - PER</b:Title>
    <b:Year>2025</b:Year>
    <b:URL>https://www.regione.fvg.it/rafvg/cms/RAFVG/ambiente-territorio/energia/FOGLIA2/</b:URL>
    <b:RefOrder>10</b:RefOrder>
  </b:Source>
  <b:Source>
    <b:Tag>Reg26</b:Tag>
    <b:SourceType>InternetSite</b:SourceType>
    <b:Guid>{B8E049B1-0BD3-4A89-B7D2-989E107D0946}</b:Guid>
    <b:Author>
      <b:Author>
        <b:Corporate>Regione Autonoma Friuli Venezia Giulia</b:Corporate>
      </b:Author>
    </b:Author>
    <b:Title>Pianificazione e gestione del territorio - Il Piano del Governo del Territorio (PGT)</b:Title>
    <b:Year>2026</b:Year>
    <b:URL>https://www.regione.fvg.it/rafvg/cms/RAFVG/ambiente-territorio/pianificazione-gestione-territorio/FOGLIA5/</b:URL>
    <b:RefOrder>28</b:RefOrder>
  </b:Source>
  <b:Source>
    <b:Tag>Reg261</b:Tag>
    <b:SourceType>InternetSite</b:SourceType>
    <b:Guid>{456324DE-B2F9-4BC0-B774-BE6200E3B694}</b:Guid>
    <b:Author>
      <b:Author>
        <b:Corporate>Regione Autonoma Friuli Venezia Giulia</b:Corporate>
      </b:Author>
    </b:Author>
    <b:Title>Pianificazione e gestione del territorio - Il PPR è lo strumento di pianificazione per la salvaguardia e la gestione del territorio nella sua globalità</b:Title>
    <b:Year>2026</b:Year>
    <b:URL>https://www.regione.fvg.it/rafvg/cms/RAFVG/ambiente-territorio/pianificazione-gestione-territorio/FOGLIA21</b:URL>
    <b:RefOrder>29</b:RefOrder>
  </b:Source>
  <b:Source>
    <b:Tag>Eag</b:Tag>
    <b:SourceType>InternetSite</b:SourceType>
    <b:Guid>{B3B3E85E-FFDA-4896-A36E-7B9BF1D52CAB}</b:Guid>
    <b:Author>
      <b:Author>
        <b:Corporate>Eagle.fvg Regione Autonoma Friuli Venezia Giulia</b:Corporate>
      </b:Author>
    </b:Author>
    <b:Title>Piani Regolatori Generali</b:Title>
    <b:URL>https://eaglefvg.regione.fvg.it/prg/pianiregolatori.aspx</b:URL>
    <b:RefOrder>30</b:RefOrder>
  </b:Source>
  <b:Source>
    <b:Tag>Par232</b:Tag>
    <b:SourceType>Misc</b:SourceType>
    <b:Guid>{17F41374-5159-4D60-84E9-F90C4F409C5D}</b:Guid>
    <b:Title>REGOLAMENTO (UE) 2023/1804 DEL PARLAMENTO EUROPEO E DEL CONSIGLIO</b:Title>
    <b:Year>2023</b:Year>
    <b:URL>https://eur-lex.europa.eu/eli/reg/2023/1804/oj/ita</b:URL>
    <b:Author>
      <b:Author>
        <b:Corporate>Parlamento Europeo e Consiglio dell'Unione Europea</b:Corporate>
      </b:Author>
    </b:Author>
    <b:RefOrder>31</b:RefOrder>
  </b:Source>
  <b:Source>
    <b:Tag>CEI</b:Tag>
    <b:SourceType>InternetSite</b:SourceType>
    <b:Guid>{785EFA58-3CB3-41D7-BC04-230C58641186}</b:Guid>
    <b:Title>CEI EN 61851-1</b:Title>
    <b:Author>
      <b:Author>
        <b:Corporate>CEI - Comitato Elettrotecnico Italiano</b:Corporate>
      </b:Author>
    </b:Author>
    <b:URL>https://mycatalogo.ceinorme.it/cei/item/0000011946?sso=y</b:URL>
    <b:RefOrder>32</b:RefOrder>
  </b:Source>
  <b:Source>
    <b:Tag>Min18</b:Tag>
    <b:SourceType>Report</b:SourceType>
    <b:Guid>{0E5E20B2-4D76-42DD-B31D-C337834F2034}</b:Guid>
    <b:Author>
      <b:Author>
        <b:Corporate>Ministero dell'Interno</b:Corporate>
      </b:Author>
    </b:Author>
    <b:Title>DECRETO 23 ottobre 2018</b:Title>
    <b:Year>2018</b:Year>
    <b:URL>https://www.gazzettaufficiale.it/atto/vediMenuHTML?atto.dataPubblicazioneGazzetta=2018-11-05&amp;atto.codiceRedazionale=18A07049&amp;tipoSerie=serie_generale&amp;tipoVigenza=originario</b:URL>
    <b:RefOrder>33</b:RefOrder>
  </b:Source>
  <b:Source>
    <b:Tag>UNI</b:Tag>
    <b:SourceType>InternetSite</b:SourceType>
    <b:Guid>{1DB3BE35-A401-43C5-B4D5-A9E728E335E6}</b:Guid>
    <b:Title>UNI ISO 19880-1:2020</b:Title>
    <b:Author>
      <b:Author>
        <b:Corporate>UNI - Ente Italiano di Normazione</b:Corporate>
      </b:Author>
    </b:Author>
    <b:URL>https://store.uni.com/uni-iso-19880-1-2020</b:URL>
    <b:RefOrder>34</b:RefOrder>
  </b:Source>
  <b:Source>
    <b:Tag>Moh23</b:Tag>
    <b:SourceType>JournalArticle</b:SourceType>
    <b:Guid>{5CEC0995-279B-4F97-8100-01BA6EA897FE}</b:Guid>
    <b:Title>Origin-destination inference in public transportation systems: A comprehensive review</b:Title>
    <b:Year>2023</b:Year>
    <b:URL>https://www.sciencedirect.com/science/article/pii/S2046043022000223?utm_source=chatgpt.com</b:URL>
    <b:Author>
      <b:Author>
        <b:NameList>
          <b:Person>
            <b:Last>Mohammed Mohammed</b:Last>
            <b:First>Jimi</b:First>
            <b:Middle>Oke</b:Middle>
          </b:Person>
        </b:NameList>
      </b:Author>
    </b:Author>
    <b:JournalName>International Journal of Transportation Science and Technology</b:JournalName>
    <b:RefOrder>35</b:RefOrder>
  </b:Source>
  <b:Source>
    <b:Tag>Luo24</b:Tag>
    <b:SourceType>JournalArticle</b:SourceType>
    <b:Guid>{BC6C7904-B81A-40D4-8F01-98479CE21BA4}</b:Guid>
    <b:Author>
      <b:Author>
        <b:NameList>
          <b:Person>
            <b:Last>Luo</b:Last>
            <b:First>Xiangyong</b:First>
          </b:Person>
        </b:NameList>
      </b:Author>
    </b:Author>
    <b:Title>Innovation diffusion in EV charging location decisions: Integrating demand &amp; supply through market dynamics</b:Title>
    <b:JournalName>Transportation Research Part C: Emerging Technologies</b:JournalName>
    <b:Year>2024</b:Year>
    <b:URL>https://www.sciencedirect.com/science/article/abs/pii/S0968090X24002547?utm_source=chatgpt.com</b:URL>
    <b:RefOrder>45</b:RefOrder>
  </b:Source>
  <b:Source>
    <b:Tag>IST21</b:Tag>
    <b:SourceType>Misc</b:SourceType>
    <b:Guid>{733002E0-38E9-4F92-A41F-47CDB442B34A}</b:Guid>
    <b:Title>Matrice di pendolarismo per lavoro, dati 2021: Definizione</b:Title>
    <b:Year>2021</b:Year>
    <b:Author>
      <b:Author>
        <b:Corporate>ISTAT - Istituto Nazionale di Statistica</b:Corporate>
      </b:Author>
    </b:Author>
    <b:URL>https://www.istat.it/notizia/matricedi-</b:URL>
    <b:RefOrder>36</b:RefOrder>
  </b:Source>
  <b:Source>
    <b:Tag>IST20</b:Tag>
    <b:SourceType>Misc</b:SourceType>
    <b:Guid>{A5A3DABE-9404-493A-ABD9-3416094A167B}</b:Guid>
    <b:Author>
      <b:Author>
        <b:Corporate>ISTAT - Istituto Nazionale di Statistica</b:Corporate>
      </b:Author>
    </b:Author>
    <b:Title>ISTAT (2020) — Dati statistici per il territorio: Regione Friuli-</b:Title>
    <b:Year>2020</b:Year>
    <b:URL>https://www.istat.it/it/files/2020/05/06_Friuli-Venezia-</b:URL>
    <b:RefOrder>42</b:RefOrder>
  </b:Source>
  <b:Source>
    <b:Tag>IST22</b:Tag>
    <b:SourceType>Misc</b:SourceType>
    <b:Guid>{5F5A1BD8-E4AF-4925-87F2-CF82C284C369}</b:Guid>
    <b:Author>
      <b:Author>
        <b:Corporate>ISTAT - Istituto Nazionale di Statistica</b:Corporate>
      </b:Author>
    </b:Author>
    <b:Title>ISTAT — Piano degli spostamenti casa-lavoro, sedi romane</b:Title>
    <b:Year>2022</b:Year>
    <b:URL>https://www.istat.it/storage/trasparenza/19-altri-contenuti/mobilita-aziendale/2022/PSCL-sedi-romane.pdf</b:URL>
    <b:RefOrder>43</b:RefOrder>
  </b:Source>
  <b:Source>
    <b:Tag>ACI24</b:Tag>
    <b:SourceType>Misc</b:SourceType>
    <b:Guid>{23C2CE5B-8EDB-41BA-B132-094F578F5839}</b:Guid>
    <b:Author>
      <b:Author>
        <b:Corporate>ACI - Automobile Club d'Italia</b:Corporate>
      </b:Author>
    </b:Author>
    <b:Title>Autoritratto / Open Parco Veicoli: Parco autovetture comunale</b:Title>
    <b:Year>2024</b:Year>
    <b:URL>https://www.aci.it/mobilita/veicoli-circolanti/</b:URL>
    <b:RefOrder>37</b:RefOrder>
  </b:Source>
  <b:Source>
    <b:Tag>Reg</b:Tag>
    <b:SourceType>Misc</b:SourceType>
    <b:Guid>{A6E1D89E-101F-41DA-A382-4A480BF2DF5D}</b:Guid>
    <b:Author>
      <b:Author>
        <b:Corporate>Regione Autonoma Friuli Venezia Giulia — Osservatorio regionale</b:Corporate>
      </b:Author>
    </b:Author>
    <b:Title>Dati comunali sulle strutture commerciali e superficie</b:Title>
    <b:URL>https://www.regione.fvg.it/rafvg/cms/RAFVG/economiaimprese/</b:URL>
    <b:RefOrder>39</b:RefOrder>
  </b:Source>
  <b:Source>
    <b:Tag>IST</b:Tag>
    <b:SourceType>Misc</b:SourceType>
    <b:Guid>{EAF2004D-2A90-44DE-918B-586EEA72C4C0}</b:Guid>
    <b:Author>
      <b:Author>
        <b:Corporate>ISTAT - Istituto Nazionale di Statistica</b:Corporate>
      </b:Author>
    </b:Author>
    <b:Title>ISTAT / Regione FVG — Movimento dei clienti negli esercizi ricettivi</b:Title>
    <b:RefOrder>38</b:RefOrder>
  </b:Source>
  <b:Source>
    <b:Tag>ANA</b:Tag>
    <b:SourceType>Misc</b:SourceType>
    <b:Guid>{4640A04D-EB74-40EE-89A0-6F29151F1FDB}</b:Guid>
    <b:Author>
      <b:Author>
        <b:Corporate>ANAS - Ministero delle Infrastrutture e dei Trasporti</b:Corporate>
      </b:Author>
    </b:Author>
    <b:Title>Traffico Giornaliero Medio sulle sezioni della rete di competenza</b:Title>
    <b:URL>https://dati.mit.gov.it/catalog/dataset/activity/traffico-giornaliero-medio-anas</b:URL>
    <b:RefOrder>40</b:RefOrder>
  </b:Source>
  <b:Source>
    <b:Tag>Ope</b:Tag>
    <b:SourceType>Misc</b:SourceType>
    <b:Guid>{14E893E9-1FEC-42ED-94EB-EDD7E47CD541}</b:Guid>
    <b:Author>
      <b:Author>
        <b:Corporate>OpenStreetMap contributors</b:Corporate>
      </b:Author>
    </b:Author>
    <b:Title>Dati geografici e attributi stradali.</b:Title>
    <b:URL>https://www.openstreetmap.org/copyright/it</b:URL>
    <b:RefOrder>41</b:RefOrder>
  </b:Source>
  <b:Source>
    <b:Tag>Reg262</b:Tag>
    <b:SourceType>InternetSite</b:SourceType>
    <b:Guid>{2DBD0CD2-0C99-4F3D-82BE-DCD4AAC80332}</b:Guid>
    <b:Title>La piattaforma logistica del Friuli Venezia Giulia</b:Title>
    <b:Year>2026</b:Year>
    <b:Author>
      <b:Author>
        <b:Corporate>Regione Autonoma Friuli Venezia Giulia</b:Corporate>
      </b:Author>
    </b:Author>
    <b:URL>https://www.regione.fvg.it/rafvg/cms/RAFVG/infrastrutture-lavori-pubblici/infrastrutture-logistica-trasporti/FOGLIA50/articolo.html</b:URL>
    <b:RefOrder>1</b:RefOrder>
  </b:Source>
  <b:Source>
    <b:Tag>Reg251</b:Tag>
    <b:SourceType>InternetSite</b:SourceType>
    <b:Guid>{6B50193B-33A7-4B12-98D5-896B9B3E8E4E}</b:Guid>
    <b:Author>
      <b:Author>
        <b:Corporate>Regiona Autonoma Friuli Venezia Giulia</b:Corporate>
      </b:Author>
    </b:Author>
    <b:Title>La rete stradale</b:Title>
    <b:Year>2025</b:Year>
    <b:URL>https://www.regione.fvg.it/rafvg/cms/RAFVG/infrastrutture-lavori-pubblici/infrastrutture-logistica-trasporti/FOGLIA1/</b:URL>
    <b:RefOrder>2</b:RefOrder>
  </b:Source>
  <b:Source>
    <b:Tag>Reg12</b:Tag>
    <b:SourceType>Misc</b:SourceType>
    <b:Guid>{B663D3E3-2209-400E-B34B-39572B88ADC4}</b:Guid>
    <b:Title>BOLLETTINO UFFICIALE - Legge regionale 21 dicembre 2012, n. 26</b:Title>
    <b:Year>2012</b:Year>
    <b:URL>https://lexview-int.regione.fvg.it/FontiNormative/xml/xmlLex.aspx?anno=2012&amp;fx=&amp;id=art51&amp;legge=19&amp;lista=0&amp;</b:URL>
    <b:Author>
      <b:Author>
        <b:Corporate>Regione Autonoma Friuli Venezia Giulia</b:Corporate>
      </b:Author>
    </b:Author>
    <b:RefOrder>46</b:RefOrder>
  </b:Source>
  <b:Source>
    <b:Tag>Alu08</b:Tag>
    <b:SourceType>JournalArticle</b:SourceType>
    <b:Guid>{B4D39FB9-819C-4B66-9649-4CBE5D1E4658}</b:Guid>
    <b:Title>Network hub location problems: The state of the art</b:Title>
    <b:Year>2008</b:Year>
    <b:Author>
      <b:Author>
        <b:NameList>
          <b:Person>
            <b:Last>Alumur</b:Last>
            <b:First>Sibel</b:First>
          </b:Person>
        </b:NameList>
      </b:Author>
    </b:Author>
    <b:JournalName>European Journal of Operational Research</b:JournalName>
    <b:URL>https://yoksis.bilkent.edu.tr/pdf/files/10.1016-j.ejor.2007.06.008.pdf</b:URL>
    <b:RefOrder>44</b:RefOrder>
  </b:Source>
  <b:Source>
    <b:Tag>Cam92</b:Tag>
    <b:SourceType>JournalArticle</b:SourceType>
    <b:Guid>{3DAE72DA-3F5F-4465-A101-7BC1136E747E}</b:Guid>
    <b:Author>
      <b:Author>
        <b:NameList>
          <b:Person>
            <b:Last>Campbell</b:Last>
            <b:First>James</b:First>
            <b:Middle>F.</b:Middle>
          </b:Person>
        </b:NameList>
      </b:Author>
    </b:Author>
    <b:Title>Integer programming formulations</b:Title>
    <b:JournalName>European Journal of Operational Research</b:JournalName>
    <b:Year>1992</b:Year>
    <b:URL>https://www.researchgate.net/profile/James-Campbell-51/publication/222135577_Integer_Programming_Formulations_of_Discrete_Hub_Location_Problem/links/5a09fe5b45851551b78d2af5/Integer-Programming-Formulations-of-Discrete-Hub-Location-Problem.pdf</b:URL>
    <b:RefOrder>47</b:RefOrder>
  </b:Source>
  <b:Source>
    <b:Tag>Aut25</b:Tag>
    <b:SourceType>InternetSite</b:SourceType>
    <b:Guid>{76B46889-10EB-49E5-9912-8FACCF05A977}</b:Guid>
    <b:Title>Dati annuali 2025 del sistema portuale dell'Adriatico Orientale: oltre 64 milioni di tonnellate movimentate</b:Title>
    <b:Year>2025</b:Year>
    <b:Author>
      <b:Author>
        <b:Corporate>Autorità di Sistema Portuale del Mare Adriatico Orientale - dati 2025</b:Corporate>
      </b:Author>
    </b:Author>
    <b:URL>https://www.adspmao.it/it/notiziecomunicati/dati-annuali-2025-del-sistema-portuale-delladriatico-orientale-oltre-64-milioni-di-tonnellate-movimentate</b:URL>
    <b:RefOrder>3</b:RefOrder>
  </b:Source>
  <b:Source>
    <b:Tag>SIS25</b:Tag>
    <b:SourceType>InternetSite</b:SourceType>
    <b:Guid>{CE6EB3E1-EB28-478F-833C-B415B4EA67FB}</b:Guid>
    <b:Author>
      <b:Author>
        <b:Corporate>SISTAN - Sistema Statistico Nazionale</b:Corporate>
      </b:Author>
    </b:Author>
    <b:Title>Il parco veicolare in Friuli-Venezia Giulia</b:Title>
    <b:Year>2025</b:Year>
    <b:URL>https://www.sistan.it/news/notizia/il-parco-veicolare-friuli-venezia-giulia</b:URL>
    <b:RefOrder>4</b:RefOrder>
  </b:Source>
  <b:Source>
    <b:Tag>Min23</b:Tag>
    <b:SourceType>InternetSite</b:SourceType>
    <b:Guid>{0023DF02-05F9-4974-BDA7-FF1B4355F37F}</b:Guid>
    <b:Author>
      <b:Author>
        <b:Corporate>Ministero delle infrastrutture e dei trasporti</b:Corporate>
      </b:Author>
    </b:Author>
    <b:Title>Stazioni rifornimento idrogeno: pubblicata la graduatoria</b:Title>
    <b:Year>2023</b:Year>
    <b:URL>https://www.mit.gov.it/node/18424</b:URL>
    <b:RefOrder>5</b:RefOrder>
  </b:Source>
  <b:Source>
    <b:Tag>Reg252</b:Tag>
    <b:SourceType>InternetSite</b:SourceType>
    <b:Guid>{7B8861A3-F238-4583-A124-260F798724D7}</b:Guid>
    <b:Author>
      <b:Author>
        <b:Corporate>Regione Autonoma Friuli Venezia Giulia</b:Corporate>
      </b:Author>
    </b:Author>
    <b:Title>Acquisto di autobus elettrici per i servizi TPL urbani anche transfrontalieri e dotazione/realizzazione di eventuali sistemi di ricarica</b:Title>
    <b:Year>2025</b:Year>
    <b:URL>https://www.regione.fvg.it/rafvg/cms/RAFVG/infrastrutture-lavori-pubblici/infrastrutture-logistica-trasporti/FOGLIA47/</b:URL>
    <b:RefOrder>6</b:RefOrder>
  </b:Source>
  <b:Source>
    <b:Tag>MIN23</b:Tag>
    <b:SourceType>Misc</b:SourceType>
    <b:Guid>{83A177B9-9920-4C4A-9CC2-F676453AC88C}</b:Guid>
    <b:Title>DECRETO 16 marzo 2023 Modalita' per il funzionamento della Piattaforma unica nazionale dei punti di ricarica per i veicoli a energia elettrica - PUN. (23A02948) (GU Serie Generale n.118 del 22-05-2023)</b:Title>
    <b:Year>2023</b:Year>
    <b:URL>https://www.gazzettaufficiale.it/eli/id/2023/05/22/23A02948/sg</b:URL>
    <b:Author>
      <b:Author>
        <b:Corporate>MINISTERO DELL'AMBIENTE E DELLA SICUREZZA ENERGETICA</b:Corporate>
      </b:Author>
    </b:Author>
    <b:RefOrder>7</b:RefOrder>
  </b:Source>
  <b:Source>
    <b:Tag>Eur21</b:Tag>
    <b:SourceType>InternetSite</b:SourceType>
    <b:Guid>{B892E99C-F0A7-47F4-8B8E-70A70B12331B}</b:Guid>
    <b:Title>Transport and the Green Deal</b:Title>
    <b:Year>2021</b:Year>
    <b:Author>
      <b:Author>
        <b:Corporate>European Commission - Trasnport and Tourism</b:Corporate>
      </b:Author>
    </b:Author>
    <b:URL>https://commission.europa.eu/topics/transport-and-tourism/transport-and-green-deal_en</b:URL>
    <b:RefOrder>8</b:RefOrder>
  </b:Source>
  <b:Source>
    <b:Tag>Spe22</b:Tag>
    <b:SourceType>JournalArticle</b:SourceType>
    <b:Guid>{3124D3B8-0B5E-43FD-94AC-3898CA761EAC}</b:Guid>
    <b:Title>Synthetic European road freight trasnport flow data</b:Title>
    <b:Year>2022</b:Year>
    <b:URL>file:///C:/Users/linda.borgato/Downloads/Synthetic_European_road_freight_transport_flow_dat.pdf</b:URL>
    <b:Author>
      <b:Author>
        <b:NameList>
          <b:Person>
            <b:Last>Speth</b:Last>
            <b:First>Daniel</b:First>
          </b:Person>
        </b:NameList>
      </b:Author>
    </b:Author>
    <b:JournalName>Elsevier</b:JournalName>
    <b:RefOrder>48</b:RefOrder>
  </b:Source>
</b:Sources>
</file>

<file path=customXml/itemProps1.xml><?xml version="1.0" encoding="utf-8"?>
<ds:datastoreItem xmlns:ds="http://schemas.openxmlformats.org/officeDocument/2006/customXml" ds:itemID="{159370C7-A868-4090-97B7-9968C6A1E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47</Pages>
  <Words>22600</Words>
  <Characters>143968</Characters>
  <Application>Microsoft Office Word</Application>
  <DocSecurity>0</DocSecurity>
  <Lines>2056</Lines>
  <Paragraphs>968</Paragraphs>
  <ScaleCrop>false</ScaleCrop>
  <Company/>
  <LinksUpToDate>false</LinksUpToDate>
  <CharactersWithSpaces>165600</CharactersWithSpaces>
  <SharedDoc>false</SharedDoc>
  <HLinks>
    <vt:vector size="234" baseType="variant">
      <vt:variant>
        <vt:i4>3670024</vt:i4>
      </vt:variant>
      <vt:variant>
        <vt:i4>249</vt:i4>
      </vt:variant>
      <vt:variant>
        <vt:i4>0</vt:i4>
      </vt:variant>
      <vt:variant>
        <vt:i4>5</vt:i4>
      </vt:variant>
      <vt:variant>
        <vt:lpwstr>https://europa.regione.fvg.it/it/programmi-36605/pnrr-fvg-36725/dati-di-attuazione-sui-progetti-regionali-94295/missione-3-96314?utm_source=chatgpt.com</vt:lpwstr>
      </vt:variant>
      <vt:variant>
        <vt:lpwstr/>
      </vt:variant>
      <vt:variant>
        <vt:i4>6488150</vt:i4>
      </vt:variant>
      <vt:variant>
        <vt:i4>246</vt:i4>
      </vt:variant>
      <vt:variant>
        <vt:i4>0</vt:i4>
      </vt:variant>
      <vt:variant>
        <vt:i4>5</vt:i4>
      </vt:variant>
      <vt:variant>
        <vt:lpwstr>https://www.adspmao.it/it/pianificazione-e-opere/attuazione-pnrr-1/cold-ironing-porto-monfalcone?utm_source=chatgpt.com</vt:lpwstr>
      </vt:variant>
      <vt:variant>
        <vt:lpwstr/>
      </vt:variant>
      <vt:variant>
        <vt:i4>7405636</vt:i4>
      </vt:variant>
      <vt:variant>
        <vt:i4>243</vt:i4>
      </vt:variant>
      <vt:variant>
        <vt:i4>0</vt:i4>
      </vt:variant>
      <vt:variant>
        <vt:i4>5</vt:i4>
      </vt:variant>
      <vt:variant>
        <vt:lpwstr>https://www.regione.fvg.it/rafvg/comunicati/comunicato.act?dir=%2Frafvg%2Fcms%2FRAFVG%2Fmappa%2F&amp;nm=20230324174148005&amp;utm_source=chatgpt.com</vt:lpwstr>
      </vt:variant>
      <vt:variant>
        <vt:lpwstr/>
      </vt:variant>
      <vt:variant>
        <vt:i4>786514</vt:i4>
      </vt:variant>
      <vt:variant>
        <vt:i4>240</vt:i4>
      </vt:variant>
      <vt:variant>
        <vt:i4>0</vt:i4>
      </vt:variant>
      <vt:variant>
        <vt:i4>5</vt:i4>
      </vt:variant>
      <vt:variant>
        <vt:lpwstr>https://decreti.regione.fvg.it/Storage/2024_167/ALLEGATO5 AL DPREG 0167-2024.PDF?utm_source=chatgpt.com</vt:lpwstr>
      </vt:variant>
      <vt:variant>
        <vt:lpwstr/>
      </vt:variant>
      <vt:variant>
        <vt:i4>7143506</vt:i4>
      </vt:variant>
      <vt:variant>
        <vt:i4>237</vt:i4>
      </vt:variant>
      <vt:variant>
        <vt:i4>0</vt:i4>
      </vt:variant>
      <vt:variant>
        <vt:i4>5</vt:i4>
      </vt:variant>
      <vt:variant>
        <vt:lpwstr>https://www.regione.fvg.it/rafvg/comunicati/comunicato.act?dir=&amp;nm=20250620135559005&amp;utm_source=chatgpt.com</vt:lpwstr>
      </vt:variant>
      <vt:variant>
        <vt:lpwstr/>
      </vt:variant>
      <vt:variant>
        <vt:i4>7798861</vt:i4>
      </vt:variant>
      <vt:variant>
        <vt:i4>234</vt:i4>
      </vt:variant>
      <vt:variant>
        <vt:i4>0</vt:i4>
      </vt:variant>
      <vt:variant>
        <vt:i4>5</vt:i4>
      </vt:variant>
      <vt:variant>
        <vt:lpwstr>https://lexview-int.regione.fvg.it/fontinormative/xml/XmlLex.aspx?anno=2021&amp;legge=23&amp;utm_source=chatgpt.com</vt:lpwstr>
      </vt:variant>
      <vt:variant>
        <vt:lpwstr/>
      </vt:variant>
      <vt:variant>
        <vt:i4>4194423</vt:i4>
      </vt:variant>
      <vt:variant>
        <vt:i4>231</vt:i4>
      </vt:variant>
      <vt:variant>
        <vt:i4>0</vt:i4>
      </vt:variant>
      <vt:variant>
        <vt:i4>5</vt:i4>
      </vt:variant>
      <vt:variant>
        <vt:lpwstr>https://www.regione.fvg.it/rafvg/cms/RAFVG/infrastrutture-lavori-pubblici/infrastrutture-logistica-trasporti/FOGLIA47/?utm_source=chatgpt.com</vt:lpwstr>
      </vt:variant>
      <vt:variant>
        <vt:lpwstr/>
      </vt:variant>
      <vt:variant>
        <vt:i4>1835063</vt:i4>
      </vt:variant>
      <vt:variant>
        <vt:i4>188</vt:i4>
      </vt:variant>
      <vt:variant>
        <vt:i4>0</vt:i4>
      </vt:variant>
      <vt:variant>
        <vt:i4>5</vt:i4>
      </vt:variant>
      <vt:variant>
        <vt:lpwstr/>
      </vt:variant>
      <vt:variant>
        <vt:lpwstr>_Toc241147094</vt:lpwstr>
      </vt:variant>
      <vt:variant>
        <vt:i4>1835063</vt:i4>
      </vt:variant>
      <vt:variant>
        <vt:i4>182</vt:i4>
      </vt:variant>
      <vt:variant>
        <vt:i4>0</vt:i4>
      </vt:variant>
      <vt:variant>
        <vt:i4>5</vt:i4>
      </vt:variant>
      <vt:variant>
        <vt:lpwstr/>
      </vt:variant>
      <vt:variant>
        <vt:lpwstr>_Toc241147093</vt:lpwstr>
      </vt:variant>
      <vt:variant>
        <vt:i4>1835063</vt:i4>
      </vt:variant>
      <vt:variant>
        <vt:i4>176</vt:i4>
      </vt:variant>
      <vt:variant>
        <vt:i4>0</vt:i4>
      </vt:variant>
      <vt:variant>
        <vt:i4>5</vt:i4>
      </vt:variant>
      <vt:variant>
        <vt:lpwstr/>
      </vt:variant>
      <vt:variant>
        <vt:lpwstr>_Toc241147092</vt:lpwstr>
      </vt:variant>
      <vt:variant>
        <vt:i4>1835063</vt:i4>
      </vt:variant>
      <vt:variant>
        <vt:i4>170</vt:i4>
      </vt:variant>
      <vt:variant>
        <vt:i4>0</vt:i4>
      </vt:variant>
      <vt:variant>
        <vt:i4>5</vt:i4>
      </vt:variant>
      <vt:variant>
        <vt:lpwstr/>
      </vt:variant>
      <vt:variant>
        <vt:lpwstr>_Toc241147091</vt:lpwstr>
      </vt:variant>
      <vt:variant>
        <vt:i4>1835063</vt:i4>
      </vt:variant>
      <vt:variant>
        <vt:i4>164</vt:i4>
      </vt:variant>
      <vt:variant>
        <vt:i4>0</vt:i4>
      </vt:variant>
      <vt:variant>
        <vt:i4>5</vt:i4>
      </vt:variant>
      <vt:variant>
        <vt:lpwstr/>
      </vt:variant>
      <vt:variant>
        <vt:lpwstr>_Toc241147090</vt:lpwstr>
      </vt:variant>
      <vt:variant>
        <vt:i4>1900599</vt:i4>
      </vt:variant>
      <vt:variant>
        <vt:i4>158</vt:i4>
      </vt:variant>
      <vt:variant>
        <vt:i4>0</vt:i4>
      </vt:variant>
      <vt:variant>
        <vt:i4>5</vt:i4>
      </vt:variant>
      <vt:variant>
        <vt:lpwstr/>
      </vt:variant>
      <vt:variant>
        <vt:lpwstr>_Toc241147089</vt:lpwstr>
      </vt:variant>
      <vt:variant>
        <vt:i4>1900599</vt:i4>
      </vt:variant>
      <vt:variant>
        <vt:i4>152</vt:i4>
      </vt:variant>
      <vt:variant>
        <vt:i4>0</vt:i4>
      </vt:variant>
      <vt:variant>
        <vt:i4>5</vt:i4>
      </vt:variant>
      <vt:variant>
        <vt:lpwstr/>
      </vt:variant>
      <vt:variant>
        <vt:lpwstr>_Toc241147088</vt:lpwstr>
      </vt:variant>
      <vt:variant>
        <vt:i4>1900599</vt:i4>
      </vt:variant>
      <vt:variant>
        <vt:i4>146</vt:i4>
      </vt:variant>
      <vt:variant>
        <vt:i4>0</vt:i4>
      </vt:variant>
      <vt:variant>
        <vt:i4>5</vt:i4>
      </vt:variant>
      <vt:variant>
        <vt:lpwstr/>
      </vt:variant>
      <vt:variant>
        <vt:lpwstr>_Toc241147087</vt:lpwstr>
      </vt:variant>
      <vt:variant>
        <vt:i4>1900599</vt:i4>
      </vt:variant>
      <vt:variant>
        <vt:i4>140</vt:i4>
      </vt:variant>
      <vt:variant>
        <vt:i4>0</vt:i4>
      </vt:variant>
      <vt:variant>
        <vt:i4>5</vt:i4>
      </vt:variant>
      <vt:variant>
        <vt:lpwstr/>
      </vt:variant>
      <vt:variant>
        <vt:lpwstr>_Toc241147086</vt:lpwstr>
      </vt:variant>
      <vt:variant>
        <vt:i4>1900599</vt:i4>
      </vt:variant>
      <vt:variant>
        <vt:i4>134</vt:i4>
      </vt:variant>
      <vt:variant>
        <vt:i4>0</vt:i4>
      </vt:variant>
      <vt:variant>
        <vt:i4>5</vt:i4>
      </vt:variant>
      <vt:variant>
        <vt:lpwstr/>
      </vt:variant>
      <vt:variant>
        <vt:lpwstr>_Toc241147085</vt:lpwstr>
      </vt:variant>
      <vt:variant>
        <vt:i4>1900599</vt:i4>
      </vt:variant>
      <vt:variant>
        <vt:i4>128</vt:i4>
      </vt:variant>
      <vt:variant>
        <vt:i4>0</vt:i4>
      </vt:variant>
      <vt:variant>
        <vt:i4>5</vt:i4>
      </vt:variant>
      <vt:variant>
        <vt:lpwstr/>
      </vt:variant>
      <vt:variant>
        <vt:lpwstr>_Toc241147084</vt:lpwstr>
      </vt:variant>
      <vt:variant>
        <vt:i4>1900599</vt:i4>
      </vt:variant>
      <vt:variant>
        <vt:i4>122</vt:i4>
      </vt:variant>
      <vt:variant>
        <vt:i4>0</vt:i4>
      </vt:variant>
      <vt:variant>
        <vt:i4>5</vt:i4>
      </vt:variant>
      <vt:variant>
        <vt:lpwstr/>
      </vt:variant>
      <vt:variant>
        <vt:lpwstr>_Toc241147083</vt:lpwstr>
      </vt:variant>
      <vt:variant>
        <vt:i4>1900599</vt:i4>
      </vt:variant>
      <vt:variant>
        <vt:i4>116</vt:i4>
      </vt:variant>
      <vt:variant>
        <vt:i4>0</vt:i4>
      </vt:variant>
      <vt:variant>
        <vt:i4>5</vt:i4>
      </vt:variant>
      <vt:variant>
        <vt:lpwstr/>
      </vt:variant>
      <vt:variant>
        <vt:lpwstr>_Toc241147082</vt:lpwstr>
      </vt:variant>
      <vt:variant>
        <vt:i4>1900599</vt:i4>
      </vt:variant>
      <vt:variant>
        <vt:i4>110</vt:i4>
      </vt:variant>
      <vt:variant>
        <vt:i4>0</vt:i4>
      </vt:variant>
      <vt:variant>
        <vt:i4>5</vt:i4>
      </vt:variant>
      <vt:variant>
        <vt:lpwstr/>
      </vt:variant>
      <vt:variant>
        <vt:lpwstr>_Toc241147081</vt:lpwstr>
      </vt:variant>
      <vt:variant>
        <vt:i4>1900599</vt:i4>
      </vt:variant>
      <vt:variant>
        <vt:i4>104</vt:i4>
      </vt:variant>
      <vt:variant>
        <vt:i4>0</vt:i4>
      </vt:variant>
      <vt:variant>
        <vt:i4>5</vt:i4>
      </vt:variant>
      <vt:variant>
        <vt:lpwstr/>
      </vt:variant>
      <vt:variant>
        <vt:lpwstr>_Toc241147080</vt:lpwstr>
      </vt:variant>
      <vt:variant>
        <vt:i4>1179703</vt:i4>
      </vt:variant>
      <vt:variant>
        <vt:i4>98</vt:i4>
      </vt:variant>
      <vt:variant>
        <vt:i4>0</vt:i4>
      </vt:variant>
      <vt:variant>
        <vt:i4>5</vt:i4>
      </vt:variant>
      <vt:variant>
        <vt:lpwstr/>
      </vt:variant>
      <vt:variant>
        <vt:lpwstr>_Toc241147079</vt:lpwstr>
      </vt:variant>
      <vt:variant>
        <vt:i4>1179703</vt:i4>
      </vt:variant>
      <vt:variant>
        <vt:i4>92</vt:i4>
      </vt:variant>
      <vt:variant>
        <vt:i4>0</vt:i4>
      </vt:variant>
      <vt:variant>
        <vt:i4>5</vt:i4>
      </vt:variant>
      <vt:variant>
        <vt:lpwstr/>
      </vt:variant>
      <vt:variant>
        <vt:lpwstr>_Toc241147078</vt:lpwstr>
      </vt:variant>
      <vt:variant>
        <vt:i4>1179703</vt:i4>
      </vt:variant>
      <vt:variant>
        <vt:i4>86</vt:i4>
      </vt:variant>
      <vt:variant>
        <vt:i4>0</vt:i4>
      </vt:variant>
      <vt:variant>
        <vt:i4>5</vt:i4>
      </vt:variant>
      <vt:variant>
        <vt:lpwstr/>
      </vt:variant>
      <vt:variant>
        <vt:lpwstr>_Toc241147077</vt:lpwstr>
      </vt:variant>
      <vt:variant>
        <vt:i4>1179703</vt:i4>
      </vt:variant>
      <vt:variant>
        <vt:i4>80</vt:i4>
      </vt:variant>
      <vt:variant>
        <vt:i4>0</vt:i4>
      </vt:variant>
      <vt:variant>
        <vt:i4>5</vt:i4>
      </vt:variant>
      <vt:variant>
        <vt:lpwstr/>
      </vt:variant>
      <vt:variant>
        <vt:lpwstr>_Toc241147076</vt:lpwstr>
      </vt:variant>
      <vt:variant>
        <vt:i4>1179703</vt:i4>
      </vt:variant>
      <vt:variant>
        <vt:i4>74</vt:i4>
      </vt:variant>
      <vt:variant>
        <vt:i4>0</vt:i4>
      </vt:variant>
      <vt:variant>
        <vt:i4>5</vt:i4>
      </vt:variant>
      <vt:variant>
        <vt:lpwstr/>
      </vt:variant>
      <vt:variant>
        <vt:lpwstr>_Toc241147075</vt:lpwstr>
      </vt:variant>
      <vt:variant>
        <vt:i4>1179703</vt:i4>
      </vt:variant>
      <vt:variant>
        <vt:i4>68</vt:i4>
      </vt:variant>
      <vt:variant>
        <vt:i4>0</vt:i4>
      </vt:variant>
      <vt:variant>
        <vt:i4>5</vt:i4>
      </vt:variant>
      <vt:variant>
        <vt:lpwstr/>
      </vt:variant>
      <vt:variant>
        <vt:lpwstr>_Toc241147074</vt:lpwstr>
      </vt:variant>
      <vt:variant>
        <vt:i4>1179703</vt:i4>
      </vt:variant>
      <vt:variant>
        <vt:i4>62</vt:i4>
      </vt:variant>
      <vt:variant>
        <vt:i4>0</vt:i4>
      </vt:variant>
      <vt:variant>
        <vt:i4>5</vt:i4>
      </vt:variant>
      <vt:variant>
        <vt:lpwstr/>
      </vt:variant>
      <vt:variant>
        <vt:lpwstr>_Toc241147073</vt:lpwstr>
      </vt:variant>
      <vt:variant>
        <vt:i4>1179703</vt:i4>
      </vt:variant>
      <vt:variant>
        <vt:i4>56</vt:i4>
      </vt:variant>
      <vt:variant>
        <vt:i4>0</vt:i4>
      </vt:variant>
      <vt:variant>
        <vt:i4>5</vt:i4>
      </vt:variant>
      <vt:variant>
        <vt:lpwstr/>
      </vt:variant>
      <vt:variant>
        <vt:lpwstr>_Toc241147072</vt:lpwstr>
      </vt:variant>
      <vt:variant>
        <vt:i4>1179703</vt:i4>
      </vt:variant>
      <vt:variant>
        <vt:i4>50</vt:i4>
      </vt:variant>
      <vt:variant>
        <vt:i4>0</vt:i4>
      </vt:variant>
      <vt:variant>
        <vt:i4>5</vt:i4>
      </vt:variant>
      <vt:variant>
        <vt:lpwstr/>
      </vt:variant>
      <vt:variant>
        <vt:lpwstr>_Toc241147071</vt:lpwstr>
      </vt:variant>
      <vt:variant>
        <vt:i4>1179703</vt:i4>
      </vt:variant>
      <vt:variant>
        <vt:i4>44</vt:i4>
      </vt:variant>
      <vt:variant>
        <vt:i4>0</vt:i4>
      </vt:variant>
      <vt:variant>
        <vt:i4>5</vt:i4>
      </vt:variant>
      <vt:variant>
        <vt:lpwstr/>
      </vt:variant>
      <vt:variant>
        <vt:lpwstr>_Toc241147070</vt:lpwstr>
      </vt:variant>
      <vt:variant>
        <vt:i4>1245239</vt:i4>
      </vt:variant>
      <vt:variant>
        <vt:i4>38</vt:i4>
      </vt:variant>
      <vt:variant>
        <vt:i4>0</vt:i4>
      </vt:variant>
      <vt:variant>
        <vt:i4>5</vt:i4>
      </vt:variant>
      <vt:variant>
        <vt:lpwstr/>
      </vt:variant>
      <vt:variant>
        <vt:lpwstr>_Toc241147069</vt:lpwstr>
      </vt:variant>
      <vt:variant>
        <vt:i4>1245239</vt:i4>
      </vt:variant>
      <vt:variant>
        <vt:i4>32</vt:i4>
      </vt:variant>
      <vt:variant>
        <vt:i4>0</vt:i4>
      </vt:variant>
      <vt:variant>
        <vt:i4>5</vt:i4>
      </vt:variant>
      <vt:variant>
        <vt:lpwstr/>
      </vt:variant>
      <vt:variant>
        <vt:lpwstr>_Toc241147068</vt:lpwstr>
      </vt:variant>
      <vt:variant>
        <vt:i4>1245239</vt:i4>
      </vt:variant>
      <vt:variant>
        <vt:i4>26</vt:i4>
      </vt:variant>
      <vt:variant>
        <vt:i4>0</vt:i4>
      </vt:variant>
      <vt:variant>
        <vt:i4>5</vt:i4>
      </vt:variant>
      <vt:variant>
        <vt:lpwstr/>
      </vt:variant>
      <vt:variant>
        <vt:lpwstr>_Toc241147067</vt:lpwstr>
      </vt:variant>
      <vt:variant>
        <vt:i4>1245239</vt:i4>
      </vt:variant>
      <vt:variant>
        <vt:i4>20</vt:i4>
      </vt:variant>
      <vt:variant>
        <vt:i4>0</vt:i4>
      </vt:variant>
      <vt:variant>
        <vt:i4>5</vt:i4>
      </vt:variant>
      <vt:variant>
        <vt:lpwstr/>
      </vt:variant>
      <vt:variant>
        <vt:lpwstr>_Toc241147066</vt:lpwstr>
      </vt:variant>
      <vt:variant>
        <vt:i4>1245239</vt:i4>
      </vt:variant>
      <vt:variant>
        <vt:i4>14</vt:i4>
      </vt:variant>
      <vt:variant>
        <vt:i4>0</vt:i4>
      </vt:variant>
      <vt:variant>
        <vt:i4>5</vt:i4>
      </vt:variant>
      <vt:variant>
        <vt:lpwstr/>
      </vt:variant>
      <vt:variant>
        <vt:lpwstr>_Toc241147065</vt:lpwstr>
      </vt:variant>
      <vt:variant>
        <vt:i4>1245239</vt:i4>
      </vt:variant>
      <vt:variant>
        <vt:i4>8</vt:i4>
      </vt:variant>
      <vt:variant>
        <vt:i4>0</vt:i4>
      </vt:variant>
      <vt:variant>
        <vt:i4>5</vt:i4>
      </vt:variant>
      <vt:variant>
        <vt:lpwstr/>
      </vt:variant>
      <vt:variant>
        <vt:lpwstr>_Toc241147064</vt:lpwstr>
      </vt:variant>
      <vt:variant>
        <vt:i4>1245239</vt:i4>
      </vt:variant>
      <vt:variant>
        <vt:i4>2</vt:i4>
      </vt:variant>
      <vt:variant>
        <vt:i4>0</vt:i4>
      </vt:variant>
      <vt:variant>
        <vt:i4>5</vt:i4>
      </vt:variant>
      <vt:variant>
        <vt:lpwstr/>
      </vt:variant>
      <vt:variant>
        <vt:lpwstr>_Toc241147063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Borgato</dc:creator>
  <cp:keywords/>
  <dc:description/>
  <cp:lastModifiedBy>Linda Borgato</cp:lastModifiedBy>
  <cp:revision>4</cp:revision>
  <cp:lastPrinted>2026-09-11T15:00:00Z</cp:lastPrinted>
  <dcterms:created xsi:type="dcterms:W3CDTF">2026-09-28T15:53:00Z</dcterms:created>
  <dcterms:modified xsi:type="dcterms:W3CDTF">2026-10-01T15:17:00Z</dcterms:modified>
</cp:coreProperties>
</file>