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D43D" w14:textId="26DA0610" w:rsidR="004350B6" w:rsidRPr="00483A6C" w:rsidRDefault="00483A6C" w:rsidP="00EF251C">
      <w:pPr>
        <w:pStyle w:val="Title"/>
        <w:tabs>
          <w:tab w:val="left" w:pos="5175"/>
          <w:tab w:val="left" w:pos="5670"/>
        </w:tabs>
        <w:rPr>
          <w:rFonts w:ascii="Mongolian Baiti" w:hAnsi="Mongolian Baiti" w:cs="Mongolian Baiti"/>
          <w:b/>
          <w:bCs/>
          <w:color w:val="auto"/>
          <w:sz w:val="56"/>
          <w:szCs w:val="56"/>
        </w:rPr>
      </w:pPr>
      <w:r>
        <w:rPr>
          <w:rFonts w:ascii="Mongolian Baiti" w:hAnsi="Mongolian Baiti" w:cs="Mongolian Baiti"/>
          <w:b/>
          <w:bCs/>
          <w:color w:val="auto"/>
          <w:sz w:val="56"/>
          <w:szCs w:val="56"/>
        </w:rPr>
        <w:t>1</w:t>
      </w:r>
      <w:r w:rsidR="0054402A">
        <w:rPr>
          <w:rFonts w:ascii="Mongolian Baiti" w:hAnsi="Mongolian Baiti" w:cs="Mongolian Baiti"/>
          <w:b/>
          <w:bCs/>
          <w:color w:val="auto"/>
          <w:sz w:val="56"/>
          <w:szCs w:val="56"/>
        </w:rPr>
        <w:t>5</w:t>
      </w:r>
      <w:r>
        <w:rPr>
          <w:rFonts w:ascii="Mongolian Baiti" w:hAnsi="Mongolian Baiti" w:cs="Mongolian Baiti"/>
          <w:b/>
          <w:bCs/>
          <w:color w:val="auto"/>
          <w:sz w:val="56"/>
          <w:szCs w:val="56"/>
        </w:rPr>
        <w:t xml:space="preserve">. </w:t>
      </w:r>
      <w:r w:rsidR="00FD6657" w:rsidRPr="00483A6C">
        <w:rPr>
          <w:rFonts w:ascii="Mongolian Baiti" w:hAnsi="Mongolian Baiti" w:cs="Mongolian Baiti"/>
          <w:b/>
          <w:bCs/>
          <w:color w:val="auto"/>
          <w:sz w:val="56"/>
          <w:szCs w:val="56"/>
        </w:rPr>
        <w:t>References</w:t>
      </w:r>
    </w:p>
    <w:p w14:paraId="5BACE1EF" w14:textId="0B1C74DE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[1] D. S. Mileti and J. H. Sorensen, Communication of Emergency Public Warnings: A Social Science Perspective and State-of-the-Art Assessment. Oak Ridge National Laboratory, 1990.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8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https://apps.dtic.mil/sti/pdfs/ADA268812.pdf</w:t>
        </w:r>
      </w:hyperlink>
    </w:p>
    <w:p w14:paraId="320C095E" w14:textId="0701DDF7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[2] M. K. Lindell and R. W. Perry, “The Protective Action Decision Model: Theoretical modifications and additional evidence,” Risk Analysis, vol. 32, no. 4, pp. 616–632, 2012.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9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https://onlinelibrary.wiley.com/doi/10.1111/j.1539-6924.2011.01647.x</w:t>
        </w:r>
      </w:hyperlink>
    </w:p>
    <w:p w14:paraId="5959B666" w14:textId="3C97565D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[3] D. P. Eisenman, K. M. Cordasco, S. Asch, J. F. Golden, and D. Glik, “Disaster planning and risk communication with vulnerable communities,” American Journal of Public Health, vol. 97, no. S1, 2007.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10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https://ajph.aphapublications.org/doi/10.2105/AJPH.2005.084335</w:t>
        </w:r>
      </w:hyperlink>
    </w:p>
    <w:p w14:paraId="50552AF0" w14:textId="5E84B644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[4] J. Sutton, E. S. Spiro, B. Johnson, S. Fitzhugh, B. Gibson, and C. T. Butts, “Warning tweets: Serial transmission of messages during the warning phase of a disaster event,” Information, Communication &amp; Society, vol. 17, no. 6, pp. 765–787, 2014.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>Available:</w:t>
      </w:r>
      <w:hyperlink r:id="rId11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https://www.tandfonline.com/doi/abs/10.1080/1369118X.2013.862561</w:t>
        </w:r>
      </w:hyperlink>
    </w:p>
    <w:p w14:paraId="04595D97" w14:textId="12F723D0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[5] H. Bean, B. F. Liu, S. Madden, J. Sutton, M. M. Wood, and D. S. Mileti, “Comprehensive testing of Wireless Emergency Alerts,” Natural Hazards Review, vol. 16, no. 2, 2015.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12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https://ascelibrary.org/doi/10.1061/(ASCE)NH.1527-6996.0000146</w:t>
        </w:r>
      </w:hyperlink>
    </w:p>
    <w:p w14:paraId="7A3A6E91" w14:textId="7FE97CDD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[6] J. Lazar et al., Ensuring Digital Accessibility Through Process and Policy. Morgan Kaufmann, 2017.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13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https://www.sciencedirect.com/book/9780128007107/ensuring-digital-accessibility-through-process-and-policy</w:t>
        </w:r>
      </w:hyperlink>
    </w:p>
    <w:p w14:paraId="4C1F723E" w14:textId="02CEC137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[7] United Nations Office for Disaster Risk Reduction (UNDRR), Early Warning Systems for All: Executive Action Plan 2023–2027, 2022.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14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https://www.undrr.org/publication/early-warning-systems-all</w:t>
        </w:r>
      </w:hyperlink>
    </w:p>
    <w:p w14:paraId="6D6E9448" w14:textId="5017FF50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[8] F. Federici and D. E. Alexander, “Crisis translation: Considering language needs in disaster management,” Journal of Applied Linguistics, 2020.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>Available:</w:t>
      </w:r>
      <w:hyperlink r:id="rId15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https://scholar.google.com/scholar?q=Federici+Alexander+Crisis+Translation+disaster</w:t>
        </w:r>
      </w:hyperlink>
    </w:p>
    <w:p w14:paraId="463B6D3D" w14:textId="77777777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FC54B4F" w14:textId="774D65B5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[9] “Trust Under Threat: AI vs Human Alerts in Disaster Communication,” 2025. Available: </w:t>
      </w:r>
      <w:hyperlink r:id="rId16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https://scholar.google.com/scholar?q=AI+vs+Human+Alerts+disaster+trust</w:t>
        </w:r>
      </w:hyperlink>
    </w:p>
    <w:p w14:paraId="185302EB" w14:textId="227F5737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[10] “Evaluating Emergency Alerts Using the IDEA Model,” 2026.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17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https://scholar.google.com/scholar?q=IDEA+Model+cyclone+alerts+evaluation</w:t>
        </w:r>
      </w:hyperlink>
    </w:p>
    <w:p w14:paraId="77AD2DDD" w14:textId="6FAB75B2" w:rsidR="00EF251C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[11] “Public feedback on emergency management policies using </w:t>
      </w:r>
      <w:proofErr w:type="spellStart"/>
      <w:r w:rsidRPr="00483A6C">
        <w:rPr>
          <w:rFonts w:ascii="Times New Roman" w:hAnsi="Times New Roman" w:cs="Times New Roman"/>
          <w:i/>
          <w:iCs/>
          <w:sz w:val="24"/>
          <w:szCs w:val="24"/>
        </w:rPr>
        <w:t>BERTopic</w:t>
      </w:r>
      <w:proofErr w:type="spellEnd"/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 and sentiment analysis,” 2025.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18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https://scholar.google.com/scholar?q=BERTopic+emergency+policies+sentiment+analysis+disaster</w:t>
        </w:r>
      </w:hyperlink>
    </w:p>
    <w:p w14:paraId="24F0B790" w14:textId="4B6B7EB7" w:rsidR="009C68A0" w:rsidRPr="00483A6C" w:rsidRDefault="00EF251C" w:rsidP="00EF25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3A6C">
        <w:rPr>
          <w:rFonts w:ascii="Times New Roman" w:hAnsi="Times New Roman" w:cs="Times New Roman"/>
          <w:i/>
          <w:iCs/>
          <w:sz w:val="24"/>
          <w:szCs w:val="24"/>
        </w:rPr>
        <w:t xml:space="preserve">[12] “Multilingual disaster communication and linguicism in disaster risk reduction,” 2023. </w:t>
      </w:r>
      <w:r w:rsidRPr="00483A6C">
        <w:rPr>
          <w:rFonts w:ascii="Times New Roman" w:hAnsi="Times New Roman" w:cs="Times New Roman"/>
          <w:i/>
          <w:iCs/>
          <w:sz w:val="24"/>
          <w:szCs w:val="24"/>
        </w:rPr>
        <w:br/>
        <w:t xml:space="preserve">Available: </w:t>
      </w:r>
      <w:hyperlink r:id="rId19" w:history="1">
        <w:r w:rsidRPr="00483A6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https://scholar.google.com/scholar?q=Multilingual+Disaster+Communication+linguicism+DRR</w:t>
        </w:r>
      </w:hyperlink>
    </w:p>
    <w:p w14:paraId="36FD71CA" w14:textId="14ED08BE" w:rsidR="00200D37" w:rsidRDefault="00200D37" w:rsidP="00B27D2C">
      <w:pPr>
        <w:rPr>
          <w:rFonts w:ascii="Bookman Old Style" w:hAnsi="Bookman Old Style"/>
          <w:i/>
          <w:iCs/>
        </w:rPr>
      </w:pPr>
      <w:r w:rsidRPr="00624299">
        <w:rPr>
          <w:rFonts w:ascii="Bookman Old Style" w:hAnsi="Bookman Old Style"/>
          <w:i/>
          <w:iCs/>
        </w:rPr>
        <w:drawing>
          <wp:anchor distT="0" distB="0" distL="114300" distR="114300" simplePos="0" relativeHeight="251658240" behindDoc="1" locked="0" layoutInCell="1" allowOverlap="1" wp14:anchorId="79F7D336" wp14:editId="4E0411B2">
            <wp:simplePos x="0" y="0"/>
            <wp:positionH relativeFrom="margin">
              <wp:posOffset>4452620</wp:posOffset>
            </wp:positionH>
            <wp:positionV relativeFrom="paragraph">
              <wp:posOffset>592455</wp:posOffset>
            </wp:positionV>
            <wp:extent cx="1159510" cy="1133475"/>
            <wp:effectExtent l="0" t="0" r="2540" b="9525"/>
            <wp:wrapTight wrapText="bothSides">
              <wp:wrapPolygon edited="0">
                <wp:start x="0" y="0"/>
                <wp:lineTo x="0" y="21418"/>
                <wp:lineTo x="21292" y="21418"/>
                <wp:lineTo x="21292" y="0"/>
                <wp:lineTo x="0" y="0"/>
              </wp:wrapPolygon>
            </wp:wrapTight>
            <wp:docPr id="128626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6849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D3C">
        <w:rPr>
          <w:rFonts w:ascii="Bookman Old Style" w:hAnsi="Bookman Old Style"/>
          <w:i/>
          <w:iCs/>
        </w:rPr>
        <w:t xml:space="preserve">[13] </w:t>
      </w:r>
      <w:r w:rsidR="000E3D3C" w:rsidRPr="000E3D3C">
        <w:rPr>
          <w:rFonts w:ascii="Bookman Old Style" w:hAnsi="Bookman Old Style"/>
          <w:i/>
          <w:iCs/>
        </w:rPr>
        <w:t xml:space="preserve">Drive Access Link: </w:t>
      </w:r>
      <w:hyperlink r:id="rId21" w:history="1">
        <w:r w:rsidRPr="00027514">
          <w:rPr>
            <w:rStyle w:val="Hyperlink"/>
            <w:rFonts w:ascii="Bookman Old Style" w:hAnsi="Bookman Old Style"/>
            <w:i/>
            <w:iCs/>
          </w:rPr>
          <w:t>https://drive.google.com/drive/folders/1d8KCnpA89jg58MLzY2-MsPDGt0csoQ</w:t>
        </w:r>
        <w:r w:rsidRPr="00027514">
          <w:rPr>
            <w:rStyle w:val="Hyperlink"/>
            <w:rFonts w:ascii="Bookman Old Style" w:hAnsi="Bookman Old Style"/>
            <w:i/>
            <w:iCs/>
          </w:rPr>
          <w:t>V</w:t>
        </w:r>
        <w:r w:rsidRPr="00027514">
          <w:rPr>
            <w:rStyle w:val="Hyperlink"/>
            <w:rFonts w:ascii="Bookman Old Style" w:hAnsi="Bookman Old Style"/>
            <w:i/>
            <w:iCs/>
          </w:rPr>
          <w:t>F?usp=sharing</w:t>
        </w:r>
      </w:hyperlink>
    </w:p>
    <w:p w14:paraId="7132E804" w14:textId="558CC84D" w:rsidR="00EF251C" w:rsidRPr="00EF251C" w:rsidRDefault="00B27D2C" w:rsidP="00B27D2C">
      <w:pPr>
        <w:rPr>
          <w:rFonts w:ascii="Bookman Old Style" w:hAnsi="Bookman Old Style"/>
          <w:i/>
          <w:iCs/>
        </w:rPr>
      </w:pPr>
      <w:r w:rsidRPr="00B27D2C">
        <w:rPr>
          <w:rFonts w:ascii="Bookman Old Style" w:hAnsi="Bookman Old Style"/>
          <w:i/>
          <w:iCs/>
        </w:rPr>
        <w:t xml:space="preserve">This is a meta-reference consolidating all research materials used in the </w:t>
      </w:r>
      <w:proofErr w:type="spellStart"/>
      <w:r w:rsidRPr="00B27D2C">
        <w:rPr>
          <w:rFonts w:ascii="Bookman Old Style" w:hAnsi="Bookman Old Style"/>
          <w:i/>
          <w:iCs/>
        </w:rPr>
        <w:t>CrisisClarity</w:t>
      </w:r>
      <w:proofErr w:type="spellEnd"/>
      <w:r w:rsidRPr="00B27D2C">
        <w:rPr>
          <w:rFonts w:ascii="Bookman Old Style" w:hAnsi="Bookman Old Style"/>
          <w:i/>
          <w:iCs/>
        </w:rPr>
        <w:t xml:space="preserve"> project. The drive serves as the complete repository for literature review, comparative analysis, and technical reference papers supporting the project's design thinking, software engineering, and agentic AI implementations</w:t>
      </w:r>
    </w:p>
    <w:sectPr w:rsidR="00EF251C" w:rsidRPr="00EF251C" w:rsidSect="009C68A0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2896" w14:textId="77777777" w:rsidR="00E1106B" w:rsidRDefault="00E1106B" w:rsidP="004350B6">
      <w:pPr>
        <w:spacing w:after="0" w:line="240" w:lineRule="auto"/>
      </w:pPr>
      <w:r>
        <w:separator/>
      </w:r>
    </w:p>
  </w:endnote>
  <w:endnote w:type="continuationSeparator" w:id="0">
    <w:p w14:paraId="4B4113D7" w14:textId="77777777" w:rsidR="00E1106B" w:rsidRDefault="00E1106B" w:rsidP="0043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4C38" w14:textId="7CEBFAEA" w:rsidR="009C7FAB" w:rsidRDefault="00855C7F">
    <w:pPr>
      <w:pStyle w:val="Footer"/>
    </w:pPr>
    <w:r w:rsidRPr="009C68A0">
      <w:rPr>
        <w:rFonts w:ascii="Bookman Old Style" w:hAnsi="Bookman Old Style"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B2260BF" wp14:editId="5A778A0C">
              <wp:simplePos x="0" y="0"/>
              <wp:positionH relativeFrom="column">
                <wp:posOffset>5478145</wp:posOffset>
              </wp:positionH>
              <wp:positionV relativeFrom="paragraph">
                <wp:posOffset>316230</wp:posOffset>
              </wp:positionV>
              <wp:extent cx="857250" cy="2571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2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14858" w14:textId="77777777" w:rsidR="00855C7F" w:rsidRPr="007873E9" w:rsidRDefault="00855C7F" w:rsidP="00855C7F">
                          <w:pPr>
                            <w:jc w:val="center"/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873E9"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  <w:t>Indresh-33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226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1.35pt;margin-top:24.9pt;width:67.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" filled="f" stroked="f">
              <v:textbox>
                <w:txbxContent>
                  <w:p w14:paraId="21014858" w14:textId="77777777" w:rsidR="00855C7F" w:rsidRPr="007873E9" w:rsidRDefault="00855C7F" w:rsidP="00855C7F">
                    <w:pPr>
                      <w:jc w:val="center"/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</w:pPr>
                    <w:r w:rsidRPr="007873E9"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  <w:t>Indresh-33</w:t>
                    </w:r>
                  </w:p>
                </w:txbxContent>
              </v:textbox>
            </v:shape>
          </w:pict>
        </mc:Fallback>
      </mc:AlternateContent>
    </w:r>
    <w:r w:rsidRPr="003D6772">
      <w:rPr>
        <w:i/>
        <w:iCs/>
        <w:noProof/>
      </w:rPr>
      <w:t xml:space="preserve"> </w:t>
    </w:r>
    <w:r w:rsidR="009C7FAB" w:rsidRPr="003D6772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11485223" wp14:editId="57714D77">
          <wp:simplePos x="0" y="0"/>
          <wp:positionH relativeFrom="margin">
            <wp:align>center</wp:align>
          </wp:positionH>
          <wp:positionV relativeFrom="paragraph">
            <wp:posOffset>-147048</wp:posOffset>
          </wp:positionV>
          <wp:extent cx="6564086" cy="423489"/>
          <wp:effectExtent l="0" t="0" r="0" b="0"/>
          <wp:wrapNone/>
          <wp:docPr id="472397921" name="Picture 472397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086" cy="4234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C2DD" w14:textId="77777777" w:rsidR="00E1106B" w:rsidRDefault="00E1106B" w:rsidP="004350B6">
      <w:pPr>
        <w:spacing w:after="0" w:line="240" w:lineRule="auto"/>
      </w:pPr>
      <w:r>
        <w:separator/>
      </w:r>
    </w:p>
  </w:footnote>
  <w:footnote w:type="continuationSeparator" w:id="0">
    <w:p w14:paraId="06113C03" w14:textId="77777777" w:rsidR="00E1106B" w:rsidRDefault="00E1106B" w:rsidP="0043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116" w14:textId="241EA58C" w:rsidR="009C7FAB" w:rsidRDefault="009C7FAB" w:rsidP="009C7FAB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34825D" wp14:editId="77813866">
          <wp:simplePos x="0" y="0"/>
          <wp:positionH relativeFrom="margin">
            <wp:align>center</wp:align>
          </wp:positionH>
          <wp:positionV relativeFrom="paragraph">
            <wp:posOffset>-45720</wp:posOffset>
          </wp:positionV>
          <wp:extent cx="5585460" cy="1131570"/>
          <wp:effectExtent l="0" t="0" r="0" b="0"/>
          <wp:wrapThrough wrapText="bothSides">
            <wp:wrapPolygon edited="0">
              <wp:start x="0" y="0"/>
              <wp:lineTo x="0" y="21091"/>
              <wp:lineTo x="21512" y="21091"/>
              <wp:lineTo x="21512" y="0"/>
              <wp:lineTo x="0" y="0"/>
            </wp:wrapPolygon>
          </wp:wrapThrough>
          <wp:docPr id="153654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4735" cy="1136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AA9"/>
    <w:multiLevelType w:val="hybridMultilevel"/>
    <w:tmpl w:val="5FBE5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37E27"/>
    <w:multiLevelType w:val="hybridMultilevel"/>
    <w:tmpl w:val="ED78C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1870">
    <w:abstractNumId w:val="1"/>
  </w:num>
  <w:num w:numId="2" w16cid:durableId="9117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9"/>
    <w:rsid w:val="00094AF2"/>
    <w:rsid w:val="000E3D3C"/>
    <w:rsid w:val="00164864"/>
    <w:rsid w:val="001C46F0"/>
    <w:rsid w:val="001F3AAC"/>
    <w:rsid w:val="00200D37"/>
    <w:rsid w:val="004350B6"/>
    <w:rsid w:val="00483A6C"/>
    <w:rsid w:val="0054402A"/>
    <w:rsid w:val="005B68EA"/>
    <w:rsid w:val="00624299"/>
    <w:rsid w:val="0073527B"/>
    <w:rsid w:val="007873E9"/>
    <w:rsid w:val="007B5E57"/>
    <w:rsid w:val="00823437"/>
    <w:rsid w:val="00845DD7"/>
    <w:rsid w:val="00855C7F"/>
    <w:rsid w:val="00894C8A"/>
    <w:rsid w:val="009C68A0"/>
    <w:rsid w:val="009C7FAB"/>
    <w:rsid w:val="009E33A9"/>
    <w:rsid w:val="00A1305D"/>
    <w:rsid w:val="00B27D2C"/>
    <w:rsid w:val="00B97ACA"/>
    <w:rsid w:val="00C81452"/>
    <w:rsid w:val="00CB77D0"/>
    <w:rsid w:val="00D07106"/>
    <w:rsid w:val="00DD7572"/>
    <w:rsid w:val="00E1106B"/>
    <w:rsid w:val="00EF251C"/>
    <w:rsid w:val="00F77396"/>
    <w:rsid w:val="00FD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7B829"/>
  <w15:chartTrackingRefBased/>
  <w15:docId w15:val="{C022A6A0-7D74-4931-9D23-C9E496B1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A0"/>
  </w:style>
  <w:style w:type="paragraph" w:styleId="Heading1">
    <w:name w:val="heading 1"/>
    <w:basedOn w:val="Normal"/>
    <w:next w:val="Normal"/>
    <w:link w:val="Heading1Char"/>
    <w:uiPriority w:val="9"/>
    <w:qFormat/>
    <w:rsid w:val="009C6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A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A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A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A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A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A0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A0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A0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A0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A0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68A0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8A0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A0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8A0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C68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8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A0"/>
    <w:rPr>
      <w:b/>
      <w:bCs/>
      <w:i/>
      <w:iCs/>
      <w:color w:val="4E67C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A0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A0"/>
    <w:rPr>
      <w:b/>
      <w:bCs/>
      <w:i/>
      <w:iCs/>
      <w:color w:val="4E67C8" w:themeColor="accent1"/>
    </w:rPr>
  </w:style>
  <w:style w:type="character" w:styleId="IntenseReference">
    <w:name w:val="Intense Reference"/>
    <w:basedOn w:val="DefaultParagraphFont"/>
    <w:uiPriority w:val="32"/>
    <w:qFormat/>
    <w:rsid w:val="009C68A0"/>
    <w:rPr>
      <w:b/>
      <w:bCs/>
      <w:smallCaps/>
      <w:color w:val="5ECCF3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B6"/>
  </w:style>
  <w:style w:type="paragraph" w:styleId="Footer">
    <w:name w:val="footer"/>
    <w:basedOn w:val="Normal"/>
    <w:link w:val="Foot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B6"/>
  </w:style>
  <w:style w:type="paragraph" w:styleId="Caption">
    <w:name w:val="caption"/>
    <w:basedOn w:val="Normal"/>
    <w:next w:val="Normal"/>
    <w:uiPriority w:val="35"/>
    <w:semiHidden/>
    <w:unhideWhenUsed/>
    <w:qFormat/>
    <w:rsid w:val="009C68A0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C68A0"/>
    <w:rPr>
      <w:b/>
      <w:bCs/>
    </w:rPr>
  </w:style>
  <w:style w:type="character" w:styleId="Emphasis">
    <w:name w:val="Emphasis"/>
    <w:basedOn w:val="DefaultParagraphFont"/>
    <w:uiPriority w:val="20"/>
    <w:qFormat/>
    <w:rsid w:val="009C68A0"/>
    <w:rPr>
      <w:i/>
      <w:iCs/>
    </w:rPr>
  </w:style>
  <w:style w:type="paragraph" w:styleId="NoSpacing">
    <w:name w:val="No Spacing"/>
    <w:uiPriority w:val="1"/>
    <w:qFormat/>
    <w:rsid w:val="009C68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C68A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C68A0"/>
    <w:rPr>
      <w:smallCaps/>
      <w:color w:val="5ECCF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C68A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8A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F251C"/>
    <w:rPr>
      <w:color w:val="56C7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5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51C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dtic.mil/sti/pdfs/ADA268812.pdf" TargetMode="External"/><Relationship Id="rId13" Type="http://schemas.openxmlformats.org/officeDocument/2006/relationships/hyperlink" Target="https://www.sciencedirect.com/book/9780128007107/ensuring-digital-accessibility-through-process-and-policy" TargetMode="External"/><Relationship Id="rId18" Type="http://schemas.openxmlformats.org/officeDocument/2006/relationships/hyperlink" Target="https://scholar.google.com/scholar?q=BERTopic+emergency+policies+sentiment+analysis+disast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drive/folders/1d8KCnpA89jg58MLzY2-MsPDGt0csoQVF?usp=shari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scelibrary.org/doi/10.1061/(ASCE)NH.1527-6996.0000146" TargetMode="External"/><Relationship Id="rId17" Type="http://schemas.openxmlformats.org/officeDocument/2006/relationships/hyperlink" Target="https://scholar.google.com/scholar?q=IDEA+Model+cyclone+alerts+evaluation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cholar.google.com/scholar?q=AI+vs+Human+Alerts+disaster+trust" TargetMode="Externa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andfonline.com/doi/abs/10.1080/1369118X.2013.862561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cholar.google.com/scholar?q=Federici+Alexander+Crisis+Translation+disaster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ajph.aphapublications.org/doi/10.2105/AJPH.2005.084335" TargetMode="External"/><Relationship Id="rId19" Type="http://schemas.openxmlformats.org/officeDocument/2006/relationships/hyperlink" Target="https://scholar.google.com/scholar?q=Multilingual+Disaster+Communication+linguicism+DR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library.wiley.com/doi/10.1111/j.1539-6924.2011.01647.x" TargetMode="External"/><Relationship Id="rId14" Type="http://schemas.openxmlformats.org/officeDocument/2006/relationships/hyperlink" Target="https://www.undrr.org/publication/early-warning-systems-all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64D9-8EC6-42D3-BF9B-74A064F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indresh suresh</dc:creator>
  <cp:keywords/>
  <dc:description/>
  <cp:lastModifiedBy>indresh suresh</cp:lastModifiedBy>
  <cp:revision>14</cp:revision>
  <dcterms:created xsi:type="dcterms:W3CDTF">2026-02-10T15:41:00Z</dcterms:created>
  <dcterms:modified xsi:type="dcterms:W3CDTF">2026-04-23T13:57:00Z</dcterms:modified>
</cp:coreProperties>
</file>