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0B9EB" w14:textId="6FE6C5E2" w:rsidR="001A2E09" w:rsidRPr="00C35810" w:rsidRDefault="00C35810" w:rsidP="00C35810">
      <w:pPr>
        <w:pStyle w:val="Title"/>
        <w:tabs>
          <w:tab w:val="left" w:pos="5175"/>
          <w:tab w:val="left" w:pos="5670"/>
        </w:tabs>
        <w:rPr>
          <w:rFonts w:ascii="Mongolian Baiti" w:hAnsi="Mongolian Baiti" w:cs="Mongolian Baiti"/>
          <w:color w:val="auto"/>
          <w:sz w:val="64"/>
          <w:szCs w:val="64"/>
        </w:rPr>
      </w:pPr>
      <w:r>
        <w:rPr>
          <w:rFonts w:ascii="Mongolian Baiti" w:hAnsi="Mongolian Baiti" w:cs="Mongolian Baiti"/>
          <w:color w:val="auto"/>
          <w:sz w:val="64"/>
          <w:szCs w:val="64"/>
        </w:rPr>
        <w:t>Literature Review</w:t>
      </w:r>
    </w:p>
    <w:p w14:paraId="34D7B285" w14:textId="77777777" w:rsidR="00D556E7" w:rsidRPr="00D556E7" w:rsidRDefault="00D556E7" w:rsidP="00D556E7">
      <w:pPr>
        <w:tabs>
          <w:tab w:val="left" w:pos="1404"/>
        </w:tabs>
        <w:rPr>
          <w:rFonts w:ascii="Bookman Old Style" w:hAnsi="Bookman Old Style"/>
          <w:b/>
          <w:bCs/>
          <w:sz w:val="24"/>
          <w:szCs w:val="24"/>
        </w:rPr>
        <w:sectPr w:rsidR="00D556E7" w:rsidRPr="00D556E7" w:rsidSect="00DE455E">
          <w:headerReference w:type="default" r:id="rId8"/>
          <w:footerReference w:type="default" r:id="rId9"/>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pPr>
    </w:p>
    <w:p w14:paraId="6551AF66" w14:textId="4C354D5C" w:rsidR="00D556E7" w:rsidRPr="00D556E7" w:rsidRDefault="00D556E7" w:rsidP="00D556E7">
      <w:pPr>
        <w:pStyle w:val="ListParagraph"/>
        <w:numPr>
          <w:ilvl w:val="0"/>
          <w:numId w:val="13"/>
        </w:numPr>
        <w:rPr>
          <w:rFonts w:ascii="Bookman Old Style" w:hAnsi="Bookman Old Style"/>
          <w:b/>
          <w:bCs/>
          <w:sz w:val="24"/>
          <w:szCs w:val="24"/>
        </w:rPr>
      </w:pPr>
      <w:r w:rsidRPr="00D556E7">
        <w:rPr>
          <w:rFonts w:ascii="Bookman Old Style" w:hAnsi="Bookman Old Style"/>
          <w:b/>
          <w:bCs/>
          <w:sz w:val="24"/>
          <w:szCs w:val="24"/>
        </w:rPr>
        <w:t>Introduction</w:t>
      </w:r>
    </w:p>
    <w:p w14:paraId="53B51517" w14:textId="0E1C0DFF" w:rsidR="002F4B7D" w:rsidRPr="002F4B7D" w:rsidRDefault="002F4B7D" w:rsidP="002F4B7D">
      <w:pPr>
        <w:rPr>
          <w:rFonts w:ascii="Bookman Old Style" w:hAnsi="Bookman Old Style"/>
        </w:rPr>
      </w:pPr>
      <w:r w:rsidRPr="002F4B7D">
        <w:rPr>
          <w:rFonts w:ascii="Bookman Old Style" w:hAnsi="Bookman Old Style"/>
        </w:rPr>
        <w:t>Disaster management communication plays a crucial role in minimizing loss of life and property during natural calamities such as floods, landslides, earthquakes, and cyclones. Early Warning Systems (EWS) are designed to disseminate timely alerts to the public to enable preventive and protective action. According to Mileti and Sorensen (1990), the effectiveness of warning systems depends not only on speed of dissemination but also on clarity, consistency, and credibility of the message. Similarly, Lindell and Perry (2012) proposed the Protective Action Decision Model (PADM), which explains that individuals take protective action only when they understand the risk and trust the source of communication.</w:t>
      </w:r>
    </w:p>
    <w:p w14:paraId="62533DF9" w14:textId="77777777" w:rsidR="00D556E7" w:rsidRDefault="002F4B7D" w:rsidP="00D556E7">
      <w:r w:rsidRPr="002F4B7D">
        <w:rPr>
          <w:rFonts w:ascii="Bookman Old Style" w:hAnsi="Bookman Old Style"/>
        </w:rPr>
        <w:t>In linguistically diverse regions like Kerala, India, disaster communication faces additional challenges due to language barriers, literacy levels, and accessibility issues. Although government agencies such as NDMA and IMD provide SMS and broadcast-based alerts, these systems often lack multilingual adaptability, accessibility support, and mechanisms to measure public understanding. Therefore, research indicates the need for inclusive, structured, and feedback-driven disaster communication systems.</w:t>
      </w:r>
      <w:r w:rsidR="00297A10">
        <w:rPr>
          <w:rFonts w:ascii="Bookman Old Style" w:hAnsi="Bookman Old Style"/>
        </w:rPr>
        <w:br/>
      </w:r>
    </w:p>
    <w:p w14:paraId="46BD0F84" w14:textId="77777777" w:rsidR="00D556E7" w:rsidRPr="00D556E7" w:rsidRDefault="00D556E7" w:rsidP="00D556E7">
      <w:pPr>
        <w:pStyle w:val="ListParagraph"/>
        <w:numPr>
          <w:ilvl w:val="0"/>
          <w:numId w:val="13"/>
        </w:numPr>
        <w:tabs>
          <w:tab w:val="left" w:pos="2928"/>
        </w:tabs>
        <w:rPr>
          <w:rFonts w:ascii="Bookman Old Style" w:hAnsi="Bookman Old Style"/>
          <w:b/>
          <w:bCs/>
          <w:sz w:val="24"/>
          <w:szCs w:val="24"/>
        </w:rPr>
      </w:pPr>
      <w:r w:rsidRPr="00D556E7">
        <w:rPr>
          <w:rFonts w:ascii="Bookman Old Style" w:hAnsi="Bookman Old Style"/>
          <w:b/>
          <w:bCs/>
          <w:sz w:val="24"/>
          <w:szCs w:val="24"/>
        </w:rPr>
        <w:t>Existing System Limitations</w:t>
      </w:r>
    </w:p>
    <w:p w14:paraId="4063C7B2" w14:textId="331BA606" w:rsidR="002F4B7D" w:rsidRPr="00D556E7" w:rsidRDefault="002F4B7D" w:rsidP="002F4B7D">
      <w:pPr>
        <w:tabs>
          <w:tab w:val="left" w:pos="2928"/>
        </w:tabs>
        <w:rPr>
          <w:rFonts w:ascii="Bookman Old Style" w:hAnsi="Bookman Old Style"/>
          <w:b/>
          <w:bCs/>
        </w:rPr>
      </w:pPr>
      <w:r w:rsidRPr="00D556E7">
        <w:rPr>
          <w:rFonts w:ascii="Bookman Old Style" w:hAnsi="Bookman Old Style"/>
          <w:b/>
          <w:bCs/>
        </w:rPr>
        <w:t>2.1 Language Barriers</w:t>
      </w:r>
    </w:p>
    <w:p w14:paraId="054F0E4F" w14:textId="15289296" w:rsidR="002F4B7D" w:rsidRPr="002F4B7D" w:rsidRDefault="002F4B7D" w:rsidP="002F4B7D">
      <w:pPr>
        <w:tabs>
          <w:tab w:val="left" w:pos="2928"/>
        </w:tabs>
        <w:rPr>
          <w:rFonts w:ascii="Bookman Old Style" w:hAnsi="Bookman Old Style"/>
        </w:rPr>
      </w:pPr>
      <w:r w:rsidRPr="002F4B7D">
        <w:rPr>
          <w:rFonts w:ascii="Bookman Old Style" w:hAnsi="Bookman Old Style"/>
        </w:rPr>
        <w:t>Eisenman et al. (2007) found that non-native speakers and migrant populations are significantly less likely to understand emergency warnings issued in a dominant language. In multilingual regions, issuing alerts in only one language reduces comprehension and delays response time.</w:t>
      </w:r>
    </w:p>
    <w:p w14:paraId="132C4126" w14:textId="508C3711" w:rsidR="002F4B7D" w:rsidRPr="002F4B7D" w:rsidRDefault="002F4B7D" w:rsidP="002F4B7D">
      <w:pPr>
        <w:tabs>
          <w:tab w:val="left" w:pos="2928"/>
        </w:tabs>
        <w:rPr>
          <w:rFonts w:ascii="Bookman Old Style" w:hAnsi="Bookman Old Style"/>
        </w:rPr>
      </w:pPr>
      <w:r w:rsidRPr="002F4B7D">
        <w:rPr>
          <w:rFonts w:ascii="Bookman Old Style" w:hAnsi="Bookman Old Style"/>
        </w:rPr>
        <w:t>Kerala, which hosts a large migrant workforce, faces similar risks when disaster warnings are issued primarily in English or Malayalam without multilingual flexibility.</w:t>
      </w:r>
    </w:p>
    <w:p w14:paraId="68268BCC" w14:textId="541D3C9C" w:rsidR="002F4B7D" w:rsidRPr="00D556E7" w:rsidRDefault="002F4B7D" w:rsidP="002F4B7D">
      <w:pPr>
        <w:tabs>
          <w:tab w:val="left" w:pos="2928"/>
        </w:tabs>
        <w:rPr>
          <w:rFonts w:ascii="Bookman Old Style" w:hAnsi="Bookman Old Style"/>
          <w:b/>
          <w:bCs/>
        </w:rPr>
      </w:pPr>
      <w:r w:rsidRPr="00D556E7">
        <w:rPr>
          <w:rFonts w:ascii="Bookman Old Style" w:hAnsi="Bookman Old Style"/>
          <w:b/>
          <w:bCs/>
        </w:rPr>
        <w:t>2.2 Lack of Accessibility</w:t>
      </w:r>
    </w:p>
    <w:p w14:paraId="5C2B58E7" w14:textId="65DCFD9C" w:rsidR="002F4B7D" w:rsidRDefault="002F4B7D" w:rsidP="002F4B7D">
      <w:pPr>
        <w:tabs>
          <w:tab w:val="left" w:pos="2928"/>
        </w:tabs>
        <w:rPr>
          <w:rFonts w:ascii="Bookman Old Style" w:hAnsi="Bookman Old Style"/>
        </w:rPr>
      </w:pPr>
      <w:r w:rsidRPr="002F4B7D">
        <w:rPr>
          <w:rFonts w:ascii="Bookman Old Style" w:hAnsi="Bookman Old Style"/>
        </w:rPr>
        <w:t>Research in Universal Access in the Information Society (Lazar et al., 2017) highlights that elderly individuals and visually impaired users struggle with text-only alerts. Most disaster communication systems lack integrated Text-to-Speech (TTS) support, making them inaccessible to vulnerable populations.</w:t>
      </w:r>
    </w:p>
    <w:p w14:paraId="36ABED70" w14:textId="77777777" w:rsidR="00D556E7" w:rsidRDefault="00D556E7" w:rsidP="002F4B7D">
      <w:pPr>
        <w:tabs>
          <w:tab w:val="left" w:pos="2928"/>
        </w:tabs>
        <w:rPr>
          <w:rFonts w:ascii="Bookman Old Style" w:hAnsi="Bookman Old Style"/>
        </w:rPr>
      </w:pPr>
    </w:p>
    <w:p w14:paraId="05CABF8B" w14:textId="77777777" w:rsidR="00D556E7" w:rsidRDefault="00D556E7" w:rsidP="002F4B7D">
      <w:pPr>
        <w:tabs>
          <w:tab w:val="left" w:pos="2928"/>
        </w:tabs>
        <w:rPr>
          <w:rFonts w:ascii="Bookman Old Style" w:hAnsi="Bookman Old Style"/>
        </w:rPr>
      </w:pPr>
    </w:p>
    <w:p w14:paraId="2B2774F1" w14:textId="77777777" w:rsidR="00D556E7" w:rsidRDefault="00D556E7" w:rsidP="002F4B7D">
      <w:pPr>
        <w:tabs>
          <w:tab w:val="left" w:pos="2928"/>
        </w:tabs>
        <w:rPr>
          <w:rFonts w:ascii="Bookman Old Style" w:hAnsi="Bookman Old Style"/>
        </w:rPr>
      </w:pPr>
    </w:p>
    <w:p w14:paraId="4EE8A01A" w14:textId="77777777" w:rsidR="00D556E7" w:rsidRPr="002F4B7D" w:rsidRDefault="00D556E7" w:rsidP="002F4B7D">
      <w:pPr>
        <w:tabs>
          <w:tab w:val="left" w:pos="2928"/>
        </w:tabs>
        <w:rPr>
          <w:rFonts w:ascii="Bookman Old Style" w:hAnsi="Bookman Old Style"/>
        </w:rPr>
      </w:pPr>
    </w:p>
    <w:p w14:paraId="2C6F5A24" w14:textId="77777777" w:rsidR="00D556E7" w:rsidRDefault="00D556E7" w:rsidP="002F4B7D">
      <w:pPr>
        <w:tabs>
          <w:tab w:val="left" w:pos="2928"/>
        </w:tabs>
        <w:rPr>
          <w:rFonts w:ascii="Bookman Old Style" w:hAnsi="Bookman Old Style"/>
          <w:b/>
          <w:bCs/>
        </w:rPr>
        <w:sectPr w:rsidR="00D556E7" w:rsidSect="00D556E7">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num="2" w:space="708"/>
          <w:docGrid w:linePitch="360"/>
        </w:sectPr>
      </w:pPr>
    </w:p>
    <w:p w14:paraId="11A9E242" w14:textId="695762DD" w:rsidR="002F4B7D" w:rsidRPr="00D556E7" w:rsidRDefault="002F4B7D" w:rsidP="002F4B7D">
      <w:pPr>
        <w:tabs>
          <w:tab w:val="left" w:pos="2928"/>
        </w:tabs>
        <w:rPr>
          <w:rFonts w:ascii="Bookman Old Style" w:hAnsi="Bookman Old Style"/>
          <w:b/>
          <w:bCs/>
        </w:rPr>
      </w:pPr>
      <w:r w:rsidRPr="00D556E7">
        <w:rPr>
          <w:rFonts w:ascii="Bookman Old Style" w:hAnsi="Bookman Old Style"/>
          <w:b/>
          <w:bCs/>
        </w:rPr>
        <w:lastRenderedPageBreak/>
        <w:t>2.3 Inconsistent Messaging and Misinformation</w:t>
      </w:r>
    </w:p>
    <w:p w14:paraId="35471D52" w14:textId="060AC2BA" w:rsidR="002F4B7D" w:rsidRPr="002F4B7D" w:rsidRDefault="002F4B7D" w:rsidP="002F4B7D">
      <w:pPr>
        <w:tabs>
          <w:tab w:val="left" w:pos="2928"/>
        </w:tabs>
        <w:rPr>
          <w:rFonts w:ascii="Bookman Old Style" w:hAnsi="Bookman Old Style"/>
        </w:rPr>
      </w:pPr>
      <w:r w:rsidRPr="002F4B7D">
        <w:rPr>
          <w:rFonts w:ascii="Bookman Old Style" w:hAnsi="Bookman Old Style"/>
        </w:rPr>
        <w:t xml:space="preserve">Sutton et al. (2014) </w:t>
      </w:r>
      <w:proofErr w:type="spellStart"/>
      <w:r w:rsidRPr="002F4B7D">
        <w:rPr>
          <w:rFonts w:ascii="Bookman Old Style" w:hAnsi="Bookman Old Style"/>
        </w:rPr>
        <w:t>analyzed</w:t>
      </w:r>
      <w:proofErr w:type="spellEnd"/>
      <w:r w:rsidRPr="002F4B7D">
        <w:rPr>
          <w:rFonts w:ascii="Bookman Old Style" w:hAnsi="Bookman Old Style"/>
        </w:rPr>
        <w:t xml:space="preserve"> crisis communication on Twitter and found that inconsistent and repeated messaging across different platforms creates confusion. Social media platforms often spread </w:t>
      </w:r>
      <w:proofErr w:type="spellStart"/>
      <w:r w:rsidRPr="002F4B7D">
        <w:rPr>
          <w:rFonts w:ascii="Bookman Old Style" w:hAnsi="Bookman Old Style"/>
        </w:rPr>
        <w:t>rumors</w:t>
      </w:r>
      <w:proofErr w:type="spellEnd"/>
      <w:r w:rsidRPr="002F4B7D">
        <w:rPr>
          <w:rFonts w:ascii="Bookman Old Style" w:hAnsi="Bookman Old Style"/>
        </w:rPr>
        <w:t>, which can escalate panic and misdirect resources.</w:t>
      </w:r>
    </w:p>
    <w:p w14:paraId="2738C858" w14:textId="1A38CB01" w:rsidR="002F4B7D" w:rsidRPr="00D556E7" w:rsidRDefault="002F4B7D" w:rsidP="002F4B7D">
      <w:pPr>
        <w:tabs>
          <w:tab w:val="left" w:pos="2928"/>
        </w:tabs>
        <w:rPr>
          <w:rFonts w:ascii="Bookman Old Style" w:hAnsi="Bookman Old Style"/>
          <w:b/>
          <w:bCs/>
        </w:rPr>
      </w:pPr>
      <w:r w:rsidRPr="00D556E7">
        <w:rPr>
          <w:rFonts w:ascii="Bookman Old Style" w:hAnsi="Bookman Old Style"/>
          <w:b/>
          <w:bCs/>
        </w:rPr>
        <w:t>2.4 Absence of Comprehension Measurement</w:t>
      </w:r>
    </w:p>
    <w:p w14:paraId="3B577BDF" w14:textId="3E5071D2" w:rsidR="002F4B7D" w:rsidRPr="002F4B7D" w:rsidRDefault="002F4B7D" w:rsidP="002F4B7D">
      <w:pPr>
        <w:tabs>
          <w:tab w:val="left" w:pos="2928"/>
        </w:tabs>
        <w:rPr>
          <w:rFonts w:ascii="Bookman Old Style" w:hAnsi="Bookman Old Style"/>
        </w:rPr>
      </w:pPr>
      <w:r w:rsidRPr="002F4B7D">
        <w:rPr>
          <w:rFonts w:ascii="Bookman Old Style" w:hAnsi="Bookman Old Style"/>
        </w:rPr>
        <w:t xml:space="preserve">Studies on FEMA’s Wireless Emergency Alerts (Bean et al., 2015) </w:t>
      </w:r>
      <w:r w:rsidRPr="002F4B7D">
        <w:rPr>
          <w:rFonts w:ascii="Bookman Old Style" w:hAnsi="Bookman Old Style"/>
        </w:rPr>
        <w:t>reveal that most alert systems measure reach but not understanding. There is no structured mechanism to assess whether recipients clearly understood the warning message.</w:t>
      </w:r>
    </w:p>
    <w:p w14:paraId="48B5C4D8" w14:textId="71D250B6" w:rsidR="002F4B7D" w:rsidRPr="00D556E7" w:rsidRDefault="002F4B7D" w:rsidP="002F4B7D">
      <w:pPr>
        <w:tabs>
          <w:tab w:val="left" w:pos="2928"/>
        </w:tabs>
        <w:rPr>
          <w:rFonts w:ascii="Bookman Old Style" w:hAnsi="Bookman Old Style"/>
          <w:b/>
          <w:bCs/>
        </w:rPr>
      </w:pPr>
      <w:r w:rsidRPr="00D556E7">
        <w:rPr>
          <w:rFonts w:ascii="Bookman Old Style" w:hAnsi="Bookman Old Style"/>
          <w:b/>
          <w:bCs/>
        </w:rPr>
        <w:t>2.5 Lack of Structured Geo-Filtering and Metadata</w:t>
      </w:r>
    </w:p>
    <w:p w14:paraId="46E1F304" w14:textId="3923E865" w:rsidR="00D556E7" w:rsidRDefault="002F4B7D" w:rsidP="002F4B7D">
      <w:pPr>
        <w:tabs>
          <w:tab w:val="left" w:pos="2928"/>
        </w:tabs>
        <w:rPr>
          <w:rFonts w:ascii="Bookman Old Style" w:hAnsi="Bookman Old Style"/>
        </w:rPr>
        <w:sectPr w:rsidR="00D556E7" w:rsidSect="00D556E7">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num="2" w:space="708"/>
          <w:docGrid w:linePitch="360"/>
        </w:sectPr>
      </w:pPr>
      <w:r w:rsidRPr="002F4B7D">
        <w:rPr>
          <w:rFonts w:ascii="Bookman Old Style" w:hAnsi="Bookman Old Style"/>
        </w:rPr>
        <w:t>Many systems broadcast alerts broadly without allowing users to filter by district, severity level, or disaster type. This can result in information overload and reduced attention to critical alerts.</w:t>
      </w:r>
    </w:p>
    <w:p w14:paraId="037D005B" w14:textId="77777777" w:rsidR="00D556E7" w:rsidRDefault="00D556E7" w:rsidP="002F4B7D">
      <w:pPr>
        <w:tabs>
          <w:tab w:val="left" w:pos="2928"/>
        </w:tabs>
        <w:rPr>
          <w:rFonts w:ascii="Bookman Old Style" w:hAnsi="Bookman Old Style"/>
        </w:rPr>
      </w:pPr>
    </w:p>
    <w:p w14:paraId="74BCB04B" w14:textId="444E1F67" w:rsidR="00D556E7" w:rsidRPr="00D556E7" w:rsidRDefault="00D556E7" w:rsidP="00D556E7">
      <w:pPr>
        <w:pStyle w:val="ListParagraph"/>
        <w:numPr>
          <w:ilvl w:val="0"/>
          <w:numId w:val="13"/>
        </w:numPr>
        <w:rPr>
          <w:rFonts w:ascii="Bookman Old Style" w:hAnsi="Bookman Old Style"/>
          <w:b/>
          <w:bCs/>
          <w:sz w:val="24"/>
          <w:szCs w:val="24"/>
        </w:rPr>
      </w:pPr>
      <w:r w:rsidRPr="00D556E7">
        <w:rPr>
          <w:rFonts w:ascii="Bookman Old Style" w:hAnsi="Bookman Old Style"/>
          <w:b/>
          <w:bCs/>
          <w:sz w:val="24"/>
          <w:szCs w:val="24"/>
        </w:rPr>
        <w:t>Comparative Analysis of Existing Systems</w:t>
      </w:r>
    </w:p>
    <w:tbl>
      <w:tblPr>
        <w:tblStyle w:val="GridTable2-Accent1"/>
        <w:tblW w:w="9134" w:type="dxa"/>
        <w:jc w:val="center"/>
        <w:tblLook w:val="04A0" w:firstRow="1" w:lastRow="0" w:firstColumn="1" w:lastColumn="0" w:noHBand="0" w:noVBand="1"/>
      </w:tblPr>
      <w:tblGrid>
        <w:gridCol w:w="2516"/>
        <w:gridCol w:w="1468"/>
        <w:gridCol w:w="1524"/>
        <w:gridCol w:w="1628"/>
        <w:gridCol w:w="1998"/>
      </w:tblGrid>
      <w:tr w:rsidR="005E6E33" w14:paraId="7872D642" w14:textId="77777777" w:rsidTr="00F055E0">
        <w:trPr>
          <w:cnfStyle w:val="100000000000" w:firstRow="1" w:lastRow="0" w:firstColumn="0" w:lastColumn="0" w:oddVBand="0" w:evenVBand="0" w:oddHBand="0" w:evenHBand="0" w:firstRowFirstColumn="0" w:firstRowLastColumn="0" w:lastRowFirstColumn="0" w:lastRowLastColumn="0"/>
          <w:trHeight w:val="774"/>
          <w:jc w:val="center"/>
        </w:trPr>
        <w:tc>
          <w:tcPr>
            <w:cnfStyle w:val="001000000000" w:firstRow="0" w:lastRow="0" w:firstColumn="1" w:lastColumn="0" w:oddVBand="0" w:evenVBand="0" w:oddHBand="0" w:evenHBand="0" w:firstRowFirstColumn="0" w:firstRowLastColumn="0" w:lastRowFirstColumn="0" w:lastRowLastColumn="0"/>
            <w:tcW w:w="2516" w:type="dxa"/>
            <w:vAlign w:val="center"/>
          </w:tcPr>
          <w:p w14:paraId="39FB1B35" w14:textId="4484C8E8" w:rsidR="005E6E33" w:rsidRPr="005E6E33" w:rsidRDefault="005E6E33" w:rsidP="005E6E33">
            <w:pPr>
              <w:tabs>
                <w:tab w:val="left" w:pos="2928"/>
              </w:tabs>
              <w:jc w:val="center"/>
              <w:rPr>
                <w:rFonts w:ascii="Bookman Old Style" w:hAnsi="Bookman Old Style"/>
              </w:rPr>
            </w:pPr>
            <w:r w:rsidRPr="005E6E33">
              <w:rPr>
                <w:rFonts w:ascii="Bookman Old Style" w:hAnsi="Bookman Old Style"/>
              </w:rPr>
              <w:t>Feature</w:t>
            </w:r>
          </w:p>
        </w:tc>
        <w:tc>
          <w:tcPr>
            <w:tcW w:w="1468" w:type="dxa"/>
            <w:vAlign w:val="center"/>
          </w:tcPr>
          <w:p w14:paraId="714F9705" w14:textId="4631AA4C" w:rsidR="005E6E33" w:rsidRPr="005E6E33" w:rsidRDefault="005E6E33" w:rsidP="005E6E33">
            <w:pPr>
              <w:tabs>
                <w:tab w:val="left" w:pos="2928"/>
              </w:tabs>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sidRPr="005E6E33">
              <w:rPr>
                <w:rFonts w:ascii="Bookman Old Style" w:hAnsi="Bookman Old Style"/>
              </w:rPr>
              <w:t>NDMA SMS</w:t>
            </w:r>
          </w:p>
        </w:tc>
        <w:tc>
          <w:tcPr>
            <w:tcW w:w="1524" w:type="dxa"/>
            <w:vAlign w:val="center"/>
          </w:tcPr>
          <w:p w14:paraId="156181B2" w14:textId="6C80D3D0" w:rsidR="005E6E33" w:rsidRPr="005E6E33" w:rsidRDefault="005E6E33" w:rsidP="005E6E33">
            <w:pPr>
              <w:tabs>
                <w:tab w:val="left" w:pos="2928"/>
              </w:tabs>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sidRPr="005E6E33">
              <w:rPr>
                <w:rFonts w:ascii="Bookman Old Style" w:hAnsi="Bookman Old Style"/>
              </w:rPr>
              <w:t xml:space="preserve">FEMA </w:t>
            </w:r>
            <w:r w:rsidR="002D5D1C">
              <w:rPr>
                <w:rFonts w:ascii="Bookman Old Style" w:hAnsi="Bookman Old Style"/>
              </w:rPr>
              <w:br/>
            </w:r>
            <w:r w:rsidRPr="005E6E33">
              <w:rPr>
                <w:rFonts w:ascii="Bookman Old Style" w:hAnsi="Bookman Old Style"/>
              </w:rPr>
              <w:t>WEA</w:t>
            </w:r>
          </w:p>
        </w:tc>
        <w:tc>
          <w:tcPr>
            <w:tcW w:w="1628" w:type="dxa"/>
            <w:vAlign w:val="center"/>
          </w:tcPr>
          <w:p w14:paraId="58B94C46" w14:textId="3EE6DBAC" w:rsidR="005E6E33" w:rsidRPr="005E6E33" w:rsidRDefault="005E6E33" w:rsidP="005E6E33">
            <w:pPr>
              <w:tabs>
                <w:tab w:val="left" w:pos="2928"/>
              </w:tabs>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proofErr w:type="gramStart"/>
            <w:r w:rsidRPr="005E6E33">
              <w:rPr>
                <w:rFonts w:ascii="Bookman Old Style" w:hAnsi="Bookman Old Style"/>
              </w:rPr>
              <w:t>Social Media</w:t>
            </w:r>
            <w:proofErr w:type="gramEnd"/>
          </w:p>
        </w:tc>
        <w:tc>
          <w:tcPr>
            <w:tcW w:w="1998" w:type="dxa"/>
            <w:vAlign w:val="center"/>
          </w:tcPr>
          <w:p w14:paraId="57B005A0" w14:textId="2A262709" w:rsidR="005E6E33" w:rsidRPr="005E6E33" w:rsidRDefault="005E6E33" w:rsidP="005E6E33">
            <w:pPr>
              <w:tabs>
                <w:tab w:val="left" w:pos="2928"/>
              </w:tabs>
              <w:jc w:val="center"/>
              <w:cnfStyle w:val="100000000000" w:firstRow="1" w:lastRow="0" w:firstColumn="0" w:lastColumn="0" w:oddVBand="0" w:evenVBand="0" w:oddHBand="0" w:evenHBand="0" w:firstRowFirstColumn="0" w:firstRowLastColumn="0" w:lastRowFirstColumn="0" w:lastRowLastColumn="0"/>
              <w:rPr>
                <w:rFonts w:ascii="Bookman Old Style" w:hAnsi="Bookman Old Style"/>
              </w:rPr>
            </w:pPr>
            <w:r w:rsidRPr="005E6E33">
              <w:rPr>
                <w:rFonts w:ascii="Bookman Old Style" w:hAnsi="Bookman Old Style"/>
              </w:rPr>
              <w:t>Proposed System</w:t>
            </w:r>
          </w:p>
        </w:tc>
      </w:tr>
      <w:tr w:rsidR="005E6E33" w14:paraId="55F108C0" w14:textId="77777777" w:rsidTr="00F055E0">
        <w:trPr>
          <w:cnfStyle w:val="000000100000" w:firstRow="0" w:lastRow="0" w:firstColumn="0" w:lastColumn="0" w:oddVBand="0" w:evenVBand="0" w:oddHBand="1" w:evenHBand="0" w:firstRowFirstColumn="0" w:firstRowLastColumn="0" w:lastRowFirstColumn="0" w:lastRowLastColumn="0"/>
          <w:trHeight w:val="728"/>
          <w:jc w:val="center"/>
        </w:trPr>
        <w:tc>
          <w:tcPr>
            <w:cnfStyle w:val="001000000000" w:firstRow="0" w:lastRow="0" w:firstColumn="1" w:lastColumn="0" w:oddVBand="0" w:evenVBand="0" w:oddHBand="0" w:evenHBand="0" w:firstRowFirstColumn="0" w:firstRowLastColumn="0" w:lastRowFirstColumn="0" w:lastRowLastColumn="0"/>
            <w:tcW w:w="2516" w:type="dxa"/>
            <w:vAlign w:val="center"/>
          </w:tcPr>
          <w:p w14:paraId="6892A5A0" w14:textId="5CC1808D" w:rsidR="005E6E33" w:rsidRPr="002D5D1C" w:rsidRDefault="005E6E33" w:rsidP="00F055E0">
            <w:pPr>
              <w:tabs>
                <w:tab w:val="left" w:pos="2928"/>
              </w:tabs>
              <w:jc w:val="center"/>
              <w:rPr>
                <w:rFonts w:ascii="Bookman Old Style" w:hAnsi="Bookman Old Style"/>
              </w:rPr>
            </w:pPr>
            <w:r w:rsidRPr="002D5D1C">
              <w:rPr>
                <w:rFonts w:ascii="Bookman Old Style" w:hAnsi="Bookman Old Style"/>
              </w:rPr>
              <w:t>Geo-targeted alerts</w:t>
            </w:r>
          </w:p>
        </w:tc>
        <w:tc>
          <w:tcPr>
            <w:tcW w:w="1468" w:type="dxa"/>
            <w:vAlign w:val="center"/>
          </w:tcPr>
          <w:p w14:paraId="5CE8CA82" w14:textId="160F2DC7"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Partial</w:t>
            </w:r>
          </w:p>
        </w:tc>
        <w:tc>
          <w:tcPr>
            <w:tcW w:w="1524" w:type="dxa"/>
            <w:vAlign w:val="center"/>
          </w:tcPr>
          <w:p w14:paraId="69ADBFD4" w14:textId="4FB35930"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Yes</w:t>
            </w:r>
          </w:p>
        </w:tc>
        <w:tc>
          <w:tcPr>
            <w:tcW w:w="1628" w:type="dxa"/>
            <w:vAlign w:val="center"/>
          </w:tcPr>
          <w:p w14:paraId="49A529B7" w14:textId="54E06B94"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998" w:type="dxa"/>
            <w:vAlign w:val="center"/>
          </w:tcPr>
          <w:p w14:paraId="603E3B6D" w14:textId="6D8D6A39"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Yes</w:t>
            </w:r>
          </w:p>
        </w:tc>
      </w:tr>
      <w:tr w:rsidR="005E6E33" w14:paraId="4FD0E5ED" w14:textId="77777777" w:rsidTr="00F055E0">
        <w:trPr>
          <w:trHeight w:val="901"/>
          <w:jc w:val="center"/>
        </w:trPr>
        <w:tc>
          <w:tcPr>
            <w:cnfStyle w:val="001000000000" w:firstRow="0" w:lastRow="0" w:firstColumn="1" w:lastColumn="0" w:oddVBand="0" w:evenVBand="0" w:oddHBand="0" w:evenHBand="0" w:firstRowFirstColumn="0" w:firstRowLastColumn="0" w:lastRowFirstColumn="0" w:lastRowLastColumn="0"/>
            <w:tcW w:w="2516" w:type="dxa"/>
            <w:vAlign w:val="center"/>
          </w:tcPr>
          <w:p w14:paraId="1AE97FCD" w14:textId="4B7EEB78" w:rsidR="005E6E33" w:rsidRPr="002D5D1C" w:rsidRDefault="005E6E33" w:rsidP="00F055E0">
            <w:pPr>
              <w:tabs>
                <w:tab w:val="left" w:pos="2928"/>
              </w:tabs>
              <w:jc w:val="center"/>
              <w:rPr>
                <w:rFonts w:ascii="Bookman Old Style" w:hAnsi="Bookman Old Style"/>
              </w:rPr>
            </w:pPr>
            <w:r w:rsidRPr="002D5D1C">
              <w:rPr>
                <w:rFonts w:ascii="Bookman Old Style" w:hAnsi="Bookman Old Style"/>
              </w:rPr>
              <w:t>Multilingual AI translation</w:t>
            </w:r>
          </w:p>
        </w:tc>
        <w:tc>
          <w:tcPr>
            <w:tcW w:w="1468" w:type="dxa"/>
            <w:vAlign w:val="center"/>
          </w:tcPr>
          <w:p w14:paraId="0AD88AFB" w14:textId="437C5B17"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Limited</w:t>
            </w:r>
          </w:p>
        </w:tc>
        <w:tc>
          <w:tcPr>
            <w:tcW w:w="1524" w:type="dxa"/>
            <w:vAlign w:val="center"/>
          </w:tcPr>
          <w:p w14:paraId="305878CE" w14:textId="09DA99C9"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Limited</w:t>
            </w:r>
          </w:p>
        </w:tc>
        <w:tc>
          <w:tcPr>
            <w:tcW w:w="1628" w:type="dxa"/>
            <w:vAlign w:val="center"/>
          </w:tcPr>
          <w:p w14:paraId="4D1F4476" w14:textId="5C448A27"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998" w:type="dxa"/>
            <w:vAlign w:val="center"/>
          </w:tcPr>
          <w:p w14:paraId="4392439A" w14:textId="15267807"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Yes</w:t>
            </w:r>
          </w:p>
        </w:tc>
      </w:tr>
      <w:tr w:rsidR="005E6E33" w14:paraId="5AAE8D32" w14:textId="77777777" w:rsidTr="00F055E0">
        <w:trPr>
          <w:cnfStyle w:val="000000100000" w:firstRow="0" w:lastRow="0" w:firstColumn="0" w:lastColumn="0" w:oddVBand="0" w:evenVBand="0" w:oddHBand="1" w:evenHBand="0" w:firstRowFirstColumn="0" w:firstRowLastColumn="0" w:lastRowFirstColumn="0" w:lastRowLastColumn="0"/>
          <w:trHeight w:val="648"/>
          <w:jc w:val="center"/>
        </w:trPr>
        <w:tc>
          <w:tcPr>
            <w:cnfStyle w:val="001000000000" w:firstRow="0" w:lastRow="0" w:firstColumn="1" w:lastColumn="0" w:oddVBand="0" w:evenVBand="0" w:oddHBand="0" w:evenHBand="0" w:firstRowFirstColumn="0" w:firstRowLastColumn="0" w:lastRowFirstColumn="0" w:lastRowLastColumn="0"/>
            <w:tcW w:w="2516" w:type="dxa"/>
            <w:vAlign w:val="center"/>
          </w:tcPr>
          <w:p w14:paraId="1C11A5CB" w14:textId="4699E5FA" w:rsidR="005E6E33" w:rsidRPr="002D5D1C" w:rsidRDefault="005E6E33" w:rsidP="00F055E0">
            <w:pPr>
              <w:tabs>
                <w:tab w:val="left" w:pos="2928"/>
              </w:tabs>
              <w:jc w:val="center"/>
              <w:rPr>
                <w:rFonts w:ascii="Bookman Old Style" w:hAnsi="Bookman Old Style"/>
              </w:rPr>
            </w:pPr>
            <w:r w:rsidRPr="002D5D1C">
              <w:rPr>
                <w:rFonts w:ascii="Bookman Old Style" w:hAnsi="Bookman Old Style"/>
              </w:rPr>
              <w:t>Text-to-Speech support</w:t>
            </w:r>
          </w:p>
        </w:tc>
        <w:tc>
          <w:tcPr>
            <w:tcW w:w="1468" w:type="dxa"/>
            <w:vAlign w:val="center"/>
          </w:tcPr>
          <w:p w14:paraId="6C12176A" w14:textId="50238DAD"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524" w:type="dxa"/>
            <w:vAlign w:val="center"/>
          </w:tcPr>
          <w:p w14:paraId="0D191FF8" w14:textId="787EB5A8"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628" w:type="dxa"/>
            <w:vAlign w:val="center"/>
          </w:tcPr>
          <w:p w14:paraId="17EC1449" w14:textId="2E6ACC61"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998" w:type="dxa"/>
            <w:vAlign w:val="center"/>
          </w:tcPr>
          <w:p w14:paraId="56D2E7EB" w14:textId="3E8EC777"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Yes</w:t>
            </w:r>
          </w:p>
        </w:tc>
      </w:tr>
      <w:tr w:rsidR="005E6E33" w14:paraId="7473E672" w14:textId="77777777" w:rsidTr="00F055E0">
        <w:trPr>
          <w:trHeight w:val="774"/>
          <w:jc w:val="center"/>
        </w:trPr>
        <w:tc>
          <w:tcPr>
            <w:cnfStyle w:val="001000000000" w:firstRow="0" w:lastRow="0" w:firstColumn="1" w:lastColumn="0" w:oddVBand="0" w:evenVBand="0" w:oddHBand="0" w:evenHBand="0" w:firstRowFirstColumn="0" w:firstRowLastColumn="0" w:lastRowFirstColumn="0" w:lastRowLastColumn="0"/>
            <w:tcW w:w="2516" w:type="dxa"/>
            <w:vAlign w:val="center"/>
          </w:tcPr>
          <w:p w14:paraId="756BAB60" w14:textId="08A8CAEE" w:rsidR="005E6E33" w:rsidRPr="002D5D1C" w:rsidRDefault="005E6E33" w:rsidP="00F055E0">
            <w:pPr>
              <w:tabs>
                <w:tab w:val="left" w:pos="2928"/>
              </w:tabs>
              <w:jc w:val="center"/>
              <w:rPr>
                <w:rFonts w:ascii="Bookman Old Style" w:hAnsi="Bookman Old Style"/>
              </w:rPr>
            </w:pPr>
            <w:r w:rsidRPr="002D5D1C">
              <w:rPr>
                <w:rFonts w:ascii="Bookman Old Style" w:hAnsi="Bookman Old Style"/>
              </w:rPr>
              <w:t>Severity-level filtering</w:t>
            </w:r>
          </w:p>
        </w:tc>
        <w:tc>
          <w:tcPr>
            <w:tcW w:w="1468" w:type="dxa"/>
            <w:vAlign w:val="center"/>
          </w:tcPr>
          <w:p w14:paraId="3E9A7783" w14:textId="2D7C157F"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Basic</w:t>
            </w:r>
          </w:p>
        </w:tc>
        <w:tc>
          <w:tcPr>
            <w:tcW w:w="1524" w:type="dxa"/>
            <w:vAlign w:val="center"/>
          </w:tcPr>
          <w:p w14:paraId="46E7BD52" w14:textId="496C85DA"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Basic</w:t>
            </w:r>
          </w:p>
        </w:tc>
        <w:tc>
          <w:tcPr>
            <w:tcW w:w="1628" w:type="dxa"/>
            <w:vAlign w:val="center"/>
          </w:tcPr>
          <w:p w14:paraId="4356DFBC" w14:textId="28124E1A"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998" w:type="dxa"/>
            <w:vAlign w:val="center"/>
          </w:tcPr>
          <w:p w14:paraId="76D20D2E" w14:textId="5F283763"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Yes</w:t>
            </w:r>
          </w:p>
        </w:tc>
      </w:tr>
      <w:tr w:rsidR="005E6E33" w14:paraId="45B2B793" w14:textId="77777777" w:rsidTr="00F055E0">
        <w:trPr>
          <w:cnfStyle w:val="000000100000" w:firstRow="0" w:lastRow="0" w:firstColumn="0" w:lastColumn="0" w:oddVBand="0" w:evenVBand="0" w:oddHBand="1" w:evenHBand="0" w:firstRowFirstColumn="0" w:firstRowLastColumn="0" w:lastRowFirstColumn="0" w:lastRowLastColumn="0"/>
          <w:trHeight w:val="666"/>
          <w:jc w:val="center"/>
        </w:trPr>
        <w:tc>
          <w:tcPr>
            <w:cnfStyle w:val="001000000000" w:firstRow="0" w:lastRow="0" w:firstColumn="1" w:lastColumn="0" w:oddVBand="0" w:evenVBand="0" w:oddHBand="0" w:evenHBand="0" w:firstRowFirstColumn="0" w:firstRowLastColumn="0" w:lastRowFirstColumn="0" w:lastRowLastColumn="0"/>
            <w:tcW w:w="2516" w:type="dxa"/>
            <w:vAlign w:val="center"/>
          </w:tcPr>
          <w:p w14:paraId="1D5CAC4F" w14:textId="599A4108" w:rsidR="005E6E33" w:rsidRPr="002D5D1C" w:rsidRDefault="005E6E33" w:rsidP="00F055E0">
            <w:pPr>
              <w:tabs>
                <w:tab w:val="left" w:pos="2928"/>
              </w:tabs>
              <w:jc w:val="center"/>
              <w:rPr>
                <w:rFonts w:ascii="Bookman Old Style" w:hAnsi="Bookman Old Style"/>
              </w:rPr>
            </w:pPr>
            <w:r w:rsidRPr="002D5D1C">
              <w:rPr>
                <w:rFonts w:ascii="Bookman Old Style" w:hAnsi="Bookman Old Style"/>
              </w:rPr>
              <w:t>Feedback tracking</w:t>
            </w:r>
          </w:p>
        </w:tc>
        <w:tc>
          <w:tcPr>
            <w:tcW w:w="1468" w:type="dxa"/>
            <w:vAlign w:val="center"/>
          </w:tcPr>
          <w:p w14:paraId="074B2726" w14:textId="64627E65"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524" w:type="dxa"/>
            <w:vAlign w:val="center"/>
          </w:tcPr>
          <w:p w14:paraId="6929851D" w14:textId="063580F5"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628" w:type="dxa"/>
            <w:vAlign w:val="center"/>
          </w:tcPr>
          <w:p w14:paraId="78E49F18" w14:textId="0F033DD6"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998" w:type="dxa"/>
            <w:vAlign w:val="center"/>
          </w:tcPr>
          <w:p w14:paraId="75B85BB1" w14:textId="7206F6C5" w:rsidR="005E6E33"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F055E0">
              <w:rPr>
                <w:rFonts w:ascii="Bookman Old Style" w:hAnsi="Bookman Old Style"/>
              </w:rPr>
              <w:t>Yes</w:t>
            </w:r>
          </w:p>
        </w:tc>
      </w:tr>
      <w:tr w:rsidR="005E6E33" w14:paraId="18020E95" w14:textId="77777777" w:rsidTr="00F055E0">
        <w:trPr>
          <w:trHeight w:val="703"/>
          <w:jc w:val="center"/>
        </w:trPr>
        <w:tc>
          <w:tcPr>
            <w:cnfStyle w:val="001000000000" w:firstRow="0" w:lastRow="0" w:firstColumn="1" w:lastColumn="0" w:oddVBand="0" w:evenVBand="0" w:oddHBand="0" w:evenHBand="0" w:firstRowFirstColumn="0" w:firstRowLastColumn="0" w:lastRowFirstColumn="0" w:lastRowLastColumn="0"/>
            <w:tcW w:w="2516" w:type="dxa"/>
            <w:vAlign w:val="center"/>
          </w:tcPr>
          <w:p w14:paraId="49E6D58A" w14:textId="2067D429" w:rsidR="005E6E33" w:rsidRPr="002D5D1C" w:rsidRDefault="005E6E33" w:rsidP="00F055E0">
            <w:pPr>
              <w:tabs>
                <w:tab w:val="left" w:pos="2928"/>
              </w:tabs>
              <w:jc w:val="center"/>
              <w:rPr>
                <w:rFonts w:ascii="Bookman Old Style" w:hAnsi="Bookman Old Style"/>
              </w:rPr>
            </w:pPr>
            <w:r w:rsidRPr="002D5D1C">
              <w:rPr>
                <w:rFonts w:ascii="Bookman Old Style" w:hAnsi="Bookman Old Style"/>
              </w:rPr>
              <w:t>Structured metadata</w:t>
            </w:r>
          </w:p>
        </w:tc>
        <w:tc>
          <w:tcPr>
            <w:tcW w:w="1468" w:type="dxa"/>
            <w:vAlign w:val="center"/>
          </w:tcPr>
          <w:p w14:paraId="379ADA83" w14:textId="773B8A07"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Limited</w:t>
            </w:r>
          </w:p>
        </w:tc>
        <w:tc>
          <w:tcPr>
            <w:tcW w:w="1524" w:type="dxa"/>
            <w:vAlign w:val="center"/>
          </w:tcPr>
          <w:p w14:paraId="4ABDA317" w14:textId="2507EBE4"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Limited</w:t>
            </w:r>
          </w:p>
        </w:tc>
        <w:tc>
          <w:tcPr>
            <w:tcW w:w="1628" w:type="dxa"/>
            <w:vAlign w:val="center"/>
          </w:tcPr>
          <w:p w14:paraId="6826787A" w14:textId="3710F51E"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No</w:t>
            </w:r>
          </w:p>
        </w:tc>
        <w:tc>
          <w:tcPr>
            <w:tcW w:w="1998" w:type="dxa"/>
            <w:vAlign w:val="center"/>
          </w:tcPr>
          <w:p w14:paraId="26E8D955" w14:textId="30C82E53" w:rsidR="005E6E33" w:rsidRDefault="00F055E0" w:rsidP="00F055E0">
            <w:pPr>
              <w:tabs>
                <w:tab w:val="left" w:pos="2928"/>
              </w:tabs>
              <w:jc w:val="center"/>
              <w:cnfStyle w:val="000000000000" w:firstRow="0" w:lastRow="0" w:firstColumn="0" w:lastColumn="0" w:oddVBand="0" w:evenVBand="0" w:oddHBand="0" w:evenHBand="0" w:firstRowFirstColumn="0" w:firstRowLastColumn="0" w:lastRowFirstColumn="0" w:lastRowLastColumn="0"/>
              <w:rPr>
                <w:rFonts w:ascii="Bookman Old Style" w:hAnsi="Bookman Old Style"/>
              </w:rPr>
            </w:pPr>
            <w:r w:rsidRPr="00F055E0">
              <w:rPr>
                <w:rFonts w:ascii="Bookman Old Style" w:hAnsi="Bookman Old Style"/>
              </w:rPr>
              <w:t>Yes</w:t>
            </w:r>
          </w:p>
        </w:tc>
      </w:tr>
      <w:tr w:rsidR="005E6E33" w14:paraId="679738B0" w14:textId="77777777" w:rsidTr="00F055E0">
        <w:trPr>
          <w:cnfStyle w:val="000000100000" w:firstRow="0" w:lastRow="0" w:firstColumn="0" w:lastColumn="0" w:oddVBand="0" w:evenVBand="0" w:oddHBand="1" w:evenHBand="0" w:firstRowFirstColumn="0" w:firstRowLastColumn="0" w:lastRowFirstColumn="0" w:lastRowLastColumn="0"/>
          <w:trHeight w:val="739"/>
          <w:jc w:val="center"/>
        </w:trPr>
        <w:tc>
          <w:tcPr>
            <w:cnfStyle w:val="001000000000" w:firstRow="0" w:lastRow="0" w:firstColumn="1" w:lastColumn="0" w:oddVBand="0" w:evenVBand="0" w:oddHBand="0" w:evenHBand="0" w:firstRowFirstColumn="0" w:firstRowLastColumn="0" w:lastRowFirstColumn="0" w:lastRowLastColumn="0"/>
            <w:tcW w:w="2516" w:type="dxa"/>
            <w:vAlign w:val="center"/>
          </w:tcPr>
          <w:p w14:paraId="21F63AC1" w14:textId="50AA307F" w:rsidR="005E6E33" w:rsidRPr="002D5D1C" w:rsidRDefault="005E6E33" w:rsidP="00F055E0">
            <w:pPr>
              <w:tabs>
                <w:tab w:val="left" w:pos="2928"/>
              </w:tabs>
              <w:jc w:val="center"/>
              <w:rPr>
                <w:rFonts w:ascii="Bookman Old Style" w:hAnsi="Bookman Old Style"/>
              </w:rPr>
            </w:pPr>
            <w:r w:rsidRPr="002D5D1C">
              <w:rPr>
                <w:rFonts w:ascii="Bookman Old Style" w:hAnsi="Bookman Old Style"/>
              </w:rPr>
              <w:t>Misinformation control</w:t>
            </w:r>
          </w:p>
        </w:tc>
        <w:tc>
          <w:tcPr>
            <w:tcW w:w="1468" w:type="dxa"/>
            <w:vAlign w:val="center"/>
          </w:tcPr>
          <w:p w14:paraId="7E38C2AB" w14:textId="299F6253" w:rsidR="005E6E33" w:rsidRPr="002D5D1C"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2D5D1C">
              <w:rPr>
                <w:rFonts w:ascii="Bookman Old Style" w:hAnsi="Bookman Old Style"/>
              </w:rPr>
              <w:t>Moderate</w:t>
            </w:r>
          </w:p>
        </w:tc>
        <w:tc>
          <w:tcPr>
            <w:tcW w:w="1524" w:type="dxa"/>
            <w:vAlign w:val="center"/>
          </w:tcPr>
          <w:p w14:paraId="6291220A" w14:textId="51EFF822" w:rsidR="005E6E33" w:rsidRPr="002D5D1C"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2D5D1C">
              <w:rPr>
                <w:rFonts w:ascii="Bookman Old Style" w:hAnsi="Bookman Old Style"/>
              </w:rPr>
              <w:t>Strong</w:t>
            </w:r>
          </w:p>
        </w:tc>
        <w:tc>
          <w:tcPr>
            <w:tcW w:w="1628" w:type="dxa"/>
            <w:vAlign w:val="center"/>
          </w:tcPr>
          <w:p w14:paraId="74D3C6A7" w14:textId="7E173A56" w:rsidR="005E6E33" w:rsidRPr="002D5D1C" w:rsidRDefault="00F055E0" w:rsidP="00F055E0">
            <w:pPr>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2D5D1C">
              <w:rPr>
                <w:rFonts w:ascii="Bookman Old Style" w:hAnsi="Bookman Old Style"/>
              </w:rPr>
              <w:t>Weak</w:t>
            </w:r>
          </w:p>
        </w:tc>
        <w:tc>
          <w:tcPr>
            <w:tcW w:w="1998" w:type="dxa"/>
            <w:vAlign w:val="center"/>
          </w:tcPr>
          <w:p w14:paraId="7B78D985" w14:textId="2C5BBF23" w:rsidR="005E6E33" w:rsidRPr="002D5D1C" w:rsidRDefault="00F055E0" w:rsidP="00F055E0">
            <w:pPr>
              <w:keepNext/>
              <w:tabs>
                <w:tab w:val="left" w:pos="2928"/>
              </w:tabs>
              <w:jc w:val="center"/>
              <w:cnfStyle w:val="000000100000" w:firstRow="0" w:lastRow="0" w:firstColumn="0" w:lastColumn="0" w:oddVBand="0" w:evenVBand="0" w:oddHBand="1" w:evenHBand="0" w:firstRowFirstColumn="0" w:firstRowLastColumn="0" w:lastRowFirstColumn="0" w:lastRowLastColumn="0"/>
              <w:rPr>
                <w:rFonts w:ascii="Bookman Old Style" w:hAnsi="Bookman Old Style"/>
              </w:rPr>
            </w:pPr>
            <w:r w:rsidRPr="002D5D1C">
              <w:rPr>
                <w:rFonts w:ascii="Bookman Old Style" w:hAnsi="Bookman Old Style"/>
              </w:rPr>
              <w:t>Strong</w:t>
            </w:r>
          </w:p>
        </w:tc>
      </w:tr>
    </w:tbl>
    <w:p w14:paraId="5355702A" w14:textId="10212921" w:rsidR="00D556E7" w:rsidRPr="00F055E0" w:rsidRDefault="00F055E0" w:rsidP="00F055E0">
      <w:pPr>
        <w:pStyle w:val="Caption"/>
        <w:jc w:val="center"/>
        <w:rPr>
          <w:rFonts w:ascii="Bookman Old Style" w:hAnsi="Bookman Old Style"/>
          <w:i/>
          <w:iCs/>
        </w:rPr>
      </w:pPr>
      <w:r>
        <w:rPr>
          <w:i/>
          <w:iCs/>
        </w:rPr>
        <w:br/>
      </w:r>
      <w:r w:rsidRPr="00F055E0">
        <w:rPr>
          <w:i/>
          <w:iCs/>
          <w:color w:val="A6A6A6" w:themeColor="background1" w:themeShade="A6"/>
        </w:rPr>
        <w:t>Figure 1</w:t>
      </w:r>
    </w:p>
    <w:p w14:paraId="54032E7F" w14:textId="77777777" w:rsidR="00F055E0" w:rsidRDefault="00F055E0" w:rsidP="002F4B7D">
      <w:pPr>
        <w:tabs>
          <w:tab w:val="left" w:pos="2928"/>
        </w:tabs>
        <w:rPr>
          <w:rFonts w:ascii="Bookman Old Style" w:hAnsi="Bookman Old Style"/>
        </w:rPr>
        <w:sectPr w:rsidR="00F055E0" w:rsidSect="00D556E7">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pPr>
    </w:p>
    <w:p w14:paraId="5AC0AC52" w14:textId="31D92834" w:rsidR="00D556E7" w:rsidRDefault="00F055E0" w:rsidP="002F4B7D">
      <w:pPr>
        <w:tabs>
          <w:tab w:val="left" w:pos="2928"/>
        </w:tabs>
        <w:rPr>
          <w:rFonts w:ascii="Bookman Old Style" w:hAnsi="Bookman Old Style"/>
        </w:rPr>
      </w:pPr>
      <w:r w:rsidRPr="00F055E0">
        <w:rPr>
          <w:rFonts w:ascii="Bookman Old Style" w:hAnsi="Bookman Old Style"/>
        </w:rPr>
        <w:lastRenderedPageBreak/>
        <w:t>From the comparison, it is evident that existing systems focus primarily on message broadcasting rather than accessibility, multilingual adaptability, and comprehension analytics.</w:t>
      </w:r>
    </w:p>
    <w:p w14:paraId="46E64CAC" w14:textId="38F83D90" w:rsidR="00F055E0" w:rsidRDefault="00F055E0" w:rsidP="00F055E0">
      <w:pPr>
        <w:tabs>
          <w:tab w:val="left" w:pos="2928"/>
        </w:tabs>
        <w:rPr>
          <w:rFonts w:ascii="Bookman Old Style" w:hAnsi="Bookman Old Style"/>
        </w:rPr>
      </w:pPr>
      <w:r w:rsidRPr="00F055E0">
        <w:rPr>
          <w:rFonts w:ascii="Bookman Old Style" w:hAnsi="Bookman Old Style"/>
          <w:i/>
          <w:iCs/>
        </w:rPr>
        <w:t>Figure</w:t>
      </w:r>
      <w:r w:rsidR="009C70A3">
        <w:rPr>
          <w:rFonts w:ascii="Bookman Old Style" w:hAnsi="Bookman Old Style"/>
          <w:i/>
          <w:iCs/>
        </w:rPr>
        <w:t>-</w:t>
      </w:r>
      <w:r w:rsidRPr="00F055E0">
        <w:rPr>
          <w:rFonts w:ascii="Bookman Old Style" w:hAnsi="Bookman Old Style"/>
          <w:i/>
          <w:iCs/>
        </w:rPr>
        <w:t>1</w:t>
      </w:r>
      <w:r w:rsidRPr="00F055E0">
        <w:rPr>
          <w:rFonts w:ascii="Bookman Old Style" w:hAnsi="Bookman Old Style"/>
        </w:rPr>
        <w:t xml:space="preserve"> presents a comparative analysis of major existing disaster communication systems, including NDMA SMS alerts (India), FEMA Wireless Emergency Alerts (USA), and social media platforms, alongside the proposed system. </w:t>
      </w:r>
    </w:p>
    <w:p w14:paraId="66CD29A9" w14:textId="5CB5D62C" w:rsidR="00F055E0" w:rsidRDefault="00F055E0" w:rsidP="00F055E0">
      <w:pPr>
        <w:tabs>
          <w:tab w:val="left" w:pos="2928"/>
        </w:tabs>
        <w:rPr>
          <w:rFonts w:ascii="Bookman Old Style" w:hAnsi="Bookman Old Style"/>
        </w:rPr>
      </w:pPr>
      <w:r w:rsidRPr="00F055E0">
        <w:rPr>
          <w:rFonts w:ascii="Bookman Old Style" w:hAnsi="Bookman Old Style"/>
        </w:rPr>
        <w:t xml:space="preserve">The comparison highlights key functional parameters such as geo-targeting, multilingual support, accessibility features, metadata structuring, misinformation control, and feedback tracking. While FEMA’s WEA provides strong geo-targeting and institutional control, it lacks multilingual AI translation, accessibility features like Text-to-Speech, and public comprehension measurement. </w:t>
      </w:r>
    </w:p>
    <w:p w14:paraId="17A3F4EA" w14:textId="77777777" w:rsidR="009C70A3" w:rsidRDefault="00F055E0" w:rsidP="00F055E0">
      <w:pPr>
        <w:tabs>
          <w:tab w:val="left" w:pos="2928"/>
        </w:tabs>
        <w:rPr>
          <w:rFonts w:ascii="Bookman Old Style" w:hAnsi="Bookman Old Style"/>
        </w:rPr>
      </w:pPr>
      <w:r w:rsidRPr="00F055E0">
        <w:rPr>
          <w:rFonts w:ascii="Bookman Old Style" w:hAnsi="Bookman Old Style"/>
        </w:rPr>
        <w:t xml:space="preserve">Similarly, NDMA SMS alerts provide basic dissemination but offer limited filtering and no structured feedback mechanisms. </w:t>
      </w:r>
    </w:p>
    <w:p w14:paraId="1C2E3A05" w14:textId="119B8E04" w:rsidR="00F055E0" w:rsidRPr="00F055E0" w:rsidRDefault="00F055E0" w:rsidP="00F055E0">
      <w:pPr>
        <w:tabs>
          <w:tab w:val="left" w:pos="2928"/>
        </w:tabs>
        <w:rPr>
          <w:rFonts w:ascii="Bookman Old Style" w:hAnsi="Bookman Old Style"/>
        </w:rPr>
      </w:pPr>
      <w:r w:rsidRPr="00F055E0">
        <w:rPr>
          <w:rFonts w:ascii="Bookman Old Style" w:hAnsi="Bookman Old Style"/>
        </w:rPr>
        <w:t>Social media platforms enable rapid information spread; however, they lack official verification controls, structured metadata, and misinformation management, which can lead to confusion during emergencies.</w:t>
      </w:r>
    </w:p>
    <w:p w14:paraId="56ACF4EF" w14:textId="77777777" w:rsidR="00F055E0" w:rsidRDefault="00F055E0" w:rsidP="00F055E0">
      <w:pPr>
        <w:tabs>
          <w:tab w:val="left" w:pos="2928"/>
        </w:tabs>
        <w:rPr>
          <w:rFonts w:ascii="Bookman Old Style" w:hAnsi="Bookman Old Style"/>
        </w:rPr>
      </w:pPr>
    </w:p>
    <w:p w14:paraId="753D55C4" w14:textId="77777777" w:rsidR="00F055E0" w:rsidRDefault="00F055E0" w:rsidP="00F055E0">
      <w:pPr>
        <w:tabs>
          <w:tab w:val="left" w:pos="2928"/>
        </w:tabs>
        <w:rPr>
          <w:rFonts w:ascii="Bookman Old Style" w:hAnsi="Bookman Old Style"/>
        </w:rPr>
      </w:pPr>
    </w:p>
    <w:p w14:paraId="3BA0B580" w14:textId="77777777" w:rsidR="009C70A3" w:rsidRDefault="00F055E0" w:rsidP="00F055E0">
      <w:pPr>
        <w:tabs>
          <w:tab w:val="left" w:pos="2928"/>
        </w:tabs>
        <w:rPr>
          <w:rFonts w:ascii="Bookman Old Style" w:hAnsi="Bookman Old Style"/>
        </w:rPr>
      </w:pPr>
      <w:r w:rsidRPr="00F055E0">
        <w:rPr>
          <w:rFonts w:ascii="Bookman Old Style" w:hAnsi="Bookman Old Style"/>
        </w:rPr>
        <w:t xml:space="preserve">In contrast, the proposed system integrates geo-targeted filtering, AI-based multilingual translation, Text-to-Speech accessibility, structured metadata tagging, and a feedback-based awareness tracking mechanism. </w:t>
      </w:r>
    </w:p>
    <w:p w14:paraId="735DBA0C" w14:textId="07F77719" w:rsidR="00D556E7" w:rsidRDefault="00F055E0" w:rsidP="00F055E0">
      <w:pPr>
        <w:tabs>
          <w:tab w:val="left" w:pos="2928"/>
        </w:tabs>
        <w:rPr>
          <w:rFonts w:ascii="Bookman Old Style" w:hAnsi="Bookman Old Style"/>
        </w:rPr>
      </w:pPr>
      <w:r w:rsidRPr="00F055E0">
        <w:rPr>
          <w:rFonts w:ascii="Bookman Old Style" w:hAnsi="Bookman Old Style"/>
        </w:rPr>
        <w:t>This comparison demonstrates that existing systems primarily emphasize message broadcasting, whereas the proposed platform extends beyond dissemination to focus on accessibility, clarity, structured communication, and measurable public understanding.</w:t>
      </w:r>
    </w:p>
    <w:p w14:paraId="5F01F8A9" w14:textId="77777777" w:rsidR="00F055E0" w:rsidRDefault="00F055E0" w:rsidP="00F055E0">
      <w:pPr>
        <w:tabs>
          <w:tab w:val="left" w:pos="2928"/>
        </w:tabs>
        <w:rPr>
          <w:rFonts w:ascii="Bookman Old Style" w:hAnsi="Bookman Old Style"/>
        </w:rPr>
      </w:pPr>
    </w:p>
    <w:p w14:paraId="00B649E6" w14:textId="7D7E679D" w:rsidR="00F055E0" w:rsidRPr="00D556E7" w:rsidRDefault="00F055E0" w:rsidP="00F055E0">
      <w:pPr>
        <w:pStyle w:val="ListParagraph"/>
        <w:numPr>
          <w:ilvl w:val="0"/>
          <w:numId w:val="13"/>
        </w:numPr>
        <w:rPr>
          <w:rFonts w:ascii="Bookman Old Style" w:hAnsi="Bookman Old Style"/>
          <w:b/>
          <w:bCs/>
          <w:sz w:val="24"/>
          <w:szCs w:val="24"/>
        </w:rPr>
      </w:pPr>
      <w:r w:rsidRPr="00F055E0">
        <w:rPr>
          <w:rFonts w:ascii="Bookman Old Style" w:hAnsi="Bookman Old Style"/>
          <w:b/>
          <w:bCs/>
          <w:sz w:val="24"/>
          <w:szCs w:val="24"/>
        </w:rPr>
        <w:t>Identified Research Gap</w:t>
      </w:r>
    </w:p>
    <w:p w14:paraId="0507D2D1" w14:textId="494FC327" w:rsidR="00F055E0" w:rsidRPr="00F055E0" w:rsidRDefault="00F055E0" w:rsidP="00F055E0">
      <w:pPr>
        <w:tabs>
          <w:tab w:val="left" w:pos="2928"/>
        </w:tabs>
        <w:rPr>
          <w:rFonts w:ascii="Bookman Old Style" w:hAnsi="Bookman Old Style"/>
        </w:rPr>
      </w:pPr>
      <w:r w:rsidRPr="00F055E0">
        <w:rPr>
          <w:rFonts w:ascii="Bookman Old Style" w:hAnsi="Bookman Old Style"/>
        </w:rPr>
        <w:t>The literature indicates that:</w:t>
      </w:r>
    </w:p>
    <w:p w14:paraId="182F570C" w14:textId="227D4E50" w:rsidR="00F055E0" w:rsidRPr="00F055E0" w:rsidRDefault="00F055E0" w:rsidP="00F055E0">
      <w:pPr>
        <w:pStyle w:val="ListParagraph"/>
        <w:numPr>
          <w:ilvl w:val="0"/>
          <w:numId w:val="14"/>
        </w:numPr>
        <w:tabs>
          <w:tab w:val="left" w:pos="2928"/>
        </w:tabs>
        <w:rPr>
          <w:rFonts w:ascii="Bookman Old Style" w:hAnsi="Bookman Old Style"/>
        </w:rPr>
      </w:pPr>
      <w:r w:rsidRPr="00F055E0">
        <w:rPr>
          <w:rFonts w:ascii="Bookman Old Style" w:hAnsi="Bookman Old Style"/>
        </w:rPr>
        <w:t>Early warning systems prioritize</w:t>
      </w:r>
      <w:r w:rsidR="009C70A3">
        <w:rPr>
          <w:rFonts w:ascii="Bookman Old Style" w:hAnsi="Bookman Old Style"/>
        </w:rPr>
        <w:t xml:space="preserve"> </w:t>
      </w:r>
      <w:r w:rsidRPr="00F055E0">
        <w:rPr>
          <w:rFonts w:ascii="Bookman Old Style" w:hAnsi="Bookman Old Style"/>
        </w:rPr>
        <w:t>speed over inclusivity.</w:t>
      </w:r>
    </w:p>
    <w:p w14:paraId="6B2B26E5" w14:textId="2F91FB52" w:rsidR="00F055E0" w:rsidRPr="00F055E0" w:rsidRDefault="00F055E0" w:rsidP="00F055E0">
      <w:pPr>
        <w:pStyle w:val="ListParagraph"/>
        <w:numPr>
          <w:ilvl w:val="0"/>
          <w:numId w:val="14"/>
        </w:numPr>
        <w:tabs>
          <w:tab w:val="left" w:pos="2928"/>
        </w:tabs>
        <w:rPr>
          <w:rFonts w:ascii="Bookman Old Style" w:hAnsi="Bookman Old Style"/>
        </w:rPr>
      </w:pPr>
      <w:r w:rsidRPr="00F055E0">
        <w:rPr>
          <w:rFonts w:ascii="Bookman Old Style" w:hAnsi="Bookman Old Style"/>
        </w:rPr>
        <w:t>Multilingual disaster communication remains limited.</w:t>
      </w:r>
    </w:p>
    <w:p w14:paraId="71802097" w14:textId="127FC682" w:rsidR="00F055E0" w:rsidRPr="00F055E0" w:rsidRDefault="00F055E0" w:rsidP="00F055E0">
      <w:pPr>
        <w:pStyle w:val="ListParagraph"/>
        <w:numPr>
          <w:ilvl w:val="0"/>
          <w:numId w:val="14"/>
        </w:numPr>
        <w:tabs>
          <w:tab w:val="left" w:pos="2928"/>
        </w:tabs>
        <w:rPr>
          <w:rFonts w:ascii="Bookman Old Style" w:hAnsi="Bookman Old Style"/>
        </w:rPr>
      </w:pPr>
      <w:r w:rsidRPr="00F055E0">
        <w:rPr>
          <w:rFonts w:ascii="Bookman Old Style" w:hAnsi="Bookman Old Style"/>
        </w:rPr>
        <w:t>Accessibility features such as Text-to-Speech are rarely integrated.</w:t>
      </w:r>
    </w:p>
    <w:p w14:paraId="545F425F" w14:textId="55859086" w:rsidR="00F055E0" w:rsidRPr="00F055E0" w:rsidRDefault="00F055E0" w:rsidP="00F055E0">
      <w:pPr>
        <w:pStyle w:val="ListParagraph"/>
        <w:numPr>
          <w:ilvl w:val="0"/>
          <w:numId w:val="14"/>
        </w:numPr>
        <w:tabs>
          <w:tab w:val="left" w:pos="2928"/>
        </w:tabs>
        <w:rPr>
          <w:rFonts w:ascii="Bookman Old Style" w:hAnsi="Bookman Old Style"/>
        </w:rPr>
      </w:pPr>
      <w:r w:rsidRPr="00F055E0">
        <w:rPr>
          <w:rFonts w:ascii="Bookman Old Style" w:hAnsi="Bookman Old Style"/>
        </w:rPr>
        <w:t>No mainstream system includes measurable comprehension feedback.</w:t>
      </w:r>
    </w:p>
    <w:p w14:paraId="6E59F497" w14:textId="38A138FE" w:rsidR="009C70A3" w:rsidRDefault="0097735B" w:rsidP="00F055E0">
      <w:pPr>
        <w:tabs>
          <w:tab w:val="left" w:pos="2928"/>
        </w:tabs>
        <w:rPr>
          <w:rFonts w:ascii="Bookman Old Style" w:hAnsi="Bookman Old Style"/>
        </w:rPr>
      </w:pPr>
      <w:r w:rsidRPr="0097735B">
        <w:rPr>
          <w:rFonts w:ascii="Bookman Old Style" w:hAnsi="Bookman Old Style"/>
        </w:rPr>
        <w:t>There is a clear need for an accessibility-focused disaster alert platform that enhances existing warning systems through AI-powered multilingual translation, simplified summaries, text-to-speech support, and measurable public comprehension tracking.</w:t>
      </w:r>
    </w:p>
    <w:p w14:paraId="55E85907" w14:textId="77777777" w:rsidR="009C70A3" w:rsidRDefault="009C70A3" w:rsidP="00F055E0">
      <w:pPr>
        <w:tabs>
          <w:tab w:val="left" w:pos="2928"/>
        </w:tabs>
        <w:rPr>
          <w:rFonts w:ascii="Bookman Old Style" w:hAnsi="Bookman Old Style"/>
        </w:rPr>
      </w:pPr>
    </w:p>
    <w:p w14:paraId="45670FD7" w14:textId="77777777" w:rsidR="009C70A3" w:rsidRPr="009C70A3" w:rsidRDefault="009C70A3" w:rsidP="009C70A3">
      <w:pPr>
        <w:tabs>
          <w:tab w:val="left" w:pos="2928"/>
        </w:tabs>
        <w:rPr>
          <w:rFonts w:ascii="Bookman Old Style" w:hAnsi="Bookman Old Style"/>
          <w:b/>
          <w:bCs/>
          <w:sz w:val="24"/>
          <w:szCs w:val="24"/>
        </w:rPr>
        <w:sectPr w:rsidR="009C70A3" w:rsidRPr="009C70A3" w:rsidSect="00F055E0">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num="2" w:space="708"/>
          <w:docGrid w:linePitch="360"/>
        </w:sectPr>
      </w:pPr>
    </w:p>
    <w:p w14:paraId="0F36308E" w14:textId="77777777" w:rsidR="009C70A3" w:rsidRPr="009C70A3" w:rsidRDefault="009C70A3" w:rsidP="009C70A3">
      <w:pPr>
        <w:pStyle w:val="ListParagraph"/>
        <w:numPr>
          <w:ilvl w:val="0"/>
          <w:numId w:val="13"/>
        </w:numPr>
        <w:tabs>
          <w:tab w:val="left" w:pos="2928"/>
        </w:tabs>
      </w:pPr>
      <w:r w:rsidRPr="009C70A3">
        <w:rPr>
          <w:rFonts w:ascii="Bookman Old Style" w:hAnsi="Bookman Old Style"/>
          <w:b/>
          <w:bCs/>
          <w:sz w:val="24"/>
          <w:szCs w:val="24"/>
        </w:rPr>
        <w:lastRenderedPageBreak/>
        <w:t>Conclusion</w:t>
      </w:r>
    </w:p>
    <w:p w14:paraId="2CF17B06" w14:textId="77777777" w:rsidR="009C70A3" w:rsidRPr="009C70A3" w:rsidRDefault="009C70A3" w:rsidP="009C70A3">
      <w:pPr>
        <w:tabs>
          <w:tab w:val="left" w:pos="2928"/>
        </w:tabs>
        <w:rPr>
          <w:rFonts w:ascii="Bookman Old Style" w:hAnsi="Bookman Old Style"/>
        </w:rPr>
      </w:pPr>
      <w:r w:rsidRPr="009C70A3">
        <w:rPr>
          <w:rFonts w:ascii="Bookman Old Style" w:hAnsi="Bookman Old Style"/>
        </w:rPr>
        <w:t>The reviewed literature highlights that effective disaster communication requires clarity, inclusivity, accessibility, and measurable public engagement. Existing systems such as NDMA SMS alerts, FEMA WEA, and social media-based updates provide rapid dissemination but lack structured multilingual support, accessibility-driven audio features, and comprehension feedback mechanisms.</w:t>
      </w:r>
    </w:p>
    <w:p w14:paraId="47095AF0" w14:textId="5031ADE7" w:rsidR="009C70A3" w:rsidRPr="00DE455E" w:rsidRDefault="009C70A3" w:rsidP="009C70A3">
      <w:pPr>
        <w:tabs>
          <w:tab w:val="left" w:pos="2928"/>
        </w:tabs>
      </w:pPr>
      <w:r>
        <w:rPr>
          <w:rFonts w:ascii="Bookman Old Style" w:hAnsi="Bookman Old Style"/>
        </w:rPr>
        <w:br w:type="column"/>
      </w:r>
      <w:r w:rsidRPr="009C70A3">
        <w:rPr>
          <w:rFonts w:ascii="Bookman Old Style" w:hAnsi="Bookman Old Style"/>
        </w:rPr>
        <w:t>Therefore, developing a location-based, multilingual disaster alert platform with AI-powered translation, Text-to-Speech functionality, and awareness tracking directly addresses the identified research gaps. Such a system aligns with SDG 11 (Sustainable Cities and Communities), SDG 13 (Climate Action), and SDG 16 (Strong Institutions), contributing to resilient and inclusive disaster response infrastructure.</w:t>
      </w:r>
    </w:p>
    <w:p w14:paraId="11E85C22" w14:textId="77777777" w:rsidR="009C70A3" w:rsidRDefault="009C70A3" w:rsidP="009C70A3">
      <w:pPr>
        <w:tabs>
          <w:tab w:val="left" w:pos="2928"/>
        </w:tabs>
        <w:rPr>
          <w:rFonts w:ascii="Bookman Old Style" w:hAnsi="Bookman Old Style"/>
          <w:b/>
          <w:bCs/>
          <w:sz w:val="24"/>
          <w:szCs w:val="24"/>
        </w:rPr>
        <w:sectPr w:rsidR="009C70A3" w:rsidSect="009C70A3">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num="2" w:space="708"/>
          <w:docGrid w:linePitch="360"/>
        </w:sectPr>
      </w:pPr>
    </w:p>
    <w:p w14:paraId="0C75BAB8" w14:textId="45EC3635" w:rsidR="009C70A3" w:rsidRPr="009C70A3" w:rsidRDefault="009C70A3" w:rsidP="009C70A3">
      <w:pPr>
        <w:pStyle w:val="ListParagraph"/>
        <w:numPr>
          <w:ilvl w:val="0"/>
          <w:numId w:val="13"/>
        </w:numPr>
        <w:tabs>
          <w:tab w:val="left" w:pos="2928"/>
        </w:tabs>
      </w:pPr>
      <w:r w:rsidRPr="009C70A3">
        <w:rPr>
          <w:rFonts w:ascii="Bookman Old Style" w:hAnsi="Bookman Old Style"/>
          <w:b/>
          <w:bCs/>
          <w:sz w:val="24"/>
          <w:szCs w:val="24"/>
        </w:rPr>
        <w:t>References</w:t>
      </w:r>
    </w:p>
    <w:p w14:paraId="1A2345C4" w14:textId="77777777" w:rsidR="009C70A3" w:rsidRDefault="009C70A3" w:rsidP="009C70A3">
      <w:pPr>
        <w:tabs>
          <w:tab w:val="left" w:pos="2928"/>
        </w:tabs>
        <w:sectPr w:rsidR="009C70A3" w:rsidSect="009C70A3">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pPr>
    </w:p>
    <w:p w14:paraId="786955AF" w14:textId="620DEF1E" w:rsidR="009C70A3" w:rsidRPr="00F743C6" w:rsidRDefault="009C70A3" w:rsidP="00F743C6">
      <w:pPr>
        <w:pStyle w:val="ListParagraph"/>
        <w:numPr>
          <w:ilvl w:val="0"/>
          <w:numId w:val="15"/>
        </w:numPr>
        <w:tabs>
          <w:tab w:val="left" w:pos="2928"/>
        </w:tabs>
        <w:spacing w:after="0"/>
        <w:rPr>
          <w:rFonts w:ascii="Bookman Old Style" w:hAnsi="Bookman Old Style"/>
          <w:i/>
          <w:iCs/>
          <w:color w:val="31479E" w:themeColor="accent1" w:themeShade="BF"/>
          <w:sz w:val="18"/>
          <w:szCs w:val="18"/>
        </w:rPr>
      </w:pPr>
      <w:r w:rsidRPr="00F743C6">
        <w:rPr>
          <w:rFonts w:ascii="Bookman Old Style" w:hAnsi="Bookman Old Style"/>
          <w:i/>
          <w:iCs/>
          <w:sz w:val="18"/>
          <w:szCs w:val="18"/>
        </w:rPr>
        <w:t>Mileti, D. S., &amp; Sorensen, J. H. (1990). Communication of Emergency Public Warnings: A Social Science Perspective and State-of-the-Art Assessment. Oak Ridge National Laboratory.</w:t>
      </w:r>
      <w:r w:rsidRPr="00F743C6">
        <w:rPr>
          <w:rFonts w:ascii="Bookman Old Style" w:hAnsi="Bookman Old Style"/>
          <w:i/>
          <w:iCs/>
          <w:sz w:val="18"/>
          <w:szCs w:val="18"/>
        </w:rPr>
        <w:br/>
        <w:t xml:space="preserve">Official Report (PDF): </w:t>
      </w:r>
      <w:hyperlink r:id="rId10" w:history="1">
        <w:r w:rsidRPr="00F743C6">
          <w:rPr>
            <w:rStyle w:val="Hyperlink"/>
            <w:rFonts w:ascii="Bookman Old Style" w:hAnsi="Bookman Old Style"/>
            <w:i/>
            <w:iCs/>
            <w:color w:val="31479E" w:themeColor="accent1" w:themeShade="BF"/>
            <w:sz w:val="18"/>
            <w:szCs w:val="18"/>
          </w:rPr>
          <w:t>https://apps.dtic.mil/sti/pdfs/ADA268812.pdf</w:t>
        </w:r>
      </w:hyperlink>
      <w:r w:rsidR="00F743C6">
        <w:rPr>
          <w:rFonts w:ascii="Bookman Old Style" w:hAnsi="Bookman Old Style"/>
          <w:i/>
          <w:iCs/>
          <w:color w:val="31479E" w:themeColor="accent1" w:themeShade="BF"/>
          <w:sz w:val="18"/>
          <w:szCs w:val="18"/>
        </w:rPr>
        <w:br/>
      </w:r>
    </w:p>
    <w:p w14:paraId="4A86532C" w14:textId="4B9B38ED" w:rsidR="009C70A3" w:rsidRPr="00F743C6" w:rsidRDefault="009C70A3" w:rsidP="00F743C6">
      <w:pPr>
        <w:pStyle w:val="ListParagraph"/>
        <w:numPr>
          <w:ilvl w:val="0"/>
          <w:numId w:val="15"/>
        </w:numPr>
        <w:tabs>
          <w:tab w:val="left" w:pos="2928"/>
        </w:tabs>
        <w:spacing w:after="0"/>
        <w:rPr>
          <w:rFonts w:ascii="Bookman Old Style" w:hAnsi="Bookman Old Style"/>
          <w:i/>
          <w:iCs/>
          <w:color w:val="31479E" w:themeColor="accent1" w:themeShade="BF"/>
          <w:sz w:val="18"/>
          <w:szCs w:val="18"/>
        </w:rPr>
      </w:pPr>
      <w:r w:rsidRPr="00F743C6">
        <w:rPr>
          <w:rFonts w:ascii="Bookman Old Style" w:hAnsi="Bookman Old Style"/>
          <w:i/>
          <w:iCs/>
          <w:sz w:val="18"/>
          <w:szCs w:val="18"/>
        </w:rPr>
        <w:t>Lindell, M. K., &amp; Perry, R. W. (2012). The Protective Action Decision Model: Theoretical Modifications and Additional Evidence. Risk Analysis, 32(4), 616–632.</w:t>
      </w:r>
      <w:r w:rsidRPr="00F743C6">
        <w:rPr>
          <w:rFonts w:ascii="Bookman Old Style" w:hAnsi="Bookman Old Style"/>
          <w:i/>
          <w:iCs/>
          <w:sz w:val="18"/>
          <w:szCs w:val="18"/>
        </w:rPr>
        <w:br/>
        <w:t xml:space="preserve">Publisher Link: </w:t>
      </w:r>
      <w:hyperlink r:id="rId11" w:history="1">
        <w:r w:rsidRPr="00F743C6">
          <w:rPr>
            <w:rStyle w:val="Hyperlink"/>
            <w:rFonts w:ascii="Bookman Old Style" w:hAnsi="Bookman Old Style"/>
            <w:i/>
            <w:iCs/>
            <w:color w:val="31479E" w:themeColor="accent1" w:themeShade="BF"/>
            <w:sz w:val="18"/>
            <w:szCs w:val="18"/>
          </w:rPr>
          <w:t>https://onlinelibrary.wiley.com/doi/10.1111/j.1539-6924.2011.01647.x</w:t>
        </w:r>
      </w:hyperlink>
      <w:r w:rsidR="00F743C6">
        <w:rPr>
          <w:rFonts w:ascii="Bookman Old Style" w:hAnsi="Bookman Old Style"/>
          <w:i/>
          <w:iCs/>
          <w:color w:val="31479E" w:themeColor="accent1" w:themeShade="BF"/>
          <w:sz w:val="18"/>
          <w:szCs w:val="18"/>
        </w:rPr>
        <w:br/>
      </w:r>
    </w:p>
    <w:p w14:paraId="3765190C" w14:textId="4BA06141" w:rsidR="009C70A3" w:rsidRPr="00F743C6" w:rsidRDefault="009C70A3" w:rsidP="00F743C6">
      <w:pPr>
        <w:pStyle w:val="ListParagraph"/>
        <w:numPr>
          <w:ilvl w:val="0"/>
          <w:numId w:val="15"/>
        </w:numPr>
        <w:tabs>
          <w:tab w:val="left" w:pos="2928"/>
        </w:tabs>
        <w:spacing w:after="0"/>
        <w:rPr>
          <w:rFonts w:ascii="Bookman Old Style" w:hAnsi="Bookman Old Style"/>
          <w:i/>
          <w:iCs/>
          <w:color w:val="31479E" w:themeColor="accent1" w:themeShade="BF"/>
          <w:sz w:val="18"/>
          <w:szCs w:val="18"/>
        </w:rPr>
      </w:pPr>
      <w:r w:rsidRPr="00F743C6">
        <w:rPr>
          <w:rFonts w:ascii="Bookman Old Style" w:hAnsi="Bookman Old Style"/>
          <w:i/>
          <w:iCs/>
          <w:sz w:val="18"/>
          <w:szCs w:val="18"/>
        </w:rPr>
        <w:t xml:space="preserve">Eisenman, D. P., Cordasco, K. M., Asch, S., Golden, J. F., &amp; Glik, D. (2007). Disaster Planning and Risk Communication </w:t>
      </w:r>
      <w:proofErr w:type="gramStart"/>
      <w:r w:rsidRPr="00F743C6">
        <w:rPr>
          <w:rFonts w:ascii="Bookman Old Style" w:hAnsi="Bookman Old Style"/>
          <w:i/>
          <w:iCs/>
          <w:sz w:val="18"/>
          <w:szCs w:val="18"/>
        </w:rPr>
        <w:t>With</w:t>
      </w:r>
      <w:proofErr w:type="gramEnd"/>
      <w:r w:rsidRPr="00F743C6">
        <w:rPr>
          <w:rFonts w:ascii="Bookman Old Style" w:hAnsi="Bookman Old Style"/>
          <w:i/>
          <w:iCs/>
          <w:sz w:val="18"/>
          <w:szCs w:val="18"/>
        </w:rPr>
        <w:t xml:space="preserve"> Vulnerable Communities. American Journal of Public Health, 97(S1)</w:t>
      </w:r>
      <w:r w:rsidR="00F743C6">
        <w:rPr>
          <w:rFonts w:ascii="Bookman Old Style" w:hAnsi="Bookman Old Style"/>
          <w:i/>
          <w:iCs/>
          <w:sz w:val="18"/>
          <w:szCs w:val="18"/>
        </w:rPr>
        <w:t>.</w:t>
      </w:r>
      <w:r w:rsidRPr="00F743C6">
        <w:rPr>
          <w:rFonts w:ascii="Bookman Old Style" w:hAnsi="Bookman Old Style"/>
          <w:i/>
          <w:iCs/>
          <w:sz w:val="18"/>
          <w:szCs w:val="18"/>
        </w:rPr>
        <w:br/>
        <w:t xml:space="preserve">Link: </w:t>
      </w:r>
      <w:hyperlink r:id="rId12" w:history="1">
        <w:r w:rsidRPr="00F743C6">
          <w:rPr>
            <w:rStyle w:val="Hyperlink"/>
            <w:rFonts w:ascii="Bookman Old Style" w:hAnsi="Bookman Old Style"/>
            <w:i/>
            <w:iCs/>
            <w:color w:val="31479E" w:themeColor="accent1" w:themeShade="BF"/>
            <w:sz w:val="18"/>
            <w:szCs w:val="18"/>
          </w:rPr>
          <w:t>https://ajph.aphapublications.org/doi/10.2105/AJPH.2005.084335</w:t>
        </w:r>
      </w:hyperlink>
      <w:r w:rsidR="00F743C6">
        <w:rPr>
          <w:rFonts w:ascii="Bookman Old Style" w:hAnsi="Bookman Old Style"/>
          <w:i/>
          <w:iCs/>
          <w:color w:val="31479E" w:themeColor="accent1" w:themeShade="BF"/>
          <w:sz w:val="18"/>
          <w:szCs w:val="18"/>
        </w:rPr>
        <w:br/>
      </w:r>
    </w:p>
    <w:p w14:paraId="45251CCD" w14:textId="65603A06" w:rsidR="009C70A3" w:rsidRPr="00F743C6" w:rsidRDefault="009C70A3" w:rsidP="00F743C6">
      <w:pPr>
        <w:pStyle w:val="ListParagraph"/>
        <w:numPr>
          <w:ilvl w:val="0"/>
          <w:numId w:val="15"/>
        </w:numPr>
        <w:tabs>
          <w:tab w:val="left" w:pos="2928"/>
        </w:tabs>
        <w:spacing w:after="0"/>
        <w:rPr>
          <w:rFonts w:ascii="Bookman Old Style" w:hAnsi="Bookman Old Style"/>
          <w:i/>
          <w:iCs/>
          <w:color w:val="31479E" w:themeColor="accent1" w:themeShade="BF"/>
          <w:sz w:val="18"/>
          <w:szCs w:val="18"/>
        </w:rPr>
      </w:pPr>
      <w:r w:rsidRPr="00F743C6">
        <w:rPr>
          <w:rFonts w:ascii="Bookman Old Style" w:hAnsi="Bookman Old Style"/>
          <w:i/>
          <w:iCs/>
          <w:sz w:val="18"/>
          <w:szCs w:val="18"/>
        </w:rPr>
        <w:t>Sutton, J., Spiro, E. S., Johnson, B., Fitzhugh, S., Gibson, B., &amp; Butts, C. T. (2014). Warning Tweets: Serial Transmission of Messages During the Warning Phase of a Disaster Event. Information, Communication &amp; Society, 17(6), 765–787.</w:t>
      </w:r>
      <w:r w:rsidRPr="00F743C6">
        <w:rPr>
          <w:rFonts w:ascii="Bookman Old Style" w:hAnsi="Bookman Old Style"/>
          <w:i/>
          <w:iCs/>
          <w:sz w:val="18"/>
          <w:szCs w:val="18"/>
        </w:rPr>
        <w:br/>
        <w:t>Link</w:t>
      </w:r>
      <w:r w:rsidRPr="00F743C6">
        <w:rPr>
          <w:rFonts w:ascii="Bookman Old Style" w:hAnsi="Bookman Old Style"/>
          <w:i/>
          <w:iCs/>
          <w:color w:val="31479E" w:themeColor="accent1" w:themeShade="BF"/>
          <w:sz w:val="18"/>
          <w:szCs w:val="18"/>
        </w:rPr>
        <w:t xml:space="preserve">: </w:t>
      </w:r>
      <w:hyperlink r:id="rId13" w:history="1">
        <w:r w:rsidRPr="00F743C6">
          <w:rPr>
            <w:rStyle w:val="Hyperlink"/>
            <w:rFonts w:ascii="Bookman Old Style" w:hAnsi="Bookman Old Style"/>
            <w:i/>
            <w:iCs/>
            <w:color w:val="31479E" w:themeColor="accent1" w:themeShade="BF"/>
            <w:sz w:val="18"/>
            <w:szCs w:val="18"/>
          </w:rPr>
          <w:t>https://www.tandfonline.com/doi/abs/10.1080/1369118X.2013.862561</w:t>
        </w:r>
      </w:hyperlink>
      <w:r w:rsidR="00F743C6">
        <w:rPr>
          <w:rFonts w:ascii="Bookman Old Style" w:hAnsi="Bookman Old Style"/>
          <w:i/>
          <w:iCs/>
          <w:color w:val="31479E" w:themeColor="accent1" w:themeShade="BF"/>
          <w:sz w:val="18"/>
          <w:szCs w:val="18"/>
        </w:rPr>
        <w:br/>
      </w:r>
    </w:p>
    <w:p w14:paraId="63A2844C" w14:textId="379EE1FB" w:rsidR="009C70A3" w:rsidRPr="00F743C6" w:rsidRDefault="009C70A3" w:rsidP="00F743C6">
      <w:pPr>
        <w:pStyle w:val="ListParagraph"/>
        <w:numPr>
          <w:ilvl w:val="0"/>
          <w:numId w:val="15"/>
        </w:numPr>
        <w:tabs>
          <w:tab w:val="left" w:pos="2928"/>
        </w:tabs>
        <w:spacing w:after="0"/>
        <w:rPr>
          <w:rFonts w:ascii="Bookman Old Style" w:hAnsi="Bookman Old Style"/>
          <w:i/>
          <w:iCs/>
          <w:sz w:val="18"/>
          <w:szCs w:val="18"/>
        </w:rPr>
      </w:pPr>
      <w:r w:rsidRPr="00F743C6">
        <w:rPr>
          <w:rFonts w:ascii="Bookman Old Style" w:hAnsi="Bookman Old Style"/>
          <w:i/>
          <w:iCs/>
          <w:sz w:val="18"/>
          <w:szCs w:val="18"/>
        </w:rPr>
        <w:t>Bean, H., Liu, B. F., Madden, S., Sutton, J., Wood, M. M., &amp; Mileti, D. S. (2015). Comprehensive Testing of Wireless Emergency Alerts. Natural Hazards Review, 16(2).</w:t>
      </w:r>
      <w:r w:rsidRPr="00F743C6">
        <w:rPr>
          <w:rFonts w:ascii="Bookman Old Style" w:hAnsi="Bookman Old Style"/>
          <w:i/>
          <w:iCs/>
          <w:sz w:val="18"/>
          <w:szCs w:val="18"/>
        </w:rPr>
        <w:br/>
        <w:t xml:space="preserve">Link: </w:t>
      </w:r>
      <w:hyperlink r:id="rId14" w:history="1">
        <w:r w:rsidRPr="00F743C6">
          <w:rPr>
            <w:rStyle w:val="Hyperlink"/>
            <w:rFonts w:ascii="Bookman Old Style" w:hAnsi="Bookman Old Style"/>
            <w:i/>
            <w:iCs/>
            <w:color w:val="31479E" w:themeColor="accent1" w:themeShade="BF"/>
            <w:sz w:val="18"/>
            <w:szCs w:val="18"/>
          </w:rPr>
          <w:t>https://ascelibrary.org/doi/10.1061/(ASCE)NH.1527-6996.0000146</w:t>
        </w:r>
      </w:hyperlink>
      <w:r w:rsidR="00F743C6">
        <w:rPr>
          <w:rFonts w:ascii="Bookman Old Style" w:hAnsi="Bookman Old Style"/>
          <w:i/>
          <w:iCs/>
          <w:color w:val="31479E" w:themeColor="accent1" w:themeShade="BF"/>
          <w:sz w:val="18"/>
          <w:szCs w:val="18"/>
        </w:rPr>
        <w:br/>
      </w:r>
    </w:p>
    <w:p w14:paraId="1AA09C8D" w14:textId="5992A841" w:rsidR="009C70A3" w:rsidRPr="00F743C6" w:rsidRDefault="009C70A3" w:rsidP="00F743C6">
      <w:pPr>
        <w:pStyle w:val="ListParagraph"/>
        <w:numPr>
          <w:ilvl w:val="0"/>
          <w:numId w:val="15"/>
        </w:numPr>
        <w:tabs>
          <w:tab w:val="left" w:pos="2928"/>
        </w:tabs>
        <w:spacing w:after="0"/>
        <w:rPr>
          <w:rFonts w:ascii="Bookman Old Style" w:hAnsi="Bookman Old Style"/>
          <w:i/>
          <w:iCs/>
          <w:sz w:val="18"/>
          <w:szCs w:val="18"/>
        </w:rPr>
      </w:pPr>
      <w:r w:rsidRPr="00F743C6">
        <w:rPr>
          <w:rFonts w:ascii="Bookman Old Style" w:hAnsi="Bookman Old Style"/>
          <w:i/>
          <w:iCs/>
          <w:sz w:val="18"/>
          <w:szCs w:val="18"/>
        </w:rPr>
        <w:t>Lazar, J., et al. (2017). Ensuring Digital Accessibility Through Process and Policy. Morgan Kaufmann</w:t>
      </w:r>
      <w:r w:rsidRPr="00F743C6">
        <w:rPr>
          <w:rFonts w:ascii="Bookman Old Style" w:hAnsi="Bookman Old Style"/>
          <w:i/>
          <w:iCs/>
          <w:sz w:val="18"/>
          <w:szCs w:val="18"/>
        </w:rPr>
        <w:br/>
        <w:t xml:space="preserve">Link: </w:t>
      </w:r>
      <w:hyperlink r:id="rId15" w:history="1">
        <w:r w:rsidRPr="00F743C6">
          <w:rPr>
            <w:rStyle w:val="Hyperlink"/>
            <w:rFonts w:ascii="Bookman Old Style" w:hAnsi="Bookman Old Style"/>
            <w:i/>
            <w:iCs/>
            <w:color w:val="31479E" w:themeColor="accent1" w:themeShade="BF"/>
            <w:sz w:val="18"/>
            <w:szCs w:val="18"/>
          </w:rPr>
          <w:t>https://www.sciencedirect.com/book/9780128007107/ensuring-digital-accessibility-through-process-and-policy</w:t>
        </w:r>
      </w:hyperlink>
      <w:r w:rsidR="00F743C6">
        <w:rPr>
          <w:rFonts w:ascii="Bookman Old Style" w:hAnsi="Bookman Old Style"/>
          <w:i/>
          <w:iCs/>
          <w:color w:val="31479E" w:themeColor="accent1" w:themeShade="BF"/>
          <w:sz w:val="18"/>
          <w:szCs w:val="18"/>
        </w:rPr>
        <w:br/>
      </w:r>
    </w:p>
    <w:p w14:paraId="316EFC32" w14:textId="018A58F4" w:rsidR="009C70A3" w:rsidRPr="00F743C6" w:rsidRDefault="009C70A3" w:rsidP="00F743C6">
      <w:pPr>
        <w:pStyle w:val="ListParagraph"/>
        <w:numPr>
          <w:ilvl w:val="0"/>
          <w:numId w:val="15"/>
        </w:numPr>
        <w:tabs>
          <w:tab w:val="left" w:pos="2928"/>
        </w:tabs>
        <w:spacing w:after="0"/>
        <w:rPr>
          <w:rFonts w:ascii="Bookman Old Style" w:hAnsi="Bookman Old Style"/>
          <w:i/>
          <w:iCs/>
          <w:color w:val="31479E" w:themeColor="accent1" w:themeShade="BF"/>
          <w:sz w:val="18"/>
          <w:szCs w:val="18"/>
        </w:rPr>
      </w:pPr>
      <w:r w:rsidRPr="00F743C6">
        <w:rPr>
          <w:rFonts w:ascii="Bookman Old Style" w:hAnsi="Bookman Old Style"/>
          <w:i/>
          <w:iCs/>
          <w:sz w:val="18"/>
          <w:szCs w:val="18"/>
        </w:rPr>
        <w:t>United Nations Office for Disaster Risk Reduction (UNDRR) (2022). Early Warning Systems for All: Executive Action Plan 2023–2027.</w:t>
      </w:r>
      <w:r w:rsidRPr="00F743C6">
        <w:rPr>
          <w:rFonts w:ascii="Bookman Old Style" w:hAnsi="Bookman Old Style"/>
          <w:i/>
          <w:iCs/>
          <w:sz w:val="18"/>
          <w:szCs w:val="18"/>
        </w:rPr>
        <w:br/>
        <w:t xml:space="preserve">Official UN Publication: </w:t>
      </w:r>
      <w:hyperlink r:id="rId16" w:history="1">
        <w:r w:rsidR="00F743C6" w:rsidRPr="00F743C6">
          <w:rPr>
            <w:rStyle w:val="Hyperlink"/>
            <w:rFonts w:ascii="Bookman Old Style" w:hAnsi="Bookman Old Style"/>
            <w:i/>
            <w:iCs/>
            <w:color w:val="31479E" w:themeColor="accent1" w:themeShade="BF"/>
            <w:sz w:val="18"/>
            <w:szCs w:val="18"/>
          </w:rPr>
          <w:t>https://www.undrr.org/publication/early-warning-systems-all</w:t>
        </w:r>
      </w:hyperlink>
    </w:p>
    <w:sectPr w:rsidR="009C70A3" w:rsidRPr="00F743C6" w:rsidSect="009C70A3">
      <w:type w:val="continuous"/>
      <w:pgSz w:w="11906" w:h="16838"/>
      <w:pgMar w:top="1440" w:right="1440" w:bottom="1440" w:left="1440" w:header="709" w:footer="709"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BEAE0" w14:textId="77777777" w:rsidR="002672D6" w:rsidRDefault="002672D6" w:rsidP="004350B6">
      <w:pPr>
        <w:spacing w:after="0" w:line="240" w:lineRule="auto"/>
      </w:pPr>
      <w:r>
        <w:separator/>
      </w:r>
    </w:p>
  </w:endnote>
  <w:endnote w:type="continuationSeparator" w:id="0">
    <w:p w14:paraId="75DEB94B" w14:textId="77777777" w:rsidR="002672D6" w:rsidRDefault="002672D6"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golian Baiti">
    <w:panose1 w:val="03000500000000000000"/>
    <w:charset w:val="00"/>
    <w:family w:val="script"/>
    <w:pitch w:val="variable"/>
    <w:sig w:usb0="80000023" w:usb1="00000000" w:usb2="0002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16CAFBAE" w:rsidR="009C7FAB" w:rsidRDefault="00DE455E">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6428AC37" wp14:editId="3D0F7CF7">
              <wp:simplePos x="0" y="0"/>
              <wp:positionH relativeFrom="column">
                <wp:posOffset>5470525</wp:posOffset>
              </wp:positionH>
              <wp:positionV relativeFrom="paragraph">
                <wp:posOffset>308610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28AC37" id="_x0000_t202" coordsize="21600,21600" o:spt="202" path="m,l,21600r21600,l21600,xe">
              <v:stroke joinstyle="miter"/>
              <v:path gradientshapeok="t" o:connecttype="rect"/>
            </v:shapetype>
            <v:shape id="Text Box 2" o:spid="_x0000_s1026" type="#_x0000_t202" style="position:absolute;margin-left:430.75pt;margin-top:24.3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KiXh0jdAAAACQEAAA8AAABkcnMvZG93bnJl&#10;di54bWxMj01PwzAMhu9I/IfISNxYUrRVbWk6TUNcQewDiVvWeG1F41RNtpZ/jznB0X4fvX5crmfX&#10;iyuOofOkIVkoEEi1tx01Gg77l4cMRIiGrOk9oYZvDLCubm9KU1g/0Tted7ERXEKhMBraGIdCylC3&#10;6ExY+AGJs7MfnYk8jo20o5m43PXyUalUOtMRX2jNgNsW66/dxWk4vp4/P5bqrXl2q2Hys5Lkcqn1&#10;/d28eQIRcY5/MPzqszpU7HTyF7JB9BqyNFkxqmGZpSAYyPOUFydO8gRkVcr/H1Q/AAAA//8DAFBL&#10;AQItABQABgAIAAAAIQC2gziS/gAAAOEBAAATAAAAAAAAAAAAAAAAAAAAAABbQ29udGVudF9UeXBl&#10;c10ueG1sUEsBAi0AFAAGAAgAAAAhADj9If/WAAAAlAEAAAsAAAAAAAAAAAAAAAAALwEAAF9yZWxz&#10;Ly5yZWxzUEsBAi0AFAAGAAgAAAAhALg4EuorAgAAoAQAAA4AAAAAAAAAAAAAAAAALgIAAGRycy9l&#10;Mm9Eb2MueG1sUEsBAi0AFAAGAAgAAAAhAKiXh0jdAAAACQEAAA8AAAAAAAAAAAAAAAAAhQQAAGRy&#10;cy9kb3ducmV2LnhtbFBLBQYAAAAABAAEAPMAAACPBQAAAAA=&#10;" filled="f" stroked="f">
              <v:textbox>
                <w:txbxContent>
                  <w:p w14:paraId="4839C600" w14:textId="77777777" w:rsidR="00DE455E" w:rsidRPr="007873E9" w:rsidRDefault="00DE455E" w:rsidP="00DE455E">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1332631197" name="Picture 133263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5ED3F" w14:textId="77777777" w:rsidR="002672D6" w:rsidRDefault="002672D6" w:rsidP="004350B6">
      <w:pPr>
        <w:spacing w:after="0" w:line="240" w:lineRule="auto"/>
      </w:pPr>
      <w:r>
        <w:separator/>
      </w:r>
    </w:p>
  </w:footnote>
  <w:footnote w:type="continuationSeparator" w:id="0">
    <w:p w14:paraId="4A8C375B" w14:textId="77777777" w:rsidR="002672D6" w:rsidRDefault="002672D6"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212802778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FF8"/>
    <w:multiLevelType w:val="hybridMultilevel"/>
    <w:tmpl w:val="95BE0CD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7B25B82"/>
    <w:multiLevelType w:val="hybridMultilevel"/>
    <w:tmpl w:val="C6787E6C"/>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 w15:restartNumberingAfterBreak="0">
    <w:nsid w:val="0A6B5667"/>
    <w:multiLevelType w:val="hybridMultilevel"/>
    <w:tmpl w:val="D690E4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8831AA9"/>
    <w:multiLevelType w:val="hybridMultilevel"/>
    <w:tmpl w:val="C67C32E0"/>
    <w:lvl w:ilvl="0" w:tplc="40090009">
      <w:start w:val="1"/>
      <w:numFmt w:val="bullet"/>
      <w:lvlText w:val=""/>
      <w:lvlJc w:val="left"/>
      <w:pPr>
        <w:ind w:left="502" w:hanging="360"/>
      </w:pPr>
      <w:rPr>
        <w:rFonts w:ascii="Wingdings" w:hAnsi="Wingdings" w:hint="default"/>
      </w:rPr>
    </w:lvl>
    <w:lvl w:ilvl="1" w:tplc="FFFFFFFF">
      <w:start w:val="1"/>
      <w:numFmt w:val="bullet"/>
      <w:lvlText w:val="o"/>
      <w:lvlJc w:val="left"/>
      <w:pPr>
        <w:ind w:left="1003" w:hanging="360"/>
      </w:pPr>
      <w:rPr>
        <w:rFonts w:ascii="Courier New" w:hAnsi="Courier New" w:cs="Courier New" w:hint="default"/>
      </w:rPr>
    </w:lvl>
    <w:lvl w:ilvl="2" w:tplc="FFFFFFFF" w:tentative="1">
      <w:start w:val="1"/>
      <w:numFmt w:val="bullet"/>
      <w:lvlText w:val=""/>
      <w:lvlJc w:val="left"/>
      <w:pPr>
        <w:ind w:left="1723" w:hanging="360"/>
      </w:pPr>
      <w:rPr>
        <w:rFonts w:ascii="Wingdings" w:hAnsi="Wingdings" w:hint="default"/>
      </w:rPr>
    </w:lvl>
    <w:lvl w:ilvl="3" w:tplc="FFFFFFFF" w:tentative="1">
      <w:start w:val="1"/>
      <w:numFmt w:val="bullet"/>
      <w:lvlText w:val=""/>
      <w:lvlJc w:val="left"/>
      <w:pPr>
        <w:ind w:left="2443" w:hanging="360"/>
      </w:pPr>
      <w:rPr>
        <w:rFonts w:ascii="Symbol" w:hAnsi="Symbol" w:hint="default"/>
      </w:rPr>
    </w:lvl>
    <w:lvl w:ilvl="4" w:tplc="FFFFFFFF" w:tentative="1">
      <w:start w:val="1"/>
      <w:numFmt w:val="bullet"/>
      <w:lvlText w:val="o"/>
      <w:lvlJc w:val="left"/>
      <w:pPr>
        <w:ind w:left="3163" w:hanging="360"/>
      </w:pPr>
      <w:rPr>
        <w:rFonts w:ascii="Courier New" w:hAnsi="Courier New" w:cs="Courier New" w:hint="default"/>
      </w:rPr>
    </w:lvl>
    <w:lvl w:ilvl="5" w:tplc="FFFFFFFF" w:tentative="1">
      <w:start w:val="1"/>
      <w:numFmt w:val="bullet"/>
      <w:lvlText w:val=""/>
      <w:lvlJc w:val="left"/>
      <w:pPr>
        <w:ind w:left="3883" w:hanging="360"/>
      </w:pPr>
      <w:rPr>
        <w:rFonts w:ascii="Wingdings" w:hAnsi="Wingdings" w:hint="default"/>
      </w:rPr>
    </w:lvl>
    <w:lvl w:ilvl="6" w:tplc="FFFFFFFF" w:tentative="1">
      <w:start w:val="1"/>
      <w:numFmt w:val="bullet"/>
      <w:lvlText w:val=""/>
      <w:lvlJc w:val="left"/>
      <w:pPr>
        <w:ind w:left="4603" w:hanging="360"/>
      </w:pPr>
      <w:rPr>
        <w:rFonts w:ascii="Symbol" w:hAnsi="Symbol" w:hint="default"/>
      </w:rPr>
    </w:lvl>
    <w:lvl w:ilvl="7" w:tplc="FFFFFFFF" w:tentative="1">
      <w:start w:val="1"/>
      <w:numFmt w:val="bullet"/>
      <w:lvlText w:val="o"/>
      <w:lvlJc w:val="left"/>
      <w:pPr>
        <w:ind w:left="5323" w:hanging="360"/>
      </w:pPr>
      <w:rPr>
        <w:rFonts w:ascii="Courier New" w:hAnsi="Courier New" w:cs="Courier New" w:hint="default"/>
      </w:rPr>
    </w:lvl>
    <w:lvl w:ilvl="8" w:tplc="FFFFFFFF" w:tentative="1">
      <w:start w:val="1"/>
      <w:numFmt w:val="bullet"/>
      <w:lvlText w:val=""/>
      <w:lvlJc w:val="left"/>
      <w:pPr>
        <w:ind w:left="6043" w:hanging="360"/>
      </w:pPr>
      <w:rPr>
        <w:rFonts w:ascii="Wingdings" w:hAnsi="Wingdings" w:hint="default"/>
      </w:rPr>
    </w:lvl>
  </w:abstractNum>
  <w:abstractNum w:abstractNumId="4" w15:restartNumberingAfterBreak="0">
    <w:nsid w:val="1ECF3515"/>
    <w:multiLevelType w:val="hybridMultilevel"/>
    <w:tmpl w:val="E64A22A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277D2EF8"/>
    <w:multiLevelType w:val="hybridMultilevel"/>
    <w:tmpl w:val="5A8C0A3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2A0F3C01"/>
    <w:multiLevelType w:val="hybridMultilevel"/>
    <w:tmpl w:val="86D05ECA"/>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7" w15:restartNumberingAfterBreak="0">
    <w:nsid w:val="2B1911D9"/>
    <w:multiLevelType w:val="hybridMultilevel"/>
    <w:tmpl w:val="7A8E367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5B64546"/>
    <w:multiLevelType w:val="hybridMultilevel"/>
    <w:tmpl w:val="9B14CD5E"/>
    <w:lvl w:ilvl="0" w:tplc="2F60F108">
      <w:start w:val="1"/>
      <w:numFmt w:val="decimal"/>
      <w:lvlText w:val="%1."/>
      <w:lvlJc w:val="left"/>
      <w:pPr>
        <w:ind w:left="360" w:hanging="360"/>
      </w:pPr>
      <w:rPr>
        <w:rFonts w:hint="default"/>
        <w:b/>
        <w:bCs/>
        <w:color w:val="000000" w:themeColor="text1"/>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53C743D3"/>
    <w:multiLevelType w:val="hybridMultilevel"/>
    <w:tmpl w:val="6AD27C3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5BB041A4"/>
    <w:multiLevelType w:val="hybridMultilevel"/>
    <w:tmpl w:val="CC9060F8"/>
    <w:lvl w:ilvl="0" w:tplc="40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570" w:hanging="360"/>
      </w:pPr>
      <w:rPr>
        <w:rFonts w:ascii="Courier New" w:hAnsi="Courier New" w:cs="Courier New" w:hint="default"/>
      </w:rPr>
    </w:lvl>
    <w:lvl w:ilvl="2" w:tplc="FFFFFFFF" w:tentative="1">
      <w:start w:val="1"/>
      <w:numFmt w:val="bullet"/>
      <w:lvlText w:val=""/>
      <w:lvlJc w:val="left"/>
      <w:pPr>
        <w:ind w:left="2290" w:hanging="360"/>
      </w:pPr>
      <w:rPr>
        <w:rFonts w:ascii="Wingdings" w:hAnsi="Wingdings" w:hint="default"/>
      </w:rPr>
    </w:lvl>
    <w:lvl w:ilvl="3" w:tplc="FFFFFFFF" w:tentative="1">
      <w:start w:val="1"/>
      <w:numFmt w:val="bullet"/>
      <w:lvlText w:val=""/>
      <w:lvlJc w:val="left"/>
      <w:pPr>
        <w:ind w:left="3010" w:hanging="360"/>
      </w:pPr>
      <w:rPr>
        <w:rFonts w:ascii="Symbol" w:hAnsi="Symbol" w:hint="default"/>
      </w:rPr>
    </w:lvl>
    <w:lvl w:ilvl="4" w:tplc="FFFFFFFF" w:tentative="1">
      <w:start w:val="1"/>
      <w:numFmt w:val="bullet"/>
      <w:lvlText w:val="o"/>
      <w:lvlJc w:val="left"/>
      <w:pPr>
        <w:ind w:left="3730" w:hanging="360"/>
      </w:pPr>
      <w:rPr>
        <w:rFonts w:ascii="Courier New" w:hAnsi="Courier New" w:cs="Courier New" w:hint="default"/>
      </w:rPr>
    </w:lvl>
    <w:lvl w:ilvl="5" w:tplc="FFFFFFFF" w:tentative="1">
      <w:start w:val="1"/>
      <w:numFmt w:val="bullet"/>
      <w:lvlText w:val=""/>
      <w:lvlJc w:val="left"/>
      <w:pPr>
        <w:ind w:left="4450" w:hanging="360"/>
      </w:pPr>
      <w:rPr>
        <w:rFonts w:ascii="Wingdings" w:hAnsi="Wingdings" w:hint="default"/>
      </w:rPr>
    </w:lvl>
    <w:lvl w:ilvl="6" w:tplc="FFFFFFFF" w:tentative="1">
      <w:start w:val="1"/>
      <w:numFmt w:val="bullet"/>
      <w:lvlText w:val=""/>
      <w:lvlJc w:val="left"/>
      <w:pPr>
        <w:ind w:left="5170" w:hanging="360"/>
      </w:pPr>
      <w:rPr>
        <w:rFonts w:ascii="Symbol" w:hAnsi="Symbol" w:hint="default"/>
      </w:rPr>
    </w:lvl>
    <w:lvl w:ilvl="7" w:tplc="FFFFFFFF" w:tentative="1">
      <w:start w:val="1"/>
      <w:numFmt w:val="bullet"/>
      <w:lvlText w:val="o"/>
      <w:lvlJc w:val="left"/>
      <w:pPr>
        <w:ind w:left="5890" w:hanging="360"/>
      </w:pPr>
      <w:rPr>
        <w:rFonts w:ascii="Courier New" w:hAnsi="Courier New" w:cs="Courier New" w:hint="default"/>
      </w:rPr>
    </w:lvl>
    <w:lvl w:ilvl="8" w:tplc="FFFFFFFF" w:tentative="1">
      <w:start w:val="1"/>
      <w:numFmt w:val="bullet"/>
      <w:lvlText w:val=""/>
      <w:lvlJc w:val="left"/>
      <w:pPr>
        <w:ind w:left="6610" w:hanging="360"/>
      </w:pPr>
      <w:rPr>
        <w:rFonts w:ascii="Wingdings" w:hAnsi="Wingdings" w:hint="default"/>
      </w:rPr>
    </w:lvl>
  </w:abstractNum>
  <w:abstractNum w:abstractNumId="11" w15:restartNumberingAfterBreak="0">
    <w:nsid w:val="5CF7270D"/>
    <w:multiLevelType w:val="hybridMultilevel"/>
    <w:tmpl w:val="A632774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2" w15:restartNumberingAfterBreak="0">
    <w:nsid w:val="5FF03F3C"/>
    <w:multiLevelType w:val="hybridMultilevel"/>
    <w:tmpl w:val="5BF2BD5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3" w15:restartNumberingAfterBreak="0">
    <w:nsid w:val="681D5D33"/>
    <w:multiLevelType w:val="hybridMultilevel"/>
    <w:tmpl w:val="DD2C8820"/>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4"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14"/>
  </w:num>
  <w:num w:numId="2" w16cid:durableId="91173695">
    <w:abstractNumId w:val="3"/>
  </w:num>
  <w:num w:numId="3" w16cid:durableId="845679293">
    <w:abstractNumId w:val="5"/>
  </w:num>
  <w:num w:numId="4" w16cid:durableId="1917740766">
    <w:abstractNumId w:val="4"/>
  </w:num>
  <w:num w:numId="5" w16cid:durableId="514543383">
    <w:abstractNumId w:val="13"/>
  </w:num>
  <w:num w:numId="6" w16cid:durableId="2023895505">
    <w:abstractNumId w:val="10"/>
  </w:num>
  <w:num w:numId="7" w16cid:durableId="451940805">
    <w:abstractNumId w:val="9"/>
  </w:num>
  <w:num w:numId="8" w16cid:durableId="920140806">
    <w:abstractNumId w:val="12"/>
  </w:num>
  <w:num w:numId="9" w16cid:durableId="1672024498">
    <w:abstractNumId w:val="0"/>
  </w:num>
  <w:num w:numId="10" w16cid:durableId="1880432930">
    <w:abstractNumId w:val="11"/>
  </w:num>
  <w:num w:numId="11" w16cid:durableId="1779713241">
    <w:abstractNumId w:val="1"/>
  </w:num>
  <w:num w:numId="12" w16cid:durableId="655644982">
    <w:abstractNumId w:val="6"/>
  </w:num>
  <w:num w:numId="13" w16cid:durableId="635525200">
    <w:abstractNumId w:val="7"/>
  </w:num>
  <w:num w:numId="14" w16cid:durableId="462037474">
    <w:abstractNumId w:val="2"/>
  </w:num>
  <w:num w:numId="15" w16cid:durableId="4697877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164864"/>
    <w:rsid w:val="001A2E09"/>
    <w:rsid w:val="002672D6"/>
    <w:rsid w:val="00297A10"/>
    <w:rsid w:val="002D5D1C"/>
    <w:rsid w:val="002F4B7D"/>
    <w:rsid w:val="00431CE0"/>
    <w:rsid w:val="004350B6"/>
    <w:rsid w:val="004F2463"/>
    <w:rsid w:val="00574E75"/>
    <w:rsid w:val="005B68EA"/>
    <w:rsid w:val="005E6E33"/>
    <w:rsid w:val="00600F6D"/>
    <w:rsid w:val="0061068F"/>
    <w:rsid w:val="006556BE"/>
    <w:rsid w:val="007873E9"/>
    <w:rsid w:val="007B5E57"/>
    <w:rsid w:val="007E3A32"/>
    <w:rsid w:val="00823437"/>
    <w:rsid w:val="00850F80"/>
    <w:rsid w:val="0097735B"/>
    <w:rsid w:val="009C0651"/>
    <w:rsid w:val="009C68A0"/>
    <w:rsid w:val="009C70A3"/>
    <w:rsid w:val="009C7FAB"/>
    <w:rsid w:val="009E33A9"/>
    <w:rsid w:val="00B97ACA"/>
    <w:rsid w:val="00C35810"/>
    <w:rsid w:val="00C87271"/>
    <w:rsid w:val="00C92281"/>
    <w:rsid w:val="00D556E7"/>
    <w:rsid w:val="00DD7572"/>
    <w:rsid w:val="00DE455E"/>
    <w:rsid w:val="00F055E0"/>
    <w:rsid w:val="00F743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 w:type="table" w:styleId="TableGrid">
    <w:name w:val="Table Grid"/>
    <w:basedOn w:val="TableNormal"/>
    <w:uiPriority w:val="39"/>
    <w:rsid w:val="005E6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E6E3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E6E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Accent1">
    <w:name w:val="Grid Table 2 Accent 1"/>
    <w:basedOn w:val="TableNormal"/>
    <w:uiPriority w:val="47"/>
    <w:rsid w:val="005E6E33"/>
    <w:pPr>
      <w:spacing w:after="0" w:line="240" w:lineRule="auto"/>
    </w:pPr>
    <w:tblPr>
      <w:tblStyleRowBandSize w:val="1"/>
      <w:tblStyleColBandSize w:val="1"/>
      <w:tblBorders>
        <w:top w:val="single" w:sz="2" w:space="0" w:color="94A3DE" w:themeColor="accent1" w:themeTint="99"/>
        <w:bottom w:val="single" w:sz="2" w:space="0" w:color="94A3DE" w:themeColor="accent1" w:themeTint="99"/>
        <w:insideH w:val="single" w:sz="2" w:space="0" w:color="94A3DE" w:themeColor="accent1" w:themeTint="99"/>
        <w:insideV w:val="single" w:sz="2" w:space="0" w:color="94A3DE" w:themeColor="accent1" w:themeTint="99"/>
      </w:tblBorders>
    </w:tblPr>
    <w:tblStylePr w:type="firstRow">
      <w:rPr>
        <w:b/>
        <w:bCs/>
      </w:rPr>
      <w:tblPr/>
      <w:tcPr>
        <w:tcBorders>
          <w:top w:val="nil"/>
          <w:bottom w:val="single" w:sz="12" w:space="0" w:color="94A3DE" w:themeColor="accent1" w:themeTint="99"/>
          <w:insideH w:val="nil"/>
          <w:insideV w:val="nil"/>
        </w:tcBorders>
        <w:shd w:val="clear" w:color="auto" w:fill="FFFFFF" w:themeFill="background1"/>
      </w:tcPr>
    </w:tblStylePr>
    <w:tblStylePr w:type="lastRow">
      <w:rPr>
        <w:b/>
        <w:bCs/>
      </w:rPr>
      <w:tblPr/>
      <w:tcPr>
        <w:tcBorders>
          <w:top w:val="double" w:sz="2" w:space="0" w:color="94A3D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0F4" w:themeFill="accent1" w:themeFillTint="33"/>
      </w:tcPr>
    </w:tblStylePr>
    <w:tblStylePr w:type="band1Horz">
      <w:tblPr/>
      <w:tcPr>
        <w:shd w:val="clear" w:color="auto" w:fill="DBE0F4" w:themeFill="accent1" w:themeFillTint="33"/>
      </w:tcPr>
    </w:tblStylePr>
  </w:style>
  <w:style w:type="character" w:styleId="Hyperlink">
    <w:name w:val="Hyperlink"/>
    <w:basedOn w:val="DefaultParagraphFont"/>
    <w:uiPriority w:val="99"/>
    <w:unhideWhenUsed/>
    <w:rsid w:val="009C70A3"/>
    <w:rPr>
      <w:color w:val="56C7AA" w:themeColor="hyperlink"/>
      <w:u w:val="single"/>
    </w:rPr>
  </w:style>
  <w:style w:type="character" w:styleId="UnresolvedMention">
    <w:name w:val="Unresolved Mention"/>
    <w:basedOn w:val="DefaultParagraphFont"/>
    <w:uiPriority w:val="99"/>
    <w:semiHidden/>
    <w:unhideWhenUsed/>
    <w:rsid w:val="009C70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tandfonline.com/doi/abs/10.1080/1369118X.2013.862561"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jph.aphapublications.org/doi/10.2105/AJPH.2005.08433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ndrr.org/publication/early-warning-systems-al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10.1111/j.1539-6924.2011.01647.x" TargetMode="External"/><Relationship Id="rId5" Type="http://schemas.openxmlformats.org/officeDocument/2006/relationships/webSettings" Target="webSettings.xml"/><Relationship Id="rId15" Type="http://schemas.openxmlformats.org/officeDocument/2006/relationships/hyperlink" Target="https://www.sciencedirect.com/book/9780128007107/ensuring-digital-accessibility-through-process-and-policy" TargetMode="External"/><Relationship Id="rId10" Type="http://schemas.openxmlformats.org/officeDocument/2006/relationships/hyperlink" Target="https://apps.dtic.mil/sti/pdfs/ADA268812.pdf"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ascelibrary.org/doi/10.1061/(ASCE)NH.1527-6996.000014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4</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9</cp:revision>
  <cp:lastPrinted>2026-02-17T17:44:00Z</cp:lastPrinted>
  <dcterms:created xsi:type="dcterms:W3CDTF">2026-02-10T15:41:00Z</dcterms:created>
  <dcterms:modified xsi:type="dcterms:W3CDTF">2026-02-17T17:45:00Z</dcterms:modified>
</cp:coreProperties>
</file>