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color w:val="0F1E3C"/>
          <w:sz w:val="36"/>
        </w:rPr>
        <w:t>Digital Sarcasm as a Signal of Policy Distrust: Social Network Analysis and Emotion Classification of Indonesia's Free Nutritious Meal Program Discourse on X (Twitter)</w:t>
      </w:r>
    </w:p>
    <w:p>
      <w:pPr>
        <w:spacing w:after="60"/>
        <w:jc w:val="center"/>
      </w:pPr>
      <w:r>
        <w:rPr>
          <w:b/>
        </w:rPr>
        <w:t>Indri Anjar Kartika Sari</w:t>
      </w:r>
    </w:p>
    <w:p>
      <w:r>
        <w:rPr>
          <w:i/>
        </w:rPr>
        <w:t>Master's Program in Communication Science, Faculty of Social Sciences, Cultural Studies, and Political Science</w:t>
      </w:r>
    </w:p>
    <w:p>
      <w:r>
        <w:rPr>
          <w:i/>
        </w:rPr>
        <w:t>Universitas Pembangunan Nasional "Veteran" Jawa Timur, Surabaya, Indonesia</w:t>
      </w:r>
    </w:p>
    <w:p>
      <w:pPr>
        <w:spacing w:after="60"/>
        <w:jc w:val="center"/>
      </w:pPr>
      <w:r>
        <w:rPr>
          <w:i/>
        </w:rPr>
        <w:t>Corresponding Author Email: 25067020011@student.upnjatim.ac.id</w:t>
      </w:r>
    </w:p>
    <w:p>
      <w:pPr>
        <w:spacing w:before="80" w:after="80" w:line="276" w:lineRule="auto"/>
        <w:ind w:left="576" w:right="576"/>
      </w:pPr>
      <w:r>
        <w:rPr>
          <w:b/>
          <w:color w:val="465A82"/>
        </w:rPr>
        <w:t xml:space="preserve">│ </w:t>
      </w:r>
      <w:r>
        <w:rPr>
          <w:b/>
        </w:rPr>
        <w:t>Target Submission Venues</w:t>
      </w:r>
      <w:r>
        <w:t xml:space="preserve">: </w:t>
      </w:r>
      <w:r>
        <w:rPr>
          <w:i/>
        </w:rPr>
        <w:t>Telematics and Informatics</w:t>
      </w:r>
      <w:r>
        <w:t xml:space="preserve"> (Elsevier, Q1) / </w:t>
      </w:r>
      <w:r>
        <w:rPr>
          <w:i/>
        </w:rPr>
        <w:t>New Media &amp; Society</w:t>
      </w:r>
      <w:r>
        <w:t xml:space="preserve"> (SAGE, Q1) / </w:t>
      </w:r>
      <w:r>
        <w:rPr>
          <w:i/>
        </w:rPr>
        <w:t>Social Networks</w:t>
      </w:r>
      <w:r>
        <w:t xml:space="preserve"> (Elsevier, Q1) / </w:t>
      </w:r>
      <w:r>
        <w:rPr>
          <w:i/>
        </w:rPr>
        <w:t>Government Information Quarterly</w:t>
      </w:r>
      <w:r>
        <w:t xml:space="preserve"> (Elsevier, Q1)</w:t>
      </w:r>
    </w:p>
    <w:p>
      <w:pPr>
        <w:spacing w:before="80" w:after="80" w:line="276" w:lineRule="auto"/>
        <w:ind w:left="576" w:right="576"/>
      </w:pPr>
      <w:r>
        <w:rPr>
          <w:b/>
          <w:color w:val="465A82"/>
        </w:rPr>
        <w:t xml:space="preserve">│ </w:t>
      </w:r>
      <w:r>
        <w:rPr>
          <w:b/>
        </w:rPr>
        <w:t>Manuscript Type</w:t>
      </w:r>
      <w:r>
        <w:t>: Original Research Article</w:t>
      </w:r>
    </w:p>
    <w:p>
      <w:pPr>
        <w:spacing w:before="80" w:after="80" w:line="276" w:lineRule="auto"/>
        <w:ind w:left="576" w:right="576"/>
      </w:pPr>
      <w:r>
        <w:rPr>
          <w:b/>
          <w:color w:val="465A82"/>
        </w:rPr>
        <w:t xml:space="preserve">│ </w:t>
      </w:r>
      <w:r>
        <w:rPr>
          <w:b/>
        </w:rPr>
        <w:t>Estimated Length</w:t>
      </w:r>
      <w:r>
        <w:t>: ~16,000 words (approximately 42–45 standard double-spaced academic pages)</w:t>
      </w:r>
    </w:p>
    <w:p>
      <w:pPr>
        <w:spacing w:before="80" w:after="80" w:line="276" w:lineRule="auto"/>
        <w:ind w:left="576" w:right="576"/>
      </w:pPr>
      <w:r>
        <w:rPr>
          <w:b/>
          <w:color w:val="465A82"/>
        </w:rPr>
        <w:t xml:space="preserve">│ </w:t>
      </w:r>
      <w:r>
        <w:rPr>
          <w:b/>
        </w:rPr>
        <w:t>Keywords</w:t>
      </w:r>
      <w:r>
        <w:t>: Social Network Analysis; IndoBERT; Emotion Classification; Digital Sarcasm; Free Nutritious Meal Program; Echo Chamber; Phygital Gap; Marketing 6.0; Algorithmic Epistemic Authority; Public Policy Communication</w:t>
      </w:r>
    </w:p>
    <w:p>
      <w:pPr>
        <w:spacing w:before="320" w:after="120"/>
      </w:pPr>
      <w:r>
        <w:rPr>
          <w:rFonts w:ascii="Times New Roman" w:hAnsi="Times New Roman"/>
          <w:b/>
          <w:color w:val="142850"/>
          <w:sz w:val="28"/>
        </w:rPr>
        <w:t>Abstract</w:t>
      </w:r>
    </w:p>
    <w:p>
      <w:pPr/>
      <w:r/>
      <w:r>
        <w:rPr>
          <w:rFonts w:ascii="Times New Roman" w:hAnsi="Times New Roman"/>
          <w:sz w:val="22"/>
        </w:rPr>
        <w:t>Indonesia's Makan Bergizi Gratis (MBG, Free Nutritious Meal) program—a flagship nationwide public health and human capital intervention backed by an indicative state budget exceeding IDR 268 trillion—triggered an intense wave of sarcastic, ironic, and critical digital discourse on the social media platform X (formerly Twitter) during its initial rollout phase (March–May 2026). This study investigates the linguistic, affective, and structural anatomy of this public dissent through an explanatory-sequential mixed-method computational framework. The analytical pipeline integrates three computational tiers: (1) natural language processing using a fine-tuned IndoBERT model for nine-class granular emotion classification and sarcasm identification based on pragmatic text-emoji incongruence; (2) directed Social Network Analysis (SNA) using NetworkX with Louvain community detection and degree assortativity measurement; and (3) Aspect-Based Sentiment Analysis (ABSA) targeting three operational facets of policy delivery—Budget &amp; Procurement, Logistics &amp; Distribution, and Nutritional Quality. The official empirical corpus comprises 971 unique actor nodes and 692 raw interaction records, yielding 666 unique directed edges and 662 unique undirected pairs. The distinction between raw records and unique edges is retained throughout the network analysis to avoid denominator ambiguity.  connected through 692 directed interaction edges, complemented by 3,395 domain-specific tweets. Topological analysis reveals extreme structural fragmentation: a Louvain modularity score of $Q = 0.9837$, 341 weakly connected components, an overall graph density of $\rho = 0.000735$, a dyadic reciprocity rate of merely $R = 1.20\%$, and a giant component encapsulating only $9.17\%$ of total network actors. The network exhibits a heavy-tailed degree distribution consistent with a scale-free model ($\alpha = 2.168$) and disassortative mixing ($r = -0.0847$), demonstrating a stark hub-and-spoke monologue dynamic. Crucially, the platform-native artificial intelligence account @grok and the presidential account @prabowo emerged as the two highest-centrality actors—with @grok receiving direct information-verification requests and @prabowo functioning as a high in-degree target for public grievances. ABSA results demonstrate that disgust constitutes the overwhelmingly dominant affective orientation across all three policy facets: Logistics &amp; Distribution ($78.91\%$), Budget &amp; Procurement ($77.01\%$), and Nutritional Quality ($71.13\%$), with Nutritional Quality generating the largest absolute discursive volume ($n = 1{,}344$ tweets). These empirical findings are synthesized through the diagnostic lens of Marketing 6.0's phygital gap concept—the communicative rift between high-salience digital policy branding and flawed physical service delivery. Digital sarcasm operates not as frivolous noise but as a sophisticated coping mechanism and paralinguistic shield enabling citizens to register sharp moral critique while navigating platform algorithms and institutional surveillance. The study concludes with an integrated implementation roadmap and actionable institutional blueprints for responsive governance, algorithmic risk management, and restorative public health communication.</w:t>
      </w:r>
    </w:p>
    <w:p>
      <w:pPr/>
      <w:r/>
      <w:r>
        <w:rPr>
          <w:rFonts w:ascii="Times New Roman" w:hAnsi="Times New Roman"/>
          <w:sz w:val="22"/>
        </w:rPr>
        <w:t>The directed graph density was $\rho = 0.000707$, calculated from 666 unique directed edges among 971 nodes.</w:t>
      </w:r>
    </w:p>
    <w:p>
      <w:pPr>
        <w:spacing w:before="320" w:after="120"/>
      </w:pPr>
      <w:r>
        <w:rPr>
          <w:rFonts w:ascii="Times New Roman" w:hAnsi="Times New Roman"/>
          <w:b/>
          <w:color w:val="142850"/>
          <w:sz w:val="28"/>
        </w:rPr>
        <w:t>1. Introduction</w:t>
      </w:r>
    </w:p>
    <w:p>
      <w:pPr>
        <w:spacing w:before="240" w:after="80"/>
      </w:pPr>
      <w:r>
        <w:rPr>
          <w:rFonts w:ascii="Times New Roman" w:hAnsi="Times New Roman"/>
          <w:b/>
          <w:color w:val="1E325A"/>
          <w:sz w:val="25"/>
        </w:rPr>
        <w:t>1.1 Background and Problem Statement</w:t>
      </w:r>
    </w:p>
    <w:p>
      <w:pPr/>
      <w:r/>
      <w:r>
        <w:rPr>
          <w:rFonts w:ascii="Times New Roman" w:hAnsi="Times New Roman"/>
          <w:sz w:val="22"/>
        </w:rPr>
        <w:t>Public policy initiatives of monumental fiscal scale inevitably trigger communicative reverberations that rival their operational complexity. Beginning in late 2024 and accelerating through early 2026, the Government of Indonesia embarked upon one of the most ambitious social welfare programs in modern Southeast Asian history: the Makan Bergizi Gratis (MBG), or Free Nutritious Meal, initiative. Positioned as the foundational pillar of the national development agenda toward Indonesia Emas 2045 (Golden Indonesia 2045), the program seeks to eliminate childhood malnutrition, reduce stunting from $21.6\%$ to single digits, and stimulate grassroots agricultural economies. To finance this vision, an initial state budget allocation of IDR 71 trillion was dedicated in the 2025 fiscal year, nested within an indicative multi-year expenditure framework originally projected to reach IDR 335 trillion before being recalibrated to IDR 268 trillion for fiscal year 2026 (Bloomberg Technoz, 2026; National Nutrition Agency, 2026).</w:t>
      </w:r>
    </w:p>
    <w:p>
      <w:r>
        <w:t>However, public policy execution is never evaluated by citizens in an informational vacuum. As Edelman (1964) argued in his seminal treatise on symbolic politics, government allocations, bureaucratic announcements, and administrative adjustments are not merely technical ledger entries; they are highly charged symbolic spectacles that citizens interpret through cognitive heuristics, affective filters, and social networks. When the National Nutrition Agency (</w:t>
      </w:r>
      <w:r>
        <w:rPr>
          <w:i/>
        </w:rPr>
        <w:t>Badan Gizi Nasional</w:t>
      </w:r>
      <w:r>
        <w:t>, BGN) and relevant economic ministries announced a technical reduction of IDR 67 trillion from the program's upper budgetary ceiling—explaining the revision as a prudent reallocation of unabsorbed contingency reserves—public digital spheres did not process this announcement through the clinical logic of fiscal administration. Instead, digital publics on platform X (formerly Twitter) seized upon the IDR 67 trillion subtraction as symbolic confirmation of institutional incompetence, fiscal vulnerability, or perceived corruption risk.</w:t>
      </w:r>
    </w:p>
    <w:p>
      <w:r>
        <w:t>Compounding this fiscal skepticism was a cascade of tangible operational breakdowns during the March–May 2026 implementation window:</w:t>
      </w:r>
    </w:p>
    <w:p>
      <w:pPr>
        <w:pStyle w:val="ListNumber"/>
        <w:spacing w:after="60" w:line="276" w:lineRule="auto"/>
      </w:pPr>
      <w:r>
        <w:rPr>
          <w:b/>
        </w:rPr>
        <w:t>Supply Chain Suspensions</w:t>
      </w:r>
      <w:r>
        <w:t>: The formal shutdown or temporary suspension of 4,581 out of approximately 27,952 Nutrition Fulfillment Service Units (</w:t>
      </w:r>
      <w:r>
        <w:rPr>
          <w:i/>
        </w:rPr>
        <w:t>Satuan Pelayanan Pemenuhan Gizi</w:t>
      </w:r>
      <w:r>
        <w:t>, SPPG), with 1,152 units remaining suspended into May 2026 due to hygiene and standard violations (ANTARA, 2026).</w:t>
      </w:r>
    </w:p>
    <w:p>
      <w:pPr>
        <w:pStyle w:val="ListNumber"/>
        <w:spacing w:after="60" w:line="276" w:lineRule="auto"/>
      </w:pPr>
      <w:r>
        <w:rPr>
          <w:b/>
        </w:rPr>
        <w:t>Food Safety Crises</w:t>
      </w:r>
      <w:r>
        <w:t>: High-profile, viral outbreaks of acute foodborne illness and mass food poisoning (</w:t>
      </w:r>
      <w:r>
        <w:rPr>
          <w:i/>
        </w:rPr>
        <w:t>keracunan massal</w:t>
      </w:r>
      <w:r>
        <w:t>) affecting hundreds of elementary school pupils across West Java, Central Java, and East Nusa Tenggara.</w:t>
      </w:r>
    </w:p>
    <w:p>
      <w:pPr>
        <w:pStyle w:val="ListNumber"/>
        <w:spacing w:after="60" w:line="276" w:lineRule="auto"/>
      </w:pPr>
      <w:r>
        <w:rPr>
          <w:b/>
        </w:rPr>
        <w:t>Procurement Scandals</w:t>
      </w:r>
      <w:r>
        <w:t>: Public controversies regarding the importation of food containers (</w:t>
      </w:r>
      <w:r>
        <w:rPr>
          <w:i/>
        </w:rPr>
        <w:t>ompreng</w:t>
      </w:r>
      <w:r>
        <w:t>) from foreign manufacturers, alongside allegations of "fictitious SPPGs" and political favoritism in vendor selection.</w:t>
      </w:r>
    </w:p>
    <w:p>
      <w:r>
        <w:t>The communicative fallout was acknowledged at the highest bureaucratic levels. During an emergency inter-agency coordination forum in Bekasi on April 6, 2026, Khairul Hidayati, Head of the Legal and Public Relations Bureau of BGN, explicitly declared that the virulence of social media hoaxes, sarcasm, and negative framing had escalated into a strategic vulnerability requiring proactive crisis countermeasures (BGN, 2026). This admission confirmed that the crisis of MBG had crossed the threshold from an operational logistics challenge to an existential crisis of institutional legitimacy and public trust.</w:t>
      </w:r>
    </w:p>
    <w:p>
      <w:pPr>
        <w:spacing w:before="240" w:after="80"/>
      </w:pPr>
      <w:r>
        <w:rPr>
          <w:rFonts w:ascii="Times New Roman" w:hAnsi="Times New Roman"/>
          <w:b/>
          <w:color w:val="1E325A"/>
          <w:sz w:val="25"/>
        </w:rPr>
        <w:t>1.2 Digital Sarcasm as a Methodological and Communicative Problem</w:t>
      </w:r>
    </w:p>
    <w:p>
      <w:r>
        <w:t xml:space="preserve">On platform X, public dissatisfaction did not manifest primarily through formal petitions, structured legal challenges, or conventional political argumentation. Instead, it manifested through an overwhelming deluge of </w:t>
      </w:r>
      <w:r>
        <w:rPr>
          <w:i/>
        </w:rPr>
        <w:t>digital sarcasm, biting satire, and affective mockery</w:t>
      </w:r>
      <w:r>
        <w:t xml:space="preserve">. Citizens consistently constructed messages whose literal, textual surfaces mimicked laudatory praise or patriotic compliance, but whose pragmatic meaning was inverted through the strategic deployment of emojis, hyperbole, and contextual juxtaposition (e.g., pairing phrases such as </w:t>
      </w:r>
      <w:r>
        <w:rPr>
          <w:i/>
        </w:rPr>
        <w:t>"What a glorious world-class meal"</w:t>
      </w:r>
      <w:r>
        <w:t xml:space="preserve"> with clown faces 🤡, upside-down smiles 🙃, or imagery of decayed food items).</w:t>
      </w:r>
    </w:p>
    <w:p>
      <w:r>
        <w:t xml:space="preserve">This communicative behavior presents a severe methodological challenge to conventional sentiment analysis. Traditional Lexicon-based algorithms (such as VADER or SentiStrength) and classical machine learning classifiers (such as Naïve Bayes, Support Vector Machines, or shallow LSTMs) rely heavily on overt lexical polarity. When confronted with a sentence like </w:t>
      </w:r>
      <w:r>
        <w:rPr>
          <w:i/>
        </w:rPr>
        <w:t>"A magnificent 268-trillion program for our beloved children 🤡"</w:t>
      </w:r>
      <w:r>
        <w:t>, classical models misclassify the document as strongly positive due to the presence of high-valence tokens (</w:t>
      </w:r>
      <w:r>
        <w:rPr>
          <w:i/>
        </w:rPr>
        <w:t>"magnificent"</w:t>
      </w:r>
      <w:r>
        <w:t xml:space="preserve">, </w:t>
      </w:r>
      <w:r>
        <w:rPr>
          <w:i/>
        </w:rPr>
        <w:t>"beloved"</w:t>
      </w:r>
      <w:r>
        <w:t xml:space="preserve">, </w:t>
      </w:r>
      <w:r>
        <w:rPr>
          <w:i/>
        </w:rPr>
        <w:t>"program"</w:t>
      </w:r>
      <w:r>
        <w:t>). They fail to process the paralinguistic and multimodal inversion signaled by the terminal clown emoji. In political communication, such misclassification distorts intelligence, leading government agencies to systematically underestimate public rage and cynicism.</w:t>
      </w:r>
    </w:p>
    <w:p>
      <w:r>
        <w:t>Furthermore, digital communication does not circulate in an amorphous space; it flows through structured topologies. Who amplifies these sarcastic narratives? Do critics and defenders engage in deliberative contestation, or are they entombed within impenetrable informational silos? How does an algorithmically governed environment alter the nature of opinion leadership? Addressing these questions requires an integrated computational architecture uniting deep contextual Natural Language Processing (NLP) with graph-theoretic Social Network Analysis (SNA).</w:t>
      </w:r>
    </w:p>
    <w:p>
      <w:pPr>
        <w:spacing w:before="240" w:after="80"/>
      </w:pPr>
      <w:r>
        <w:rPr>
          <w:rFonts w:ascii="Times New Roman" w:hAnsi="Times New Roman"/>
          <w:b/>
          <w:color w:val="1E325A"/>
          <w:sz w:val="25"/>
        </w:rPr>
        <w:t>1.3 Research Objectives and Theoretical Focus</w:t>
      </w:r>
    </w:p>
    <w:p>
      <w:r>
        <w:t>To unpack these dynamics, this study establishes five interrelated Research Objectives (RO) and corresponding Research Questions (RQ):</w:t>
      </w:r>
    </w:p>
    <w:p>
      <w:pPr>
        <w:pStyle w:val="ListBullet"/>
        <w:spacing w:after="60" w:line="276" w:lineRule="auto"/>
      </w:pPr>
      <w:r>
        <w:rPr>
          <w:b/>
        </w:rPr>
        <w:t>RO1 / RQ1</w:t>
      </w:r>
      <w:r>
        <w:t>: To decode the linguistic and syntactic anatomy of digital sarcasm in MBG discourse on platform X, identifying salient diction, metaphorical structures, and rhetorical devices.</w:t>
      </w:r>
    </w:p>
    <w:p>
      <w:pPr>
        <w:pStyle w:val="ListBullet"/>
        <w:spacing w:after="60" w:line="276" w:lineRule="auto"/>
      </w:pPr>
      <w:r>
        <w:rPr>
          <w:b/>
        </w:rPr>
        <w:t>RO2 / RQ2</w:t>
      </w:r>
      <w:r>
        <w:t>: To quantify the role of text-emoji incongruence as a pragmatic vehicle of valence inversion, determining how paralinguistic tokens systematically reverse literal semantics.</w:t>
      </w:r>
    </w:p>
    <w:p>
      <w:pPr>
        <w:pStyle w:val="ListBullet"/>
        <w:spacing w:after="60" w:line="276" w:lineRule="auto"/>
      </w:pPr>
      <w:r>
        <w:rPr>
          <w:b/>
        </w:rPr>
        <w:t>RO3 / RQ3</w:t>
      </w:r>
      <w:r>
        <w:t>: To map the macro- and meso-topological properties of the MBG interaction network, establishing its degree of structural fragmentation, clustering, and echo-chamber segregation.</w:t>
      </w:r>
    </w:p>
    <w:p>
      <w:pPr>
        <w:pStyle w:val="ListBullet"/>
        <w:spacing w:after="60" w:line="276" w:lineRule="auto"/>
      </w:pPr>
      <w:r>
        <w:rPr>
          <w:b/>
        </w:rPr>
        <w:t>RO4 / RQ4</w:t>
      </w:r>
      <w:r>
        <w:t>: To identify high-centrality actor typologies, examining how human political figures, citizen activists, and artificial intelligence agents direct public communicative flows.</w:t>
      </w:r>
    </w:p>
    <w:p>
      <w:pPr>
        <w:pStyle w:val="ListBullet"/>
        <w:spacing w:after="60" w:line="276" w:lineRule="auto"/>
      </w:pPr>
      <w:r>
        <w:rPr>
          <w:b/>
        </w:rPr>
        <w:t>RO5 / RQ5</w:t>
      </w:r>
      <w:r>
        <w:t xml:space="preserve">: To interpret these computational patterns through the theoretical framework of Marketing 6.0 (Kotler, Kartajaya, &amp; Setiawan, 2023), evaluating whether observed sarcasm manifests a profound </w:t>
      </w:r>
      <w:r>
        <w:rPr>
          <w:i/>
        </w:rPr>
        <w:t>phygital gap</w:t>
      </w:r>
      <w:r>
        <w:t>—the rupture between high-concept digital brand positioning and physical operational delivery.</w:t>
      </w:r>
    </w:p>
    <w:p>
      <w:pPr>
        <w:spacing w:before="320" w:after="120"/>
      </w:pPr>
      <w:r>
        <w:rPr>
          <w:rFonts w:ascii="Times New Roman" w:hAnsi="Times New Roman"/>
          <w:b/>
          <w:color w:val="142850"/>
          <w:sz w:val="28"/>
        </w:rPr>
        <w:t>2. Literature Review and Theoretical Framework</w:t>
      </w:r>
    </w:p>
    <w:p>
      <w:pPr>
        <w:spacing w:before="240" w:after="80"/>
      </w:pPr>
      <w:r>
        <w:rPr>
          <w:rFonts w:ascii="Times New Roman" w:hAnsi="Times New Roman"/>
          <w:b/>
          <w:color w:val="1E325A"/>
          <w:sz w:val="25"/>
        </w:rPr>
        <w:t>2.1 Public Trust, Risk Communication, and Symbolic Politics</w:t>
      </w:r>
    </w:p>
    <w:p>
      <w:r>
        <w:t xml:space="preserve">Public trust in government is defined by Levi and Stoker (2000) as a multidimensional construct resting upon two distinct cognitive pillars: </w:t>
      </w:r>
      <w:r>
        <w:rPr>
          <w:i/>
        </w:rPr>
        <w:t>competence trust</w:t>
      </w:r>
      <w:r>
        <w:t xml:space="preserve"> (the citizen's belief that political institutions possess the administrative, technical, and operational capacity to deliver public goods) and </w:t>
      </w:r>
      <w:r>
        <w:rPr>
          <w:i/>
        </w:rPr>
        <w:t>moral/fiduciary trust</w:t>
      </w:r>
      <w:r>
        <w:t xml:space="preserve"> (the belief that political elites act with benevolent intent and integrity rather than corrupt self-interest). In large-scale social welfare programs, these two dimensions are deeply entwined. When an administrative apparatus struggles to distribute school lunches without inducing bacterial contamination, competence trust collapses immediately. When budget adjustments of IDR 67 trillion occur alongside procurement controversies, moral trust is simultaneously undermined.</w:t>
      </w:r>
    </w:p>
    <w:p>
      <w:pPr/>
      <w:r/>
      <w:r>
        <w:rPr>
          <w:rFonts w:ascii="Times New Roman" w:hAnsi="Times New Roman"/>
          <w:sz w:val="22"/>
        </w:rPr>
        <w:t>Classical risk communication theory (Covello, von Winterfeldt, &amp; Slovic, 1986; Renn, 1992; Slovic, 1987) posits that public perception of risk is rarely an objective mathematical function of probability and consequence (Risk \neq Hazard). Rather, risk perception is mediated by outrage factors—including lack of voluntariness, perceptions of unfair benefit distribution, institutional secrecy, and distrust in regulatory authorities. In the MBG program, parents surrender control over their children's nutritional intake to state-appointed private caterers (SPPG). Any failure at that physical touchpoint triggers acute psychological outrage that far outweighs the government’s statistical claims that 95% of distribution units operate without incident.</w:t>
      </w:r>
    </w:p>
    <w:p>
      <w:r>
        <w:t xml:space="preserve">This dynamic is amplified by Edelman’s (1964) </w:t>
      </w:r>
      <w:r>
        <w:rPr>
          <w:i/>
        </w:rPr>
        <w:t>symbolic politics</w:t>
      </w:r>
      <w:r>
        <w:t>. Edelman argued that the vast majority of citizens possess no direct, unmediated knowledge of complex fiscal operations. Consequently, citizens rely on administrative symbols as cognitive shortcuts. Large budget figures (IDR 268 trillion) serve as grand symbols of national grandeur; downward revisions serve as symbols of retrenchment or deceit; and an unhygienic meal serves as an irrefutable physical symbol that contradicts the state's entire modernizing narrative.</w:t>
      </w:r>
    </w:p>
    <w:p>
      <w:pPr>
        <w:spacing w:before="240" w:after="80"/>
      </w:pPr>
      <w:r>
        <w:rPr>
          <w:rFonts w:ascii="Times New Roman" w:hAnsi="Times New Roman"/>
          <w:b/>
          <w:color w:val="1E325A"/>
          <w:sz w:val="25"/>
        </w:rPr>
        <w:t>2.2 Networked Framing and the Ecology of Digital Dissent</w:t>
      </w:r>
    </w:p>
    <w:p>
      <w:r>
        <w:t xml:space="preserve">In contemporary computational media spaces, public policy framing no longer flows downward through a hypodermic, broadcast model of communication. Rather, it operates through what Bennett and Segerberg (2012) term the </w:t>
      </w:r>
      <w:r>
        <w:rPr>
          <w:i/>
        </w:rPr>
        <w:t>logic of connective action</w:t>
      </w:r>
      <w:r>
        <w:t>. In connective action networks, political engagement is not organized through rigid hierarchical associations; it crystallizes around personal, digitally mediated expressions of identity, grievance, and humor that diffuse rapidly across social topologies.</w:t>
      </w:r>
    </w:p>
    <w:p>
      <w:r>
        <w:t xml:space="preserve">Schultz, Utz, and Göritz (2011) extended this into the </w:t>
      </w:r>
      <w:r>
        <w:rPr>
          <w:i/>
        </w:rPr>
        <w:t>Networked Crisis Communication</w:t>
      </w:r>
      <w:r>
        <w:t xml:space="preserve"> model, demonstrating that on social media platforms, crises unfold through non-linear multi-directional feedback loops. Every citizen node acts simultaneously as an audience, an evaluator, and an investigative broadcaster. Platforms like X function under what boyd and Crawford (2012) and Marwick and boyd (2011) identify as </w:t>
      </w:r>
      <w:r>
        <w:rPr>
          <w:i/>
        </w:rPr>
        <w:t>context collapse</w:t>
      </w:r>
      <w:r>
        <w:t>—an environment where diverse social audiences collapse into a single communicative stream, forcing users to navigate surveillance from peers, state authorities, and commercial algorithms simultaneously.</w:t>
      </w:r>
    </w:p>
    <w:p>
      <w:r>
        <w:t xml:space="preserve">Under conditions of context collapse, political dissent frequently migrates into the register of </w:t>
      </w:r>
      <w:r>
        <w:rPr>
          <w:i/>
        </w:rPr>
        <w:t>irony and sarcasm</w:t>
      </w:r>
      <w:r>
        <w:t>. As Scott (1985) articulated in his influential theory of "weapons of the weak" and everyday forms of subaltern resistance, subordinated populations who perceive direct political confrontation to be dangerous or futile adopt subversive humor, deliberate foot-dragging, and coded speech to contest dominant hegemony. On Indonesian social media, where the Electronic Information and Transactions Law (</w:t>
      </w:r>
      <w:r>
        <w:rPr>
          <w:i/>
        </w:rPr>
        <w:t>Undang-Undang Informasi dan Transaksi Elektronik</w:t>
      </w:r>
      <w:r>
        <w:t>, UU ITE) has historically been weaponized against direct government critics, digital sarcasm provides a paralinguistic cloak. Citizens avoid explicit defamation by crafting surface-positive text while embedding subversion in emojis, double-entendres, and hyperbole.</w:t>
      </w:r>
    </w:p>
    <w:p>
      <w:pPr>
        <w:spacing w:before="240" w:after="80"/>
      </w:pPr>
      <w:r>
        <w:rPr>
          <w:rFonts w:ascii="Times New Roman" w:hAnsi="Times New Roman"/>
          <w:b/>
          <w:color w:val="1E325A"/>
          <w:sz w:val="25"/>
        </w:rPr>
        <w:t>2.3 Pragmatic Incongruence, Paralinguistics, and Sarcasm Theory</w:t>
      </w:r>
    </w:p>
    <w:p>
      <w:pPr/>
      <w:r/>
      <w:r>
        <w:rPr>
          <w:rFonts w:ascii="Times New Roman" w:hAnsi="Times New Roman"/>
          <w:sz w:val="22"/>
        </w:rPr>
        <w:t>Linguistically, sarcasm represents a sophisticated communicative act governed by pragmatic incongruence (Attardo, 2000; Camp, 2012; Gibbs, 2000; Giora, 2003; Grice, 1975). Grice’s Cooperative Principle establishes the Maxim of Quality: "Do not say that which you believe to be false." Sarcasm operates through the blatant, intentional flouting of the Maxim of Quality. The speaker utters proposition P, fully intending the recipient to recognize that the speaker actually believes proposition \neg P (not-P).</w:t>
      </w:r>
    </w:p>
    <w:p>
      <w:r>
        <w:t xml:space="preserve">In computer-mediated communication (CMC), where acoustic inflection, facial grimaces, and vocal pitch are stripped away, text-based sarcasm faces an acute risk of communicative failure (Poe’s Law). To overcome this limitation, digital communicators deploy </w:t>
      </w:r>
      <w:r>
        <w:rPr>
          <w:i/>
        </w:rPr>
        <w:t>emojis as paralinguistic tone markers</w:t>
      </w:r>
      <w:r>
        <w:t xml:space="preserve"> (Dresner &amp; Herring, 2010; Skovholt, Grønning, &amp; Kankaanranta, 2014). An emoji does not merely illustrate a sentence; it functions as an illocutionary force indicator. When an actor writes </w:t>
      </w:r>
      <w:r>
        <w:rPr>
          <w:i/>
        </w:rPr>
        <w:t>"The menu today is truly five-star quality 🤮"</w:t>
      </w:r>
      <w:r>
        <w:t>, the nauseated emoji operates as a metapragmatic operator that structurally invalidates the literal semantic value of "five-star quality," forcing an inverted interpretation.</w:t>
      </w:r>
    </w:p>
    <w:p>
      <w:pPr>
        <w:spacing w:before="240" w:after="80"/>
      </w:pPr>
      <w:r>
        <w:rPr>
          <w:rFonts w:ascii="Times New Roman" w:hAnsi="Times New Roman"/>
          <w:b/>
          <w:color w:val="1E325A"/>
          <w:sz w:val="25"/>
        </w:rPr>
        <w:t>2.4 Deep Learning, IndoBERT, and Emotion Classification</w:t>
      </w:r>
    </w:p>
    <w:p>
      <w:r>
        <w:t>Capturing these subtle pragmatic nuances requires natural language processing systems that transcend bag-of-words and n-gram architectures. The introduction of the Transformer architecture (Vaswani et al., 2017) and Bidirectional Encoder Representations from Transformers (BERT) (Devlin et al., 2019) revolutionized computational linguistics by utilizing multi-head self-attention mechanisms. Self-attention enables the model to dynamically compute the semantic representation of a given token by simultaneously evaluating all surrounding tokens in both forward and backward directions.</w:t>
      </w:r>
    </w:p>
    <w:p>
      <w:r>
        <w:t xml:space="preserve">For the Indonesian language, Wilie et al. (2020) developed </w:t>
      </w:r>
      <w:r>
        <w:rPr>
          <w:b/>
        </w:rPr>
        <w:t>IndoBERT</w:t>
      </w:r>
      <w:r>
        <w:t>, pre-trained on the comprehensive Indo4B corpus encompassing over 4 billion tokens derived from Indonesian news portals, Wikipedia, and social media platforms. IndoBERT possesses deep knowledge of Indonesian morphological systems, affixation patterns, and syntax. When fine-tuned on social media discourse, IndoBERT captures the colloquial dialects, slang (</w:t>
      </w:r>
      <w:r>
        <w:rPr>
          <w:i/>
        </w:rPr>
        <w:t>bahasa gaul</w:t>
      </w:r>
      <w:r>
        <w:t xml:space="preserve">), abbreviations, and code-mixing characteristic of Indonesian political discourse on platform X. Rather than collapsing sentiment into coarse, binary (positive vs. negative) classifications, fine-tuning IndoBERT for granular emotion classification (Ekman, 1992; Plutchik, 1980) enables the empirical isolation of </w:t>
      </w:r>
      <w:r>
        <w:rPr>
          <w:i/>
        </w:rPr>
        <w:t>disgust, anger, fear, sadness, and trust</w:t>
      </w:r>
      <w:r>
        <w:t>, providing nuanced diagnostic visibility into citizen affective states.</w:t>
      </w:r>
    </w:p>
    <w:p>
      <w:pPr>
        <w:spacing w:before="240" w:after="80"/>
      </w:pPr>
      <w:r>
        <w:rPr>
          <w:rFonts w:ascii="Times New Roman" w:hAnsi="Times New Roman"/>
          <w:b/>
          <w:color w:val="1E325A"/>
          <w:sz w:val="25"/>
        </w:rPr>
        <w:t>2.5 Social Network Analysis, Scale-Free Networks, and Echo Chambers</w:t>
      </w:r>
    </w:p>
    <w:p>
      <w:pPr/>
      <w:r/>
      <w:r>
        <w:rPr>
          <w:rFonts w:ascii="Times New Roman" w:hAnsi="Times New Roman"/>
          <w:sz w:val="22"/>
        </w:rPr>
        <w:t>Social Network Analysis (SNA) models social systems as directed graphs $G = (V, E)$, where V denotes the set of vertices (actors/user accounts) and E represents the set of directed edges (mentions, retweets, replies) (Freeman, 1979; Wasserman &amp; Faust, 1994). Network topology dictates how information diffuses, how social capital concentrates, and how ideological polarization hardens.</w:t>
      </w:r>
    </w:p>
    <w:p>
      <w:r>
        <w:t>Key topological laws and metrics govern online political interaction:</w:t>
      </w:r>
    </w:p>
    <w:p>
      <w:pPr>
        <w:pStyle w:val="ListNumber"/>
        <w:spacing w:after="60" w:line="276" w:lineRule="auto"/>
      </w:pPr>
      <w:r/>
      <w:r>
        <w:rPr>
          <w:rFonts w:ascii="Times New Roman" w:hAnsi="Times New Roman"/>
          <w:sz w:val="22"/>
        </w:rPr>
        <w:t>Heavy-Tailed Degree Structure and Network Heterogeneity: Real-world communication networks rarely conform to random Poisson graph models (Erdős &amp; Rényi, 1960). Instead, they exhibit power-law degree distributions $P(k) \sim k^{-\alpha}$, characteristic of heavy-tailed network structures driven by preferential attachment ("the rich get richer") (Barabási &amp; Albert, 1999). A tiny minority of elite nodes (hubs) accumulate massive connectivity, while the overwhelming majority of nodes inhabit the sparse periphery.</w:t>
      </w:r>
    </w:p>
    <w:p>
      <w:pPr>
        <w:pStyle w:val="ListNumber"/>
        <w:spacing w:after="60" w:line="276" w:lineRule="auto"/>
      </w:pPr>
      <w:r/>
      <w:r>
        <w:rPr>
          <w:rFonts w:ascii="Times New Roman" w:hAnsi="Times New Roman"/>
          <w:sz w:val="22"/>
        </w:rPr>
        <w:t>Louvain Modularity and Echo Chambers: Modularity (Q) quantifies the extent to which a network partitions into dense, internally cohesive sub-communities with minimal cross-community boundary connections (Blondel et al., 2008; Newman, 2006). When $Q &gt; 0.4$, a network demonstrates significant community structuring; when $Q &gt; 0.7$, it approaches structural hyper-segregation. If these structural clusters align with uniform affective or ideological stances, they function as echo chambers (Jamieson &amp; Cappella, 2008; Sunstein, 2001), reinforcing intra-group consensus while shielding members from dissonant external information.</w:t>
      </w:r>
    </w:p>
    <w:p>
      <w:pPr>
        <w:pStyle w:val="ListNumber"/>
        <w:spacing w:after="60" w:line="276" w:lineRule="auto"/>
      </w:pPr>
      <w:r/>
      <w:r>
        <w:rPr>
          <w:rFonts w:ascii="Times New Roman" w:hAnsi="Times New Roman"/>
          <w:sz w:val="22"/>
        </w:rPr>
        <w:t>Degree Assortativity (r): Formulated by Newman (2002), the assortativity coefficient measures the correlation between the degrees of connected nodes. Positive assortativity ($r &gt; 0$) implies that high-degree hubs interact predominantly with other hubs (an elite oligarchy). Negative assortativity ($r &lt; 0$, disassortative mixing) reveals that peripheral, low-degree nodes connect predominantly to high-degree hubs, characteristic of broadcast or complaint architectures where ordinary citizens direct appeals to institutional centers.</w:t>
      </w:r>
    </w:p>
    <w:p>
      <w:pPr>
        <w:spacing w:before="240" w:after="80"/>
      </w:pPr>
      <w:r>
        <w:rPr>
          <w:rFonts w:ascii="Times New Roman" w:hAnsi="Times New Roman"/>
          <w:b/>
          <w:color w:val="1E325A"/>
          <w:sz w:val="25"/>
        </w:rPr>
        <w:t>2.6 The Marketing 6.0 Phygital Gap Framework in Public Administration</w:t>
      </w:r>
    </w:p>
    <w:p>
      <w:r>
        <w:t xml:space="preserve">In the commercial discipline, Philip Kotler, Hermawan Kartajaya, and Iwan Setiawan (2023) formulated </w:t>
      </w:r>
      <w:r>
        <w:rPr>
          <w:b/>
        </w:rPr>
        <w:t>Marketing 6.0: The Future is Immersive</w:t>
      </w:r>
      <w:r>
        <w:t xml:space="preserve">. Marketing 6.0 posits that in an era saturated with artificial intelligence, ubiquitous connectivity, and spatial computing, the defining determinant of brand survival is the management of the </w:t>
      </w:r>
      <w:r>
        <w:rPr>
          <w:b/>
        </w:rPr>
        <w:t>phygital experience</w:t>
      </w:r>
      <w:r>
        <w:t xml:space="preserve">—the seamless, frictionless synchronization between </w:t>
      </w:r>
      <w:r>
        <w:rPr>
          <w:i/>
        </w:rPr>
        <w:t>digital brand touchpoints</w:t>
      </w:r>
      <w:r>
        <w:t xml:space="preserve"> (social media storytelling, digital advertising, algorithmic personalization) and </w:t>
      </w:r>
      <w:r>
        <w:rPr>
          <w:i/>
        </w:rPr>
        <w:t>physical touchpoints</w:t>
      </w:r>
      <w:r>
        <w:t xml:space="preserve"> (brick-and-mortar stores, product packaging, human customer service).</w:t>
      </w:r>
    </w:p>
    <w:p>
      <w:r>
        <w:t xml:space="preserve">The </w:t>
      </w:r>
      <w:r>
        <w:rPr>
          <w:b/>
        </w:rPr>
        <w:t>phygital gap</w:t>
      </w:r>
      <w:r>
        <w:t xml:space="preserve"> occurs when a severe, irreconcilable discrepancy emerges between the idealized digital promise and the tangible physical delivery. When a consumer is promised a revolutionary digital journey but encounters defective physical execution, cognitive dissonance spikes, leading to rapid brand abandonment, vocal boycott, and mockery.</w:t>
      </w:r>
    </w:p>
    <w:p>
      <w:r>
        <w:t xml:space="preserve">While formulated for private enterprises, this study proposes an innovative theoretical translation of the Marketing 6.0 phygital gap into </w:t>
      </w:r>
      <w:r>
        <w:rPr>
          <w:i/>
        </w:rPr>
        <w:t>public administration and political communication</w:t>
      </w:r>
      <w:r>
        <w:t>:</w:t>
      </w:r>
    </w:p>
    <w:p>
      <w:pPr>
        <w:pStyle w:val="ListBullet"/>
        <w:spacing w:after="60" w:line="276" w:lineRule="auto"/>
      </w:pPr>
      <w:r>
        <w:rPr>
          <w:b/>
        </w:rPr>
        <w:t>The State as Brand</w:t>
      </w:r>
      <w:r>
        <w:t xml:space="preserve">: The Indonesian state functions as a macro-brand communicating its vision of </w:t>
      </w:r>
      <w:r>
        <w:rPr>
          <w:i/>
        </w:rPr>
        <w:t>Indonesia Emas 2045</w:t>
      </w:r>
      <w:r>
        <w:t xml:space="preserve"> through mass-mediated digital public relations.</w:t>
      </w:r>
    </w:p>
    <w:p>
      <w:pPr>
        <w:pStyle w:val="ListBullet"/>
        <w:spacing w:after="60" w:line="276" w:lineRule="auto"/>
      </w:pPr>
      <w:r>
        <w:rPr>
          <w:b/>
        </w:rPr>
        <w:t>The Citizen as End-User/Beneficiary</w:t>
      </w:r>
      <w:r>
        <w:t>: Schoolchildren and their taxpaying parents are the ultimate co-creators of policy value (Vargo &amp; Lusch, 2004, 2016).</w:t>
      </w:r>
    </w:p>
    <w:p>
      <w:pPr>
        <w:pStyle w:val="ListBullet"/>
        <w:spacing w:after="60" w:line="276" w:lineRule="auto"/>
      </w:pPr>
      <w:r>
        <w:rPr>
          <w:b/>
        </w:rPr>
        <w:t>The Policy Delivery Infrastructure as Physical Touchpoint</w:t>
      </w:r>
      <w:r>
        <w:t>: The decentralized network of 27,952 SPPG kitchens, catering contractors, and distribution vans constitutes the physical touchpoint where policy meets reality.</w:t>
      </w:r>
    </w:p>
    <w:p>
      <w:pPr>
        <w:pStyle w:val="ListBullet"/>
        <w:spacing w:after="60" w:line="276" w:lineRule="auto"/>
      </w:pPr>
      <w:r>
        <w:rPr>
          <w:b/>
        </w:rPr>
        <w:t>The Phygital Policy Gap</w:t>
      </w:r>
      <w:r>
        <w:t>: When state digital channels project hyper-modern, nutritionally balanced, sterile feasts funded by hundreds of trillions of rupiah, but parents physically open school lunchboxes to discover spoiled rice, microscopic portions, or food poisoning pathogens, the phygital gap yawns wide. Digital sarcasm emerges as the primary expressive mechanism through which citizens negotiate this profound betrayal of expectations.</w:t>
      </w:r>
    </w:p>
    <w:p>
      <w:pPr>
        <w:spacing w:before="320" w:after="120"/>
      </w:pPr>
      <w:r>
        <w:rPr>
          <w:rFonts w:ascii="Times New Roman" w:hAnsi="Times New Roman"/>
          <w:b/>
          <w:color w:val="142850"/>
          <w:sz w:val="28"/>
        </w:rPr>
        <w:t>3. Methodology</w:t>
      </w:r>
    </w:p>
    <w:p>
      <w:pPr>
        <w:spacing w:before="240" w:after="80"/>
      </w:pPr>
      <w:r>
        <w:rPr>
          <w:rFonts w:ascii="Times New Roman" w:hAnsi="Times New Roman"/>
          <w:b/>
          <w:color w:val="1E325A"/>
          <w:sz w:val="25"/>
        </w:rPr>
        <w:t>3.1 Research Design and Methodological Architecture</w:t>
      </w:r>
    </w:p>
    <w:p>
      <w:r>
        <w:t>This study adopts an explanatory-sequential mixed-method design grounded in Computational Social Science (CSS) (Lazer et al., 2009, 2020). The research pipeline executes sequentially across three integrated computational tiers: (1) deep learning natural language processing for emotion and sarcasm parsing; (2) graph-theoretic social network modeling; and (3) aspect-based sentiment decomposition, culminating in an inductive theoretical synthesis.</w:t>
      </w:r>
    </w:p>
    <w:p>
      <w:r>
        <w:t>The overall methodological architecture is visualized in Figure 1.</w:t>
      </w:r>
    </w:p>
    <w:p>
      <w:r>
        <w:t>![Figure 1: Methodological and Analytical Architecture](results/integrated_sna_nlp.png)</w:t>
      </w:r>
    </w:p>
    <w:p>
      <w:r>
        <w:t>As demonstrated in Figure 1, the raw platform X data stream undergoes rigorous multi-stage preprocessing before branching simultaneously into the NLP emotion/sarcasm fine-tuning pipeline and the NetworkX graph engine. The convergence of these streams produces the empirical foundation for Aspect-Based Sentiment Analysis (ABSA) and the Marketing 6.0 phygital synthesis.</w:t>
      </w:r>
    </w:p>
    <w:p>
      <w:pPr>
        <w:spacing w:before="240" w:after="80"/>
      </w:pPr>
      <w:r>
        <w:rPr>
          <w:rFonts w:ascii="Times New Roman" w:hAnsi="Times New Roman"/>
          <w:b/>
          <w:color w:val="1E325A"/>
          <w:sz w:val="25"/>
        </w:rPr>
        <w:t>3.2 Data Collection and Ethical Considerations</w:t>
      </w:r>
    </w:p>
    <w:p>
      <w:r>
        <w:t>Data collection was executed using a specialized Python-based web extraction suite targeting platform X between March 1, 2026, and May 31, 2026. This timeframe coincides with the most turbulent phase of the MBG rollout, encompassing the formal budget reallocation announcements, initial large-scale SPPG suspensions, and prominent food poisoning outbreaks.</w:t>
      </w:r>
    </w:p>
    <w:p>
      <w:r>
        <w:t>Search queries utilized domain-specific Boolean keyword clusters:</w:t>
      </w:r>
    </w:p>
    <w:p>
      <w:pPr>
        <w:spacing w:before="120" w:after="120" w:line="240" w:lineRule="auto"/>
        <w:ind w:left="432" w:right="432"/>
      </w:pPr>
      <w:r>
        <w:rPr>
          <w:rFonts w:ascii="Consolas" w:hAnsi="Consolas"/>
          <w:color w:val="141E3C"/>
          <w:sz w:val="17"/>
        </w:rPr>
        <w:t>("Makan Bergizi Gratis" OR "MBG" OR "Makan Siang Gratis" OR "SPPG" OR "Badan Gizi Nasional" OR "BGN")</w:t>
        <w:br/>
        <w:t>AND (lang:id)</w:t>
      </w:r>
    </w:p>
    <w:p>
      <w:r>
        <w:t>For each captured tweet, the system extracted: (a) unique tweet ID; (b) raw string content; (c) author username handle; (d) timestamp (ISO 8601 UTC+7); (e) directed relational metadata (reply-to user, mentioned users, quote source); and (f) engagement metrics (retweet count, like count, reply count, quote count, view count).</w:t>
      </w:r>
    </w:p>
    <w:p>
      <w:r>
        <w:rPr>
          <w:b/>
        </w:rPr>
        <w:t>Research Ethics and Privacy Protocol</w:t>
      </w:r>
      <w:r>
        <w:t>:</w:t>
      </w:r>
    </w:p>
    <w:p>
      <w:pPr>
        <w:pStyle w:val="ListNumber"/>
        <w:spacing w:after="60" w:line="276" w:lineRule="auto"/>
      </w:pPr>
      <w:r>
        <w:rPr>
          <w:b/>
        </w:rPr>
        <w:t>Anonymization and Pseudonymization</w:t>
      </w:r>
      <w:r>
        <w:t xml:space="preserve">: All non-public individual accounts were pseudonymized during qualitative quotation to safeguard citizen privacy against potential administrative or legal reprisal under the Indonesian UU ITE. Public political officials (e.g., </w:t>
      </w:r>
      <w:r>
        <w:rPr>
          <w:rFonts w:ascii="Consolas" w:hAnsi="Consolas"/>
          <w:color w:val="1E2D6E"/>
          <w:sz w:val="20"/>
        </w:rPr>
        <w:t>@prabowo</w:t>
      </w:r>
      <w:r>
        <w:t xml:space="preserve">), government agency accounts (e.g., </w:t>
      </w:r>
      <w:r>
        <w:rPr>
          <w:rFonts w:ascii="Consolas" w:hAnsi="Consolas"/>
          <w:color w:val="1E2D6E"/>
          <w:sz w:val="20"/>
        </w:rPr>
        <w:t>@kemkomdigi</w:t>
      </w:r>
      <w:r>
        <w:t xml:space="preserve">), and platform-integrated AI entities (e.g., </w:t>
      </w:r>
      <w:r>
        <w:rPr>
          <w:rFonts w:ascii="Consolas" w:hAnsi="Consolas"/>
          <w:color w:val="1E2D6E"/>
          <w:sz w:val="20"/>
        </w:rPr>
        <w:t>@grok</w:t>
      </w:r>
      <w:r>
        <w:t>) were retained unmasked as their interactions constitute public civic record.</w:t>
      </w:r>
    </w:p>
    <w:p>
      <w:pPr>
        <w:pStyle w:val="ListNumber"/>
        <w:spacing w:after="60" w:line="276" w:lineRule="auto"/>
      </w:pPr>
      <w:r>
        <w:rPr>
          <w:b/>
        </w:rPr>
        <w:t>Bot and Sybil Filtering</w:t>
      </w:r>
      <w:r>
        <w:t>: To ensure corpus authenticity, algorithmic bot filtering was deployed. Accounts demonstrating superhuman posting frequencies (&gt;120 tweets per day), mechanical circadian intervals, extreme following-to-follower anomalies (&gt;5,000 following with zero followers), or repetitive verbatim copy-paste behavior were excised from the analytical dataset.</w:t>
      </w:r>
    </w:p>
    <w:p>
      <w:pPr>
        <w:pStyle w:val="ListNumber"/>
        <w:spacing w:after="60" w:line="276" w:lineRule="auto"/>
      </w:pPr>
      <w:r>
        <w:rPr>
          <w:b/>
        </w:rPr>
        <w:t>Institutional Compliance</w:t>
      </w:r>
      <w:r>
        <w:t>: The protocol complied fully with institutional review board guidelines for internet research (Association of Internet Researchers, AoIR) and accessed only publicly accessible social media discourse.</w:t>
      </w:r>
    </w:p>
    <w:p>
      <w:pPr>
        <w:spacing w:before="240" w:after="80"/>
      </w:pPr>
      <w:r>
        <w:rPr>
          <w:rFonts w:ascii="Times New Roman" w:hAnsi="Times New Roman"/>
          <w:b/>
          <w:color w:val="1E325A"/>
          <w:sz w:val="25"/>
        </w:rPr>
        <w:t>3.3 Corpus Composition and Text Preprocessing</w:t>
      </w:r>
    </w:p>
    <w:p>
      <w:r>
        <w:t>The primary empirical data consists of two parallel datasets:</w:t>
      </w:r>
    </w:p>
    <w:p>
      <w:pPr>
        <w:pStyle w:val="ListBullet"/>
        <w:spacing w:after="60" w:line="276" w:lineRule="auto"/>
      </w:pPr>
      <w:r/>
      <w:r>
        <w:rPr>
          <w:rFonts w:ascii="Times New Roman" w:hAnsi="Times New Roman"/>
          <w:sz w:val="22"/>
        </w:rPr>
        <w:t>Network Graph Corpus (G): 971 unique actor nodes ($|V| = 971$) and 692 directed interaction edges ($|E| = 692$).</w:t>
      </w:r>
    </w:p>
    <w:p>
      <w:pPr>
        <w:pStyle w:val="ListBullet"/>
        <w:spacing w:after="60" w:line="276" w:lineRule="auto"/>
      </w:pPr>
      <w:r/>
      <w:r>
        <w:rPr>
          <w:rFonts w:ascii="Times New Roman" w:hAnsi="Times New Roman"/>
          <w:sz w:val="22"/>
        </w:rPr>
        <w:t>NLP Text Classification Corpus (D): 3,395 domain-specific tweets, partitioned through stratified random sampling (seed = 42) into:</w:t>
      </w:r>
    </w:p>
    <w:p>
      <w:pPr>
        <w:pStyle w:val="ListBullet"/>
        <w:spacing w:after="60" w:line="276" w:lineRule="auto"/>
      </w:pPr>
      <w:r/>
      <w:r>
        <w:rPr>
          <w:rFonts w:ascii="Times New Roman" w:hAnsi="Times New Roman"/>
          <w:sz w:val="22"/>
        </w:rPr>
        <w:t>Training Set: 2,334 tweets ($68.75\%$)</w:t>
      </w:r>
    </w:p>
    <w:p>
      <w:pPr>
        <w:pStyle w:val="ListBullet"/>
        <w:spacing w:after="60" w:line="276" w:lineRule="auto"/>
      </w:pPr>
      <w:r/>
      <w:r>
        <w:rPr>
          <w:rFonts w:ascii="Times New Roman" w:hAnsi="Times New Roman"/>
          <w:sz w:val="22"/>
        </w:rPr>
        <w:t>Validation Set: 500 tweets ($14.73\%$)</w:t>
      </w:r>
    </w:p>
    <w:p>
      <w:pPr>
        <w:pStyle w:val="ListBullet"/>
        <w:spacing w:after="60" w:line="276" w:lineRule="auto"/>
      </w:pPr>
      <w:r/>
      <w:r>
        <w:rPr>
          <w:rFonts w:ascii="Times New Roman" w:hAnsi="Times New Roman"/>
          <w:sz w:val="22"/>
        </w:rPr>
        <w:t>Testing Set: 561 tweets ($16.52\%$)</w:t>
      </w:r>
    </w:p>
    <w:p>
      <w:r>
        <w:t>The text preprocessing pipeline was meticulously engineered to resolve the informal, noisy morphology of Indonesian Twitter while strictly safeguarding paralinguistic sarcasm markers:</w:t>
      </w:r>
    </w:p>
    <w:p>
      <w:pPr>
        <w:pStyle w:val="ListNumber"/>
        <w:spacing w:after="60" w:line="276" w:lineRule="auto"/>
      </w:pPr>
      <w:r>
        <w:rPr>
          <w:b/>
        </w:rPr>
        <w:t>URL and Metadata Stripping</w:t>
      </w:r>
      <w:r>
        <w:t xml:space="preserve">: Elimination of </w:t>
      </w:r>
      <w:r>
        <w:rPr>
          <w:rFonts w:ascii="Consolas" w:hAnsi="Consolas"/>
          <w:color w:val="1E2D6E"/>
          <w:sz w:val="20"/>
        </w:rPr>
        <w:t>http://</w:t>
      </w:r>
      <w:r>
        <w:t xml:space="preserve">, </w:t>
      </w:r>
      <w:r>
        <w:rPr>
          <w:rFonts w:ascii="Consolas" w:hAnsi="Consolas"/>
          <w:color w:val="1E2D6E"/>
          <w:sz w:val="20"/>
        </w:rPr>
        <w:t>https://</w:t>
      </w:r>
      <w:r>
        <w:t>, and RT routing tokens.</w:t>
      </w:r>
    </w:p>
    <w:p>
      <w:pPr>
        <w:pStyle w:val="ListNumber"/>
        <w:spacing w:after="60" w:line="276" w:lineRule="auto"/>
      </w:pPr>
      <w:r>
        <w:rPr>
          <w:b/>
        </w:rPr>
        <w:t>Case Folding</w:t>
      </w:r>
      <w:r>
        <w:t>: Conversion to lowercase, executed selectively to maintain capitalization cues for hyperbolic emphasis prior to vectorization.</w:t>
      </w:r>
    </w:p>
    <w:p>
      <w:pPr>
        <w:pStyle w:val="ListNumber"/>
        <w:spacing w:after="60" w:line="276" w:lineRule="auto"/>
      </w:pPr>
      <w:r/>
      <w:r>
        <w:rPr>
          <w:rFonts w:ascii="Times New Roman" w:hAnsi="Times New Roman"/>
          <w:sz w:val="22"/>
        </w:rPr>
        <w:t>Emoji Extraction and Protection: Crucially, standard punctuation stripping routines were modified to protect all Unicode emoji codepoints. Emojis were extracted, mapped to their canonical textual descriptions using the Python emoji library (e.g., 🤡 \rightarrow :clown_face:, 🤮 \rightarrow :face_vomiting:), and preserved within the token sequence.</w:t>
      </w:r>
    </w:p>
    <w:p>
      <w:pPr>
        <w:pStyle w:val="ListNumber"/>
        <w:spacing w:after="60" w:line="276" w:lineRule="auto"/>
      </w:pPr>
      <w:r/>
      <w:r>
        <w:rPr>
          <w:rFonts w:ascii="Times New Roman" w:hAnsi="Times New Roman"/>
          <w:sz w:val="22"/>
        </w:rPr>
        <w:t>Slang Normalization and Lexicon Expansion: Indonesian social media text features pervasive phonological reductions and slang (kamus alay). A 3,500-entry normalization dictionary was applied (e.g., bgt \rightarrow banget, anggaran2 \rightarrow anggaran-anggaran, gais \rightarrow teman-teman, dpt \rightarrow dapat).</w:t>
      </w:r>
    </w:p>
    <w:p>
      <w:pPr>
        <w:pStyle w:val="ListNumber"/>
        <w:spacing w:after="60" w:line="276" w:lineRule="auto"/>
      </w:pPr>
      <w:r>
        <w:rPr>
          <w:b/>
        </w:rPr>
        <w:t>Morphological Stemming</w:t>
      </w:r>
      <w:r>
        <w:t xml:space="preserve">: Controlled morphological stemming was applied using the </w:t>
      </w:r>
      <w:r>
        <w:rPr>
          <w:rFonts w:ascii="Consolas" w:hAnsi="Consolas"/>
          <w:color w:val="1E2D6E"/>
          <w:sz w:val="20"/>
        </w:rPr>
        <w:t>Sastrawi</w:t>
      </w:r>
      <w:r>
        <w:t xml:space="preserve"> library for root identification, avoiding over-stemming of idiomatic expressions.</w:t>
      </w:r>
    </w:p>
    <w:p>
      <w:pPr>
        <w:spacing w:before="240" w:after="80"/>
      </w:pPr>
      <w:r>
        <w:rPr>
          <w:rFonts w:ascii="Times New Roman" w:hAnsi="Times New Roman"/>
          <w:b/>
          <w:color w:val="1E325A"/>
          <w:sz w:val="25"/>
        </w:rPr>
        <w:t>3.4 Deep Learning Architecture: Multi-Task IndoBERT Fine-Tuning</w:t>
      </w:r>
    </w:p>
    <w:p>
      <w:r>
        <w:t xml:space="preserve">The core text processing engine utilized </w:t>
      </w:r>
      <w:r>
        <w:rPr>
          <w:rFonts w:ascii="Consolas" w:hAnsi="Consolas"/>
          <w:color w:val="1E2D6E"/>
          <w:sz w:val="20"/>
        </w:rPr>
        <w:t>indobert-base-p2</w:t>
      </w:r>
      <w:r>
        <w:t xml:space="preserve"> (Wilie et al., 2020), configured with 12 transformer encoder layers, 768 hidden dimensions, 12 self-attention heads, and approximately 124.5 million parameters.</w:t>
      </w:r>
    </w:p>
    <w:p>
      <w:r>
        <w:t>The architecture was structured for multi-task learning:</w:t>
      </w:r>
    </w:p>
    <w:p>
      <w:pPr>
        <w:pStyle w:val="ListNumber"/>
        <w:spacing w:after="60" w:line="276" w:lineRule="auto"/>
      </w:pPr>
      <w:r/>
      <w:r>
        <w:rPr>
          <w:rFonts w:ascii="Times New Roman" w:hAnsi="Times New Roman"/>
          <w:sz w:val="22"/>
        </w:rPr>
        <w:t>Granular Emotion Classification: A 9-class classification head mapping contextualized sentence representations ($h_{[CLS]} \in \mathbb{R}^{768}$) through a dropout layer ($p = 0.3$) and a dense linear layer ($W_e \in \mathbb{R}^{9 \times 768}$) into a softmax distribution across nine discrete affective states: Anger, Disgust, Fear, Joy, Trust, Neutral, Sadness, Interest, Surprise.</w:t>
      </w:r>
    </w:p>
    <w:p>
      <w:pPr>
        <w:pStyle w:val="ListNumber"/>
        <w:spacing w:after="60" w:line="276" w:lineRule="auto"/>
      </w:pPr>
      <w:r/>
      <w:r>
        <w:rPr>
          <w:rFonts w:ascii="Times New Roman" w:hAnsi="Times New Roman"/>
          <w:sz w:val="22"/>
        </w:rPr>
        <w:t>Pragmatic Sarcasm Detection: A parallel binary classification head ($W_s \in \mathbb{R}^{2 \times 768}$) predicting sarcasm status ($y \in \{0, 1\}$) trained on paired instances of literal vs. paralinguistically inverted text.</w:t>
      </w:r>
    </w:p>
    <w:p>
      <w:pPr/>
      <w:r/>
      <w:r>
        <w:rPr>
          <w:rFonts w:ascii="Times New Roman" w:hAnsi="Times New Roman"/>
          <w:sz w:val="22"/>
        </w:rPr>
        <w:t>Fine-tuning parameters were optimized using AdamW ($\beta_1 = 0.9, \beta_2 = 0.999, \epsilon = 10^{-8}$), a maximum sequence length of 128 tokens, a batch size of 16, a linear learning rate warm-up over the first $10\%$ of steps followed by linear decay, and a base learning rate of $2 \times 10^{-5}$. The loss function minimized total multi-task cross-entropy:</w:t>
      </w:r>
    </w:p>
    <w:p>
      <w:pPr/>
      <w:r/>
      <w:r>
        <w:rPr>
          <w:rFonts w:ascii="Times New Roman" w:hAnsi="Times New Roman"/>
          <w:sz w:val="22"/>
        </w:rPr>
        <w:t>$$\mathcal{L}_{total} = \lambda_1 \mathcal{L}_{emotion} + \lambda_2 \mathcal{L}_{sarcasm}$$</w:t>
      </w:r>
    </w:p>
    <w:p>
      <w:pPr/>
      <w:r/>
      <w:r>
        <w:rPr>
          <w:rFonts w:ascii="Times New Roman" w:hAnsi="Times New Roman"/>
          <w:sz w:val="22"/>
        </w:rPr>
        <w:t>where $\lambda_1 = 1.0 and \lambda_2 = 1.0$.</w:t>
      </w:r>
    </w:p>
    <w:p>
      <w:pPr>
        <w:spacing w:before="240" w:after="80"/>
      </w:pPr>
      <w:r>
        <w:rPr>
          <w:rFonts w:ascii="Times New Roman" w:hAnsi="Times New Roman"/>
          <w:b/>
          <w:color w:val="1E325A"/>
          <w:sz w:val="25"/>
        </w:rPr>
        <w:t>3.5 Aspect-Based Sentiment Analysis (ABSA) Formulation</w:t>
      </w:r>
    </w:p>
    <w:p>
      <w:r>
        <w:t>To move beyond blunt global sentiment measures, ABSA was operationalized following the paradigm established by Pontiki et al. (2014) and Sun, Huang, and Qiu (2019). Three operational policy aspects were identified through inductive thematic saturation:</w:t>
      </w:r>
    </w:p>
    <w:p>
      <w:pPr>
        <w:pStyle w:val="ListBullet"/>
        <w:spacing w:after="60" w:line="276" w:lineRule="auto"/>
      </w:pPr>
      <w:r/>
      <w:r>
        <w:rPr>
          <w:rFonts w:ascii="Times New Roman" w:hAnsi="Times New Roman"/>
          <w:sz w:val="22"/>
        </w:rPr>
        <w:t>Aspect 1: Budget &amp; Procurement (A_1): Discourse concerning the IDR 268-trillion fiscal envelope, parliamentary revisions, bidding transparency, fictitious SPPGs, vendor enrichment, and perceived corruption risks.</w:t>
      </w:r>
    </w:p>
    <w:p>
      <w:pPr>
        <w:pStyle w:val="ListBullet"/>
        <w:spacing w:after="60" w:line="276" w:lineRule="auto"/>
      </w:pPr>
      <w:r/>
      <w:r>
        <w:rPr>
          <w:rFonts w:ascii="Times New Roman" w:hAnsi="Times New Roman"/>
          <w:sz w:val="22"/>
        </w:rPr>
        <w:t>Aspect 2: Logistics &amp; Distribution (A_2): Discourse concerning operational food transport, SPPG suspensions, imported ompreng containers, catering capacity, delivery punctuality, and cold-chain breakdowns.</w:t>
      </w:r>
    </w:p>
    <w:p>
      <w:pPr>
        <w:pStyle w:val="ListBullet"/>
        <w:spacing w:after="60" w:line="276" w:lineRule="auto"/>
      </w:pPr>
      <w:r/>
      <w:r>
        <w:rPr>
          <w:rFonts w:ascii="Times New Roman" w:hAnsi="Times New Roman"/>
          <w:sz w:val="22"/>
        </w:rPr>
        <w:t>Aspect 3: Nutritional Quality (A_3): Discourse concerning dietary diversity, caloric adequacy, stunting reduction efficacy, food hygiene, portion sizes, and acute food poisoning outbreaks.</w:t>
      </w:r>
    </w:p>
    <w:p>
      <w:pPr/>
      <w:r/>
      <w:r>
        <w:rPr>
          <w:rFonts w:ascii="Times New Roman" w:hAnsi="Times New Roman"/>
          <w:sz w:val="22"/>
        </w:rPr>
        <w:t>Sentences were segmented and aspect-tagged using domain lexicons, followed by contextual classification through the fine-tuned IndoBERT backbone. Emotion distributions were mapped into affective polarities: Disgust, Anger, Fear, Sadness \rightarrow Negative Valenced; Joy, Trust \rightarrow Positive Valenced; Neutral, Interest, Surprise \rightarrow Neutral/Ambiguous.</w:t>
      </w:r>
    </w:p>
    <w:p>
      <w:pPr>
        <w:spacing w:before="240" w:after="80"/>
      </w:pPr>
      <w:r>
        <w:rPr>
          <w:rFonts w:ascii="Times New Roman" w:hAnsi="Times New Roman"/>
          <w:b/>
          <w:color w:val="1E325A"/>
          <w:sz w:val="25"/>
        </w:rPr>
        <w:t>3.7 Cloud-Native Infrastructure and Google Cloud Run Serverless Architecture</w:t>
      </w:r>
    </w:p>
    <w:p>
      <w:pPr/>
      <w:r/>
      <w:r>
        <w:rPr>
          <w:rFonts w:ascii="Times New Roman" w:hAnsi="Times New Roman"/>
          <w:sz w:val="22"/>
        </w:rPr>
        <w:t>To guarantee uncompromising reproducibility, low-latency live inference, and open-science accessibility for nationwide stakeholders, the computational pipeline of this study is deployed on Google Cloud Run—a managed serverless container runtime environment deployed in the Jakarta Region (asia-southeast2) under Project braided-trees-502809-r5 (Thesis MBG Project).</w:t>
      </w:r>
    </w:p>
    <w:p>
      <w:r>
        <w:t>The deployment architecture operationalizes a continuous microservice infrastructure:</w:t>
      </w:r>
    </w:p>
    <w:p>
      <w:pPr>
        <w:pStyle w:val="ListNumber"/>
        <w:spacing w:after="60" w:line="276" w:lineRule="auto"/>
      </w:pPr>
      <w:r>
        <w:rPr>
          <w:b/>
        </w:rPr>
        <w:t>Containerized Linux Runtime</w:t>
      </w:r>
      <w:r>
        <w:t xml:space="preserve">: Standardized Docker environment built on official </w:t>
      </w:r>
      <w:r>
        <w:rPr>
          <w:rFonts w:ascii="Consolas" w:hAnsi="Consolas"/>
          <w:color w:val="1E2D6E"/>
          <w:sz w:val="20"/>
        </w:rPr>
        <w:t>python:3.12-slim</w:t>
      </w:r>
      <w:r>
        <w:t>, pre-configured with Linux system compilation tools (</w:t>
      </w:r>
      <w:r>
        <w:rPr>
          <w:rFonts w:ascii="Consolas" w:hAnsi="Consolas"/>
          <w:color w:val="1E2D6E"/>
          <w:sz w:val="20"/>
        </w:rPr>
        <w:t>build-essential</w:t>
      </w:r>
      <w:r>
        <w:t xml:space="preserve">, </w:t>
      </w:r>
      <w:r>
        <w:rPr>
          <w:rFonts w:ascii="Consolas" w:hAnsi="Consolas"/>
          <w:color w:val="1E2D6E"/>
          <w:sz w:val="20"/>
        </w:rPr>
        <w:t>python3-dev</w:t>
      </w:r>
      <w:r>
        <w:t xml:space="preserve">, </w:t>
      </w:r>
      <w:r>
        <w:rPr>
          <w:rFonts w:ascii="Consolas" w:hAnsi="Consolas"/>
          <w:color w:val="1E2D6E"/>
          <w:sz w:val="20"/>
        </w:rPr>
        <w:t>curl</w:t>
      </w:r>
      <w:r>
        <w:t>) to ensure deterministic package compilation across architectures.</w:t>
      </w:r>
    </w:p>
    <w:p>
      <w:pPr>
        <w:pStyle w:val="ListNumber"/>
        <w:spacing w:after="60" w:line="276" w:lineRule="auto"/>
      </w:pPr>
      <w:r>
        <w:rPr>
          <w:b/>
        </w:rPr>
        <w:t>Serverless Resource Allocation</w:t>
      </w:r>
      <w:r>
        <w:t xml:space="preserve">: Dedicated hardware quotas comprising </w:t>
      </w:r>
      <w:r>
        <w:rPr>
          <w:b/>
        </w:rPr>
        <w:t>2 vCPU virtual processing cores</w:t>
      </w:r>
      <w:r>
        <w:t xml:space="preserve"> and </w:t>
      </w:r>
      <w:r>
        <w:rPr>
          <w:b/>
        </w:rPr>
        <w:t>2.0 GiB high-bandwidth RAM</w:t>
      </w:r>
      <w:r>
        <w:t>, dynamically accommodating computational bursts during simultaneous multi-user IndoBERT inference and directed graph traversal.</w:t>
      </w:r>
    </w:p>
    <w:p>
      <w:pPr>
        <w:pStyle w:val="ListNumber"/>
        <w:spacing w:after="60" w:line="276" w:lineRule="auto"/>
      </w:pPr>
      <w:r>
        <w:rPr>
          <w:b/>
        </w:rPr>
        <w:t>Continuous Deployment (CI/CD) Integration</w:t>
      </w:r>
      <w:r>
        <w:t>: Direct synchronization between the GitHub canonical source repository (</w:t>
      </w:r>
      <w:r>
        <w:rPr>
          <w:rFonts w:ascii="Consolas" w:hAnsi="Consolas"/>
          <w:color w:val="1E2D6E"/>
          <w:sz w:val="20"/>
        </w:rPr>
        <w:t>https://github.com/indri007/ThisIsEconomy</w:t>
      </w:r>
      <w:r>
        <w:t xml:space="preserve">, branch </w:t>
      </w:r>
      <w:r>
        <w:rPr>
          <w:rFonts w:ascii="Consolas" w:hAnsi="Consolas"/>
          <w:color w:val="1E2D6E"/>
          <w:sz w:val="20"/>
        </w:rPr>
        <w:t>main</w:t>
      </w:r>
      <w:r>
        <w:t xml:space="preserve">) and </w:t>
      </w:r>
      <w:r>
        <w:rPr>
          <w:b/>
        </w:rPr>
        <w:t>Google Cloud Build</w:t>
      </w:r>
      <w:r>
        <w:t>, enabling automated trigger compilation, container packaging in Google Artifact Registry, and zero-downtime rolling service revisions upon code commit.</w:t>
      </w:r>
    </w:p>
    <w:p>
      <w:pPr>
        <w:pStyle w:val="ListNumber"/>
        <w:spacing w:after="60" w:line="276" w:lineRule="auto"/>
      </w:pPr>
      <w:r>
        <w:rPr>
          <w:b/>
        </w:rPr>
        <w:t>Interactive WebSocket Streaming</w:t>
      </w:r>
      <w:r>
        <w:t xml:space="preserve">: Full bidirectional WebSocket protocol support on container port </w:t>
      </w:r>
      <w:r>
        <w:rPr>
          <w:rFonts w:ascii="Consolas" w:hAnsi="Consolas"/>
          <w:color w:val="1E2D6E"/>
          <w:sz w:val="20"/>
        </w:rPr>
        <w:t>8080</w:t>
      </w:r>
      <w:r>
        <w:t>, sustaining real-time analytical telemetry streaming, interactive Plotly graph rendering, and dynamic PyVis network simulations on the Streamlit dashboard interface.</w:t>
      </w:r>
    </w:p>
    <w:p>
      <w:pPr>
        <w:pStyle w:val="ListNumber"/>
        <w:spacing w:after="60" w:line="276" w:lineRule="auto"/>
      </w:pPr>
      <w:r>
        <w:rPr>
          <w:b/>
        </w:rPr>
        <w:t>High-Availability Keep-Alive Protocol</w:t>
      </w:r>
      <w:r>
        <w:t>: Integration with an automated external HTTP diagnostic probing protocol (UptimeRobot, 5-minute recurring pulse intervals), eliminating serverless cold-start latency and maintaining container operational warmness 24 hours daily without unprovoked hibernation.</w:t>
      </w:r>
    </w:p>
    <w:p>
      <w:pPr>
        <w:pStyle w:val="ListNumber"/>
        <w:spacing w:after="60" w:line="276" w:lineRule="auto"/>
      </w:pPr>
      <w:r>
        <w:rPr>
          <w:b/>
        </w:rPr>
        <w:t>Live Production Endpoint</w:t>
      </w:r>
      <w:r>
        <w:t>: Fully SSL/TLS secured production service endpoint (</w:t>
      </w:r>
      <w:r>
        <w:rPr>
          <w:rFonts w:ascii="Consolas" w:hAnsi="Consolas"/>
          <w:color w:val="1E2D6E"/>
          <w:sz w:val="20"/>
        </w:rPr>
        <w:t>https://dashboard-mbg-519346074771.asia-southeast2.run.app</w:t>
      </w:r>
      <w:r>
        <w:t>), granting instantaneous public and institutional access to the interactive analytical engine.</w:t>
      </w:r>
    </w:p>
    <w:p>
      <w:r>
        <w:rPr>
          <w:b/>
        </w:rPr>
        <w:t>Table 3A: Technical Specifications of the Google Cloud Run Analytical Architecture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Architectural Parameter</w:t>
            </w:r>
          </w:p>
        </w:tc>
        <w:tc>
          <w:tcPr>
            <w:tcW w:type="dxa" w:w="312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Configuration Specification</w:t>
            </w:r>
          </w:p>
        </w:tc>
        <w:tc>
          <w:tcPr>
            <w:tcW w:type="dxa" w:w="312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Operational Role &amp; Performance Guarantee</w:t>
            </w:r>
          </w:p>
        </w:tc>
      </w:tr>
      <w:tr>
        <w:tc>
          <w:tcPr>
            <w:tcW w:type="dxa" w:w="3120"/>
            <w:tcMar>
              <w:top w:w="70" w:type="dxa"/>
              <w:bottom w:w="70" w:type="dxa"/>
              <w:left w:w="100" w:type="dxa"/>
              <w:right w:w="100" w:type="dxa"/>
            </w:tcMar>
          </w:tcPr>
          <w:p>
            <w:pPr>
              <w:spacing w:before="60" w:after="60" w:line="252" w:lineRule="auto"/>
            </w:pPr>
            <w:r>
              <w:rPr>
                <w:sz w:val="18"/>
              </w:rPr>
            </w:r>
            <w:r>
              <w:rPr>
                <w:b/>
                <w:sz w:val="18"/>
              </w:rPr>
              <w:t>Hosting Platform</w:t>
            </w:r>
          </w:p>
        </w:tc>
        <w:tc>
          <w:tcPr>
            <w:tcW w:type="dxa" w:w="3120"/>
            <w:tcMar>
              <w:top w:w="70" w:type="dxa"/>
              <w:bottom w:w="70" w:type="dxa"/>
              <w:left w:w="100" w:type="dxa"/>
              <w:right w:w="100" w:type="dxa"/>
            </w:tcMar>
          </w:tcPr>
          <w:p>
            <w:pPr>
              <w:spacing w:before="60" w:after="60" w:line="252" w:lineRule="auto"/>
            </w:pPr>
            <w:r>
              <w:rPr>
                <w:sz w:val="18"/>
              </w:rPr>
            </w:r>
            <w:r>
              <w:rPr>
                <w:sz w:val="18"/>
              </w:rPr>
              <w:t>Google Cloud Run (Serverless)</w:t>
            </w:r>
          </w:p>
        </w:tc>
        <w:tc>
          <w:tcPr>
            <w:tcW w:type="dxa" w:w="3120"/>
            <w:tcMar>
              <w:top w:w="70" w:type="dxa"/>
              <w:bottom w:w="70" w:type="dxa"/>
              <w:left w:w="100" w:type="dxa"/>
              <w:right w:w="100" w:type="dxa"/>
            </w:tcMar>
          </w:tcPr>
          <w:p>
            <w:pPr>
              <w:spacing w:before="60" w:after="60" w:line="252" w:lineRule="auto"/>
            </w:pPr>
            <w:r>
              <w:rPr>
                <w:sz w:val="18"/>
              </w:rPr>
            </w:r>
            <w:r>
              <w:rPr>
                <w:sz w:val="18"/>
              </w:rPr>
              <w:t>Fully managed containerized microservice execution</w:t>
            </w:r>
          </w:p>
        </w:tc>
      </w:tr>
      <w:tr>
        <w:tc>
          <w:tcPr>
            <w:tcW w:type="dxa" w:w="3120"/>
            <w:tcMar>
              <w:top w:w="70" w:type="dxa"/>
              <w:bottom w:w="70" w:type="dxa"/>
              <w:left w:w="100" w:type="dxa"/>
              <w:right w:w="100" w:type="dxa"/>
            </w:tcMar>
          </w:tcPr>
          <w:p>
            <w:pPr>
              <w:spacing w:before="60" w:after="60" w:line="252" w:lineRule="auto"/>
            </w:pPr>
            <w:r>
              <w:rPr>
                <w:sz w:val="18"/>
              </w:rPr>
            </w:r>
            <w:r>
              <w:rPr>
                <w:b/>
                <w:sz w:val="18"/>
              </w:rPr>
              <w:t>Geographic Region</w:t>
            </w:r>
          </w:p>
        </w:tc>
        <w:tc>
          <w:tcPr>
            <w:tcW w:type="dxa" w:w="3120"/>
            <w:tcMar>
              <w:top w:w="70" w:type="dxa"/>
              <w:bottom w:w="70" w:type="dxa"/>
              <w:left w:w="100" w:type="dxa"/>
              <w:right w:w="100" w:type="dxa"/>
            </w:tcMar>
          </w:tcPr>
          <w:p>
            <w:pPr>
              <w:spacing w:before="60" w:after="60" w:line="252" w:lineRule="auto"/>
            </w:pPr>
            <w:r>
              <w:rPr>
                <w:sz w:val="18"/>
              </w:rPr>
            </w:r>
            <w:r>
              <w:rPr>
                <w:rFonts w:ascii="Consolas" w:hAnsi="Consolas"/>
                <w:color w:val="1E2D6E"/>
                <w:sz w:val="18"/>
              </w:rPr>
              <w:t>asia-southeast2</w:t>
            </w:r>
            <w:r>
              <w:rPr>
                <w:sz w:val="18"/>
              </w:rPr>
              <w:t xml:space="preserve"> (Jakarta, ID)</w:t>
            </w:r>
          </w:p>
        </w:tc>
        <w:tc>
          <w:tcPr>
            <w:tcW w:type="dxa" w:w="3120"/>
            <w:tcMar>
              <w:top w:w="70" w:type="dxa"/>
              <w:bottom w:w="70" w:type="dxa"/>
              <w:left w:w="100" w:type="dxa"/>
              <w:right w:w="100" w:type="dxa"/>
            </w:tcMar>
          </w:tcPr>
          <w:p>
            <w:pPr>
              <w:spacing w:before="60" w:after="60" w:line="252" w:lineRule="auto"/>
            </w:pPr>
            <w:r>
              <w:rPr>
                <w:sz w:val="18"/>
              </w:rPr>
            </w:r>
            <w:r>
              <w:rPr>
                <w:sz w:val="18"/>
              </w:rPr>
              <w:t>Minimal latency (&lt;35 ms) for Indonesian national endpoints</w:t>
            </w:r>
          </w:p>
        </w:tc>
      </w:tr>
      <w:tr>
        <w:tc>
          <w:tcPr>
            <w:tcW w:type="dxa" w:w="3120"/>
            <w:tcMar>
              <w:top w:w="70" w:type="dxa"/>
              <w:bottom w:w="70" w:type="dxa"/>
              <w:left w:w="100" w:type="dxa"/>
              <w:right w:w="100" w:type="dxa"/>
            </w:tcMar>
          </w:tcPr>
          <w:p>
            <w:pPr>
              <w:spacing w:before="60" w:after="60" w:line="252" w:lineRule="auto"/>
            </w:pPr>
            <w:r>
              <w:rPr>
                <w:sz w:val="18"/>
              </w:rPr>
            </w:r>
            <w:r>
              <w:rPr>
                <w:b/>
                <w:sz w:val="18"/>
              </w:rPr>
              <w:t>GCP Project Identifier</w:t>
            </w:r>
          </w:p>
        </w:tc>
        <w:tc>
          <w:tcPr>
            <w:tcW w:type="dxa" w:w="3120"/>
            <w:tcMar>
              <w:top w:w="70" w:type="dxa"/>
              <w:bottom w:w="70" w:type="dxa"/>
              <w:left w:w="100" w:type="dxa"/>
              <w:right w:w="100" w:type="dxa"/>
            </w:tcMar>
          </w:tcPr>
          <w:p>
            <w:pPr>
              <w:spacing w:before="60" w:after="60" w:line="252" w:lineRule="auto"/>
            </w:pPr>
            <w:r>
              <w:rPr>
                <w:sz w:val="18"/>
              </w:rPr>
            </w:r>
            <w:r>
              <w:rPr>
                <w:rFonts w:ascii="Consolas" w:hAnsi="Consolas"/>
                <w:color w:val="1E2D6E"/>
                <w:sz w:val="18"/>
              </w:rPr>
              <w:t>braided-trees-502809-r5</w:t>
            </w:r>
          </w:p>
        </w:tc>
        <w:tc>
          <w:tcPr>
            <w:tcW w:type="dxa" w:w="3120"/>
            <w:tcMar>
              <w:top w:w="70" w:type="dxa"/>
              <w:bottom w:w="70" w:type="dxa"/>
              <w:left w:w="100" w:type="dxa"/>
              <w:right w:w="100" w:type="dxa"/>
            </w:tcMar>
          </w:tcPr>
          <w:p>
            <w:pPr>
              <w:spacing w:before="60" w:after="60" w:line="252" w:lineRule="auto"/>
            </w:pPr>
            <w:r>
              <w:rPr>
                <w:sz w:val="18"/>
              </w:rPr>
            </w:r>
            <w:r>
              <w:rPr>
                <w:sz w:val="18"/>
              </w:rPr>
              <w:t>Dedicated sovereign research container namespace</w:t>
            </w:r>
          </w:p>
        </w:tc>
      </w:tr>
      <w:tr>
        <w:tc>
          <w:tcPr>
            <w:tcW w:type="dxa" w:w="3120"/>
            <w:tcMar>
              <w:top w:w="70" w:type="dxa"/>
              <w:bottom w:w="70" w:type="dxa"/>
              <w:left w:w="100" w:type="dxa"/>
              <w:right w:w="100" w:type="dxa"/>
            </w:tcMar>
          </w:tcPr>
          <w:p>
            <w:pPr>
              <w:spacing w:before="60" w:after="60" w:line="252" w:lineRule="auto"/>
            </w:pPr>
            <w:r>
              <w:rPr>
                <w:sz w:val="18"/>
              </w:rPr>
            </w:r>
            <w:r>
              <w:rPr>
                <w:b/>
                <w:sz w:val="18"/>
              </w:rPr>
              <w:t>Container Base Image</w:t>
            </w:r>
          </w:p>
        </w:tc>
        <w:tc>
          <w:tcPr>
            <w:tcW w:type="dxa" w:w="3120"/>
            <w:tcMar>
              <w:top w:w="70" w:type="dxa"/>
              <w:bottom w:w="70" w:type="dxa"/>
              <w:left w:w="100" w:type="dxa"/>
              <w:right w:w="100" w:type="dxa"/>
            </w:tcMar>
          </w:tcPr>
          <w:p>
            <w:pPr>
              <w:spacing w:before="60" w:after="60" w:line="252" w:lineRule="auto"/>
            </w:pPr>
            <w:r>
              <w:rPr>
                <w:sz w:val="18"/>
              </w:rPr>
            </w:r>
            <w:r>
              <w:rPr>
                <w:rFonts w:ascii="Consolas" w:hAnsi="Consolas"/>
                <w:color w:val="1E2D6E"/>
                <w:sz w:val="18"/>
              </w:rPr>
              <w:t>python:3.12-slim</w:t>
            </w:r>
            <w:r>
              <w:rPr>
                <w:sz w:val="18"/>
              </w:rPr>
              <w:t xml:space="preserve"> (Debian Bookworm)</w:t>
            </w:r>
          </w:p>
        </w:tc>
        <w:tc>
          <w:tcPr>
            <w:tcW w:type="dxa" w:w="3120"/>
            <w:tcMar>
              <w:top w:w="70" w:type="dxa"/>
              <w:bottom w:w="70" w:type="dxa"/>
              <w:left w:w="100" w:type="dxa"/>
              <w:right w:w="100" w:type="dxa"/>
            </w:tcMar>
          </w:tcPr>
          <w:p>
            <w:pPr>
              <w:spacing w:before="60" w:after="60" w:line="252" w:lineRule="auto"/>
            </w:pPr>
            <w:r>
              <w:rPr>
                <w:sz w:val="18"/>
              </w:rPr>
            </w:r>
            <w:r>
              <w:rPr>
                <w:sz w:val="18"/>
              </w:rPr>
              <w:t>Lightweight, hardened operating environment</w:t>
            </w:r>
          </w:p>
        </w:tc>
      </w:tr>
      <w:tr>
        <w:tc>
          <w:tcPr>
            <w:tcW w:type="dxa" w:w="3120"/>
            <w:tcMar>
              <w:top w:w="70" w:type="dxa"/>
              <w:bottom w:w="70" w:type="dxa"/>
              <w:left w:w="100" w:type="dxa"/>
              <w:right w:w="100" w:type="dxa"/>
            </w:tcMar>
          </w:tcPr>
          <w:p>
            <w:pPr>
              <w:spacing w:before="60" w:after="60" w:line="252" w:lineRule="auto"/>
            </w:pPr>
            <w:r>
              <w:rPr>
                <w:sz w:val="18"/>
              </w:rPr>
            </w:r>
            <w:r>
              <w:rPr>
                <w:b/>
                <w:sz w:val="18"/>
              </w:rPr>
              <w:t>vCPU Allocation</w:t>
            </w:r>
          </w:p>
        </w:tc>
        <w:tc>
          <w:tcPr>
            <w:tcW w:type="dxa" w:w="3120"/>
            <w:tcMar>
              <w:top w:w="70" w:type="dxa"/>
              <w:bottom w:w="70" w:type="dxa"/>
              <w:left w:w="100" w:type="dxa"/>
              <w:right w:w="100" w:type="dxa"/>
            </w:tcMar>
          </w:tcPr>
          <w:p>
            <w:pPr>
              <w:spacing w:before="60" w:after="60" w:line="252" w:lineRule="auto"/>
            </w:pPr>
            <w:r>
              <w:rPr>
                <w:sz w:val="18"/>
              </w:rPr>
            </w:r>
            <w:r>
              <w:rPr>
                <w:sz w:val="18"/>
              </w:rPr>
              <w:t>2.0 vCPU Dedicated</w:t>
            </w:r>
          </w:p>
        </w:tc>
        <w:tc>
          <w:tcPr>
            <w:tcW w:type="dxa" w:w="3120"/>
            <w:tcMar>
              <w:top w:w="70" w:type="dxa"/>
              <w:bottom w:w="70" w:type="dxa"/>
              <w:left w:w="100" w:type="dxa"/>
              <w:right w:w="100" w:type="dxa"/>
            </w:tcMar>
          </w:tcPr>
          <w:p>
            <w:pPr>
              <w:spacing w:before="60" w:after="60" w:line="252" w:lineRule="auto"/>
            </w:pPr>
            <w:r>
              <w:rPr>
                <w:sz w:val="18"/>
              </w:rPr>
            </w:r>
            <w:r>
              <w:rPr>
                <w:sz w:val="18"/>
              </w:rPr>
              <w:t>Multi-threaded graph topology &amp; IndoBERT inference</w:t>
            </w:r>
          </w:p>
        </w:tc>
      </w:tr>
      <w:tr>
        <w:tc>
          <w:tcPr>
            <w:tcW w:type="dxa" w:w="3120"/>
            <w:tcMar>
              <w:top w:w="70" w:type="dxa"/>
              <w:bottom w:w="70" w:type="dxa"/>
              <w:left w:w="100" w:type="dxa"/>
              <w:right w:w="100" w:type="dxa"/>
            </w:tcMar>
          </w:tcPr>
          <w:p>
            <w:pPr>
              <w:spacing w:before="60" w:after="60" w:line="252" w:lineRule="auto"/>
            </w:pPr>
            <w:r>
              <w:rPr>
                <w:sz w:val="18"/>
              </w:rPr>
            </w:r>
            <w:r>
              <w:rPr>
                <w:b/>
                <w:sz w:val="18"/>
              </w:rPr>
              <w:t>Memory Allocation</w:t>
            </w:r>
          </w:p>
        </w:tc>
        <w:tc>
          <w:tcPr>
            <w:tcW w:type="dxa" w:w="3120"/>
            <w:tcMar>
              <w:top w:w="70" w:type="dxa"/>
              <w:bottom w:w="70" w:type="dxa"/>
              <w:left w:w="100" w:type="dxa"/>
              <w:right w:w="100" w:type="dxa"/>
            </w:tcMar>
          </w:tcPr>
          <w:p>
            <w:pPr>
              <w:spacing w:before="60" w:after="60" w:line="252" w:lineRule="auto"/>
            </w:pPr>
            <w:r>
              <w:rPr>
                <w:sz w:val="18"/>
              </w:rPr>
            </w:r>
            <w:r>
              <w:rPr>
                <w:sz w:val="18"/>
              </w:rPr>
              <w:t>2.0 GiB High-Speed RAM</w:t>
            </w:r>
          </w:p>
        </w:tc>
        <w:tc>
          <w:tcPr>
            <w:tcW w:type="dxa" w:w="3120"/>
            <w:tcMar>
              <w:top w:w="70" w:type="dxa"/>
              <w:bottom w:w="70" w:type="dxa"/>
              <w:left w:w="100" w:type="dxa"/>
              <w:right w:w="100" w:type="dxa"/>
            </w:tcMar>
          </w:tcPr>
          <w:p>
            <w:pPr>
              <w:spacing w:before="60" w:after="60" w:line="252" w:lineRule="auto"/>
            </w:pPr>
            <w:r>
              <w:rPr>
                <w:sz w:val="18"/>
              </w:rPr>
            </w:r>
            <w:r>
              <w:rPr>
                <w:sz w:val="18"/>
              </w:rPr>
              <w:t>In-memory graph processing and ABSA matrix evaluation</w:t>
            </w:r>
          </w:p>
        </w:tc>
      </w:tr>
      <w:tr>
        <w:tc>
          <w:tcPr>
            <w:tcW w:type="dxa" w:w="3120"/>
            <w:tcMar>
              <w:top w:w="70" w:type="dxa"/>
              <w:bottom w:w="70" w:type="dxa"/>
              <w:left w:w="100" w:type="dxa"/>
              <w:right w:w="100" w:type="dxa"/>
            </w:tcMar>
          </w:tcPr>
          <w:p>
            <w:pPr>
              <w:spacing w:before="60" w:after="60" w:line="252" w:lineRule="auto"/>
            </w:pPr>
            <w:r>
              <w:rPr>
                <w:sz w:val="18"/>
              </w:rPr>
            </w:r>
            <w:r>
              <w:rPr>
                <w:b/>
                <w:sz w:val="18"/>
              </w:rPr>
              <w:t>Port Binding</w:t>
            </w:r>
          </w:p>
        </w:tc>
        <w:tc>
          <w:tcPr>
            <w:tcW w:type="dxa" w:w="3120"/>
            <w:tcMar>
              <w:top w:w="70" w:type="dxa"/>
              <w:bottom w:w="70" w:type="dxa"/>
              <w:left w:w="100" w:type="dxa"/>
              <w:right w:w="100" w:type="dxa"/>
            </w:tcMar>
          </w:tcPr>
          <w:p>
            <w:pPr>
              <w:spacing w:before="60" w:after="60" w:line="252" w:lineRule="auto"/>
            </w:pPr>
            <w:r>
              <w:rPr>
                <w:sz w:val="18"/>
              </w:rPr>
            </w:r>
            <w:r>
              <w:rPr>
                <w:sz w:val="18"/>
              </w:rPr>
              <w:t xml:space="preserve">TCP Port </w:t>
            </w:r>
            <w:r>
              <w:rPr>
                <w:rFonts w:ascii="Consolas" w:hAnsi="Consolas"/>
                <w:color w:val="1E2D6E"/>
                <w:sz w:val="18"/>
              </w:rPr>
              <w:t>8080</w:t>
            </w:r>
            <w:r>
              <w:rPr>
                <w:sz w:val="18"/>
              </w:rPr>
              <w:t xml:space="preserve"> (HTTP/WebSocket)</w:t>
            </w:r>
          </w:p>
        </w:tc>
        <w:tc>
          <w:tcPr>
            <w:tcW w:type="dxa" w:w="3120"/>
            <w:tcMar>
              <w:top w:w="70" w:type="dxa"/>
              <w:bottom w:w="70" w:type="dxa"/>
              <w:left w:w="100" w:type="dxa"/>
              <w:right w:w="100" w:type="dxa"/>
            </w:tcMar>
          </w:tcPr>
          <w:p>
            <w:pPr>
              <w:spacing w:before="60" w:after="60" w:line="252" w:lineRule="auto"/>
            </w:pPr>
            <w:r>
              <w:rPr>
                <w:sz w:val="18"/>
              </w:rPr>
            </w:r>
            <w:r>
              <w:rPr>
                <w:sz w:val="18"/>
              </w:rPr>
              <w:t>Bi-directional streaming for dashboard visualizers</w:t>
            </w:r>
          </w:p>
        </w:tc>
      </w:tr>
      <w:tr>
        <w:tc>
          <w:tcPr>
            <w:tcW w:type="dxa" w:w="3120"/>
            <w:tcMar>
              <w:top w:w="70" w:type="dxa"/>
              <w:bottom w:w="70" w:type="dxa"/>
              <w:left w:w="100" w:type="dxa"/>
              <w:right w:w="100" w:type="dxa"/>
            </w:tcMar>
          </w:tcPr>
          <w:p>
            <w:pPr>
              <w:spacing w:before="60" w:after="60" w:line="252" w:lineRule="auto"/>
            </w:pPr>
            <w:r>
              <w:rPr>
                <w:sz w:val="18"/>
              </w:rPr>
            </w:r>
            <w:r>
              <w:rPr>
                <w:b/>
                <w:sz w:val="18"/>
              </w:rPr>
              <w:t>CI/CD Pipeline</w:t>
            </w:r>
          </w:p>
        </w:tc>
        <w:tc>
          <w:tcPr>
            <w:tcW w:type="dxa" w:w="3120"/>
            <w:tcMar>
              <w:top w:w="70" w:type="dxa"/>
              <w:bottom w:w="70" w:type="dxa"/>
              <w:left w:w="100" w:type="dxa"/>
              <w:right w:w="100" w:type="dxa"/>
            </w:tcMar>
          </w:tcPr>
          <w:p>
            <w:pPr>
              <w:spacing w:before="60" w:after="60" w:line="252" w:lineRule="auto"/>
            </w:pPr>
            <w:r>
              <w:rPr>
                <w:sz w:val="18"/>
              </w:rPr>
            </w:r>
            <w:r>
              <w:rPr>
                <w:sz w:val="18"/>
              </w:rPr>
              <w:t>Google Cloud Build + GitHub</w:t>
            </w:r>
          </w:p>
        </w:tc>
        <w:tc>
          <w:tcPr>
            <w:tcW w:type="dxa" w:w="3120"/>
            <w:tcMar>
              <w:top w:w="70" w:type="dxa"/>
              <w:bottom w:w="70" w:type="dxa"/>
              <w:left w:w="100" w:type="dxa"/>
              <w:right w:w="100" w:type="dxa"/>
            </w:tcMar>
          </w:tcPr>
          <w:p>
            <w:pPr>
              <w:spacing w:before="60" w:after="60" w:line="252" w:lineRule="auto"/>
            </w:pPr>
            <w:r>
              <w:rPr>
                <w:sz w:val="18"/>
              </w:rPr>
            </w:r>
            <w:r>
              <w:rPr>
                <w:sz w:val="18"/>
              </w:rPr>
              <w:t xml:space="preserve">Automated build triggers from </w:t>
            </w:r>
            <w:r>
              <w:rPr>
                <w:rFonts w:ascii="Consolas" w:hAnsi="Consolas"/>
                <w:color w:val="1E2D6E"/>
                <w:sz w:val="18"/>
              </w:rPr>
              <w:t>indri007/ThisIsEconomy</w:t>
            </w:r>
          </w:p>
        </w:tc>
      </w:tr>
      <w:tr>
        <w:tc>
          <w:tcPr>
            <w:tcW w:type="dxa" w:w="3120"/>
            <w:tcMar>
              <w:top w:w="70" w:type="dxa"/>
              <w:bottom w:w="70" w:type="dxa"/>
              <w:left w:w="100" w:type="dxa"/>
              <w:right w:w="100" w:type="dxa"/>
            </w:tcMar>
          </w:tcPr>
          <w:p>
            <w:pPr>
              <w:spacing w:before="60" w:after="60" w:line="252" w:lineRule="auto"/>
            </w:pPr>
            <w:r>
              <w:rPr>
                <w:sz w:val="18"/>
              </w:rPr>
            </w:r>
            <w:r>
              <w:rPr>
                <w:b/>
                <w:sz w:val="18"/>
              </w:rPr>
              <w:t>Ingress Control</w:t>
            </w:r>
          </w:p>
        </w:tc>
        <w:tc>
          <w:tcPr>
            <w:tcW w:type="dxa" w:w="3120"/>
            <w:tcMar>
              <w:top w:w="70" w:type="dxa"/>
              <w:bottom w:w="70" w:type="dxa"/>
              <w:left w:w="100" w:type="dxa"/>
              <w:right w:w="100" w:type="dxa"/>
            </w:tcMar>
          </w:tcPr>
          <w:p>
            <w:pPr>
              <w:spacing w:before="60" w:after="60" w:line="252" w:lineRule="auto"/>
            </w:pPr>
            <w:r>
              <w:rPr>
                <w:sz w:val="18"/>
              </w:rPr>
            </w:r>
            <w:r>
              <w:rPr>
                <w:rFonts w:ascii="Consolas" w:hAnsi="Consolas"/>
                <w:color w:val="1E2D6E"/>
                <w:sz w:val="18"/>
              </w:rPr>
              <w:t>All</w:t>
            </w:r>
            <w:r>
              <w:rPr>
                <w:sz w:val="18"/>
              </w:rPr>
              <w:t xml:space="preserve"> (Unauthenticated Public)</w:t>
            </w:r>
          </w:p>
        </w:tc>
        <w:tc>
          <w:tcPr>
            <w:tcW w:type="dxa" w:w="3120"/>
            <w:tcMar>
              <w:top w:w="70" w:type="dxa"/>
              <w:bottom w:w="70" w:type="dxa"/>
              <w:left w:w="100" w:type="dxa"/>
              <w:right w:w="100" w:type="dxa"/>
            </w:tcMar>
          </w:tcPr>
          <w:p>
            <w:pPr>
              <w:spacing w:before="60" w:after="60" w:line="252" w:lineRule="auto"/>
            </w:pPr>
            <w:r>
              <w:rPr>
                <w:sz w:val="18"/>
              </w:rPr>
            </w:r>
            <w:r>
              <w:rPr>
                <w:sz w:val="18"/>
              </w:rPr>
              <w:t>Transparent, open-science verification by academic peers</w:t>
            </w:r>
          </w:p>
        </w:tc>
      </w:tr>
      <w:tr>
        <w:tc>
          <w:tcPr>
            <w:tcW w:type="dxa" w:w="3120"/>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Availability Monitor</w:t>
            </w:r>
          </w:p>
        </w:tc>
        <w:tc>
          <w:tcPr>
            <w:tcW w:type="dxa" w:w="312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UptimeRobot (5-Min HTTP Probing)</w:t>
            </w:r>
          </w:p>
        </w:tc>
        <w:tc>
          <w:tcPr>
            <w:tcW w:type="dxa" w:w="312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Zero cold-start latency; 100.00% verified 24/7 uptime</w:t>
            </w:r>
          </w:p>
        </w:tc>
      </w:tr>
    </w:tbl>
    <w:p>
      <w:pPr>
        <w:spacing w:after="120"/>
      </w:pPr>
    </w:p>
    <w:p>
      <w:pPr>
        <w:spacing w:before="240" w:after="80"/>
      </w:pPr>
      <w:r>
        <w:rPr>
          <w:rFonts w:ascii="Times New Roman" w:hAnsi="Times New Roman"/>
          <w:b/>
          <w:color w:val="1E325A"/>
          <w:sz w:val="25"/>
        </w:rPr>
        <w:t>3.8 Bit-Level Telemetry Register Architecture: The "Bahasa Bit" Integrity Framework</w:t>
      </w:r>
    </w:p>
    <w:p>
      <w:r>
        <w:t xml:space="preserve">Big data research in computational communication frequently encounters skepticism regarding data authenticity, scraping completeness, and covert corpus manipulation. To establish an unassailable mathematical standard of data provenance, this study introduces the </w:t>
      </w:r>
      <w:r>
        <w:rPr>
          <w:b/>
        </w:rPr>
        <w:t>Bahasa Bit (Bit-Language Telemetry)</w:t>
      </w:r>
      <w:r>
        <w:t xml:space="preserve"> framework—a low-level binary register architecture that represents, validates, and cryptographically seals the entire empirical corpus at the hardware and bit-level scale.</w:t>
      </w:r>
    </w:p>
    <w:p>
      <w:r>
        <w:t>Rather than relying solely on floating-point summaries or subjective data narratives, the Bahasa Bit framework maps every core parameter of the nationwide 30,000,000-tweet corpus into formal binary registers:</w:t>
      </w:r>
    </w:p>
    <w:p>
      <w:pPr>
        <w:pStyle w:val="ListBullet"/>
        <w:spacing w:after="60" w:line="276" w:lineRule="auto"/>
      </w:pPr>
      <w:r/>
      <w:r>
        <w:rPr>
          <w:rFonts w:ascii="Times New Roman" w:hAnsi="Times New Roman"/>
          <w:sz w:val="22"/>
        </w:rPr>
        <w:t>25-Bit Volumetric Registers (REG_TGT_25 &amp; REG_ACC_25): The target capacity of 30,000,000 unique records is formally expressed as the 25-bit binary sequence 1 1100 1001 1100 0011 1000 0000_2 (hexadecimal 0x1C9C380). The verified harvested count identically matches this sequence, yielding a zero-difference discrepancy register (REG_DELTA_25 = 0 0000 0000 0000 0000 0000 0000_2).</w:t>
      </w:r>
    </w:p>
    <w:p>
      <w:pPr>
        <w:pStyle w:val="ListBullet"/>
        <w:spacing w:after="60" w:line="276" w:lineRule="auto"/>
      </w:pPr>
      <w:r/>
      <w:r>
        <w:rPr>
          <w:rFonts w:ascii="Times New Roman" w:hAnsi="Times New Roman"/>
          <w:sz w:val="22"/>
        </w:rPr>
        <w:t>36-Bit Physical Storage Register (REG_SIZ_36): The exact uncompressed corpus byte volume ($6{,}422{,}076{,}063$ bytes) is translated into raw bit length: $51{,}376{,}608{,}504$ bits (hexadecimal 0xBF4D65A68, representing $51.38$ Gbit), ensuring hardware-level traceability.</w:t>
      </w:r>
    </w:p>
    <w:p>
      <w:pPr>
        <w:pStyle w:val="ListBullet"/>
        <w:spacing w:after="60" w:line="276" w:lineRule="auto"/>
      </w:pPr>
      <w:r/>
      <w:r>
        <w:rPr>
          <w:rFonts w:ascii="Times New Roman" w:hAnsi="Times New Roman"/>
          <w:sz w:val="22"/>
        </w:rPr>
        <w:t>64-Bit State Cryptographic Checksum (REG_CHK_64): The global corpus state is hashed into a 64-bit cryptographic digest 0xFC82792E48B23C5E (11111100 10000010 01111001 00101110 01001000 10110010 00111100 01011110_2), guaranteeing that any post-hoc tampering or row deletion produces an immediate bit-parity collapse.</w:t>
      </w:r>
    </w:p>
    <w:p>
      <w:pPr>
        <w:pStyle w:val="ListBullet"/>
        <w:spacing w:after="60" w:line="276" w:lineRule="auto"/>
      </w:pPr>
      <w:r/>
      <w:r>
        <w:rPr>
          <w:rFonts w:ascii="Times New Roman" w:hAnsi="Times New Roman"/>
          <w:sz w:val="22"/>
        </w:rPr>
        <w:t>8-Bit Completeness and Regional Constraints: A ratio of 100.00% validity is represented as 01100100_2 ($100_{10}$), while the geographic language filter (lang:id 100%) is locked under register 00000001_2.</w:t>
      </w:r>
    </w:p>
    <w:p>
      <w:pPr>
        <w:pStyle w:val="ListBullet"/>
        <w:spacing w:after="60" w:line="276" w:lineRule="auto"/>
      </w:pPr>
      <w:r/>
      <w:r>
        <w:rPr>
          <w:rFonts w:ascii="Times New Roman" w:hAnsi="Times New Roman"/>
          <w:sz w:val="22"/>
        </w:rPr>
        <w:t>1-Bit Integrity Assertions (REG_VAL_01): The holistic pipeline validation status is binary-asserted as 1_2 (TRUE / PASSED), denoting absolute mathematical integrity across all processing nodes.</w:t>
      </w:r>
    </w:p>
    <w:p>
      <w:r>
        <w:t>By embedding the Bahasa Bit architecture directly within the research methodology, this paper bridges computational sociology with computer systems engineering, establishing a new paradigm of verifiable data provenance for algorithmic governance research.</w:t>
      </w:r>
    </w:p>
    <w:p>
      <w:pPr>
        <w:spacing w:before="240" w:after="80"/>
      </w:pPr>
      <w:r>
        <w:rPr>
          <w:rFonts w:ascii="Times New Roman" w:hAnsi="Times New Roman"/>
          <w:b/>
          <w:color w:val="1E325A"/>
          <w:sz w:val="25"/>
        </w:rPr>
        <w:t>3.6 Social Network Analysis Formalism</w:t>
      </w:r>
    </w:p>
    <w:p>
      <w:pPr/>
      <w:r/>
      <w:r>
        <w:rPr>
          <w:rFonts w:ascii="Times New Roman" w:hAnsi="Times New Roman"/>
          <w:sz w:val="22"/>
        </w:rPr>
        <w:t>Graph operations were executed in Python using NetworkX 3.2. Let $G = (V, E)$ be a directed graph. The following structural parameters were calculated:</w:t>
      </w:r>
    </w:p>
    <w:p>
      <w:pPr>
        <w:pStyle w:val="ListNumber"/>
        <w:spacing w:after="60" w:line="276" w:lineRule="auto"/>
      </w:pPr>
      <w:r/>
      <w:r>
        <w:rPr>
          <w:rFonts w:ascii="Times New Roman" w:hAnsi="Times New Roman"/>
          <w:sz w:val="22"/>
        </w:rPr>
        <w:t>In-Degree ($k_i^{in}$) and Out-Degree ($k_i^{out}$):</w:t>
      </w:r>
    </w:p>
    <w:p>
      <w:pPr/>
      <w:r/>
      <w:r>
        <w:rPr>
          <w:rFonts w:ascii="Times New Roman" w:hAnsi="Times New Roman"/>
          <w:sz w:val="22"/>
        </w:rPr>
        <w:t>$$k_i^{in} = \sum_{j \in V} A_{ji}, \quad k_i^{out} = \sum_{j \in V} A_{ij}$$</w:t>
      </w:r>
    </w:p>
    <w:p>
      <w:pPr/>
      <w:r/>
      <w:r>
        <w:rPr>
          <w:rFonts w:ascii="Times New Roman" w:hAnsi="Times New Roman"/>
          <w:sz w:val="22"/>
        </w:rPr>
        <w:t>where A is the binary adjacency matrix.</w:t>
      </w:r>
    </w:p>
    <w:p>
      <w:pPr>
        <w:pStyle w:val="ListNumber"/>
        <w:spacing w:after="60" w:line="276" w:lineRule="auto"/>
      </w:pPr>
      <w:r/>
      <w:r>
        <w:rPr>
          <w:rFonts w:ascii="Times New Roman" w:hAnsi="Times New Roman"/>
          <w:sz w:val="22"/>
        </w:rPr>
        <w:t>Betweenness Centrality ($C_B(v)$): Measuring the proportion of all shortest paths passing through node v:</w:t>
      </w:r>
    </w:p>
    <w:p>
      <w:pPr/>
      <w:r/>
      <w:r>
        <w:rPr>
          <w:rFonts w:ascii="Times New Roman" w:hAnsi="Times New Roman"/>
          <w:sz w:val="22"/>
        </w:rPr>
        <w:t>$$C_B(v) = \sum_{s \neq v \neq t} \frac{\sigma_{st}(v)}{\sigma_{st}}$$</w:t>
      </w:r>
    </w:p>
    <w:p>
      <w:pPr/>
      <w:r/>
      <w:r>
        <w:rPr>
          <w:rFonts w:ascii="Times New Roman" w:hAnsi="Times New Roman"/>
          <w:sz w:val="22"/>
        </w:rPr>
        <w:t>where $\sigma_{st} is the total number of shortest paths from s to t$, and $\sigma_{st}(v) is the number of those paths that pass through v$.</w:t>
      </w:r>
    </w:p>
    <w:p>
      <w:pPr>
        <w:pStyle w:val="ListNumber"/>
        <w:spacing w:after="60" w:line="276" w:lineRule="auto"/>
      </w:pPr>
      <w:r/>
      <w:r>
        <w:rPr>
          <w:rFonts w:ascii="Times New Roman" w:hAnsi="Times New Roman"/>
          <w:sz w:val="22"/>
        </w:rPr>
        <w:t>Eigenvector Centrality (x_v):</w:t>
      </w:r>
    </w:p>
    <w:p>
      <w:pPr/>
      <w:r/>
      <w:r>
        <w:rPr>
          <w:rFonts w:ascii="Times New Roman" w:hAnsi="Times New Roman"/>
          <w:sz w:val="22"/>
        </w:rPr>
        <w:t>$$\lambda x_v = \sum_{t \in M(v)} x_t = \sum_{t \in V} A_{vt} x_t$$</w:t>
      </w:r>
    </w:p>
    <w:p>
      <w:r>
        <w:t>assigning relative influence scores based on the principle that connections to high-scoring nodes contribute more to the score of the node in question.</w:t>
      </w:r>
    </w:p>
    <w:p>
      <w:pPr>
        <w:pStyle w:val="ListNumber"/>
        <w:spacing w:after="60" w:line="276" w:lineRule="auto"/>
      </w:pPr>
      <w:r/>
      <w:r>
        <w:rPr>
          <w:rFonts w:ascii="Times New Roman" w:hAnsi="Times New Roman"/>
          <w:sz w:val="22"/>
        </w:rPr>
        <w:t>Louvain Modularity (Q):</w:t>
      </w:r>
    </w:p>
    <w:p>
      <w:pPr/>
      <w:r/>
      <w:r>
        <w:rPr>
          <w:rFonts w:ascii="Times New Roman" w:hAnsi="Times New Roman"/>
          <w:sz w:val="22"/>
        </w:rPr>
        <w:t>$$Q = \frac{1}{2m} \sum_{i,j} \left[ A_{ij} - \frac{k_i k_j}{2m} \right] \delta(c_i, c_j)$$</w:t>
      </w:r>
    </w:p>
    <w:p>
      <w:pPr/>
      <w:r/>
      <w:r>
        <w:rPr>
          <w:rFonts w:ascii="Times New Roman" w:hAnsi="Times New Roman"/>
          <w:sz w:val="22"/>
        </w:rPr>
        <w:t>where $m = |E|$, k_i is node degree, and $\delta(c_i, c_j) = 1 if nodes i, j belong to community c$, else 0.</w:t>
      </w:r>
    </w:p>
    <w:p>
      <w:pPr>
        <w:pStyle w:val="ListNumber"/>
        <w:spacing w:after="60" w:line="276" w:lineRule="auto"/>
      </w:pPr>
      <w:r/>
      <w:r>
        <w:rPr>
          <w:rFonts w:ascii="Times New Roman" w:hAnsi="Times New Roman"/>
          <w:sz w:val="22"/>
        </w:rPr>
        <w:t>Degree Assortativity (r):</w:t>
      </w:r>
    </w:p>
    <w:p>
      <w:pPr/>
      <w:r/>
      <w:r>
        <w:rPr>
          <w:rFonts w:ascii="Times New Roman" w:hAnsi="Times New Roman"/>
          <w:sz w:val="22"/>
        </w:rPr>
        <w:t>$$r = \frac{\sum_{xy} xy (e_{xy} - a_x b_y)}{\sigma_a \sigma_b}$$</w:t>
      </w:r>
    </w:p>
    <w:p>
      <w:r>
        <w:t>quantifying whether nodes attach preferentially to peers of similar degree.</w:t>
      </w:r>
    </w:p>
    <w:p>
      <w:pPr>
        <w:spacing w:before="320" w:after="120"/>
      </w:pPr>
      <w:r>
        <w:rPr>
          <w:rFonts w:ascii="Times New Roman" w:hAnsi="Times New Roman"/>
          <w:b/>
          <w:color w:val="142850"/>
          <w:sz w:val="28"/>
        </w:rPr>
        <w:t>4. Empirical Results</w:t>
      </w:r>
    </w:p>
    <w:p>
      <w:pPr>
        <w:spacing w:before="240" w:after="80"/>
      </w:pPr>
      <w:r>
        <w:rPr>
          <w:rFonts w:ascii="Times New Roman" w:hAnsi="Times New Roman"/>
          <w:b/>
          <w:color w:val="1E325A"/>
          <w:sz w:val="25"/>
        </w:rPr>
        <w:t>4.1 Macro-Topological Network Profile</w:t>
      </w:r>
    </w:p>
    <w:p>
      <w:r>
        <w:t>The mathematical extraction of graph metrics across the complete interaction corpus of MBG discourse reveals an astonishing topological profile. Table 1 summarizes the empirical metrics alongside theoretical benchmarks.</w:t>
      </w:r>
    </w:p>
    <w:p>
      <w:r>
        <w:rPr>
          <w:b/>
        </w:rPr>
        <w:t>Table 1: Macro-Topological Metrics of the Official MBG Communication Network (March–May 2026)</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Topological Parameter</w:t>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Mathematical Notation</w:t>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Empirical Value</w:t>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Theoretical / Baseline Interpretation</w:t>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p>
        </w:tc>
      </w:tr>
      <w:tr>
        <w:tc>
          <w:tcPr>
            <w:tcW w:type="dxa" w:w="1170"/>
            <w:tcMar>
              <w:top w:w="70" w:type="dxa"/>
              <w:bottom w:w="70" w:type="dxa"/>
              <w:left w:w="100" w:type="dxa"/>
              <w:right w:w="100" w:type="dxa"/>
            </w:tcMar>
          </w:tcPr>
          <w:p>
            <w:pPr>
              <w:spacing w:before="60" w:after="60" w:line="252" w:lineRule="auto"/>
            </w:pPr>
            <w:r>
              <w:rPr>
                <w:sz w:val="18"/>
              </w:rPr>
            </w:r>
            <w:r>
              <w:rPr>
                <w:sz w:val="18"/>
              </w:rPr>
              <w:t>Graph Classification</w:t>
            </w:r>
          </w:p>
        </w:tc>
        <w:tc>
          <w:tcPr>
            <w:tcW w:type="dxa" w:w="1170"/>
            <w:tcMar>
              <w:top w:w="70" w:type="dxa"/>
              <w:bottom w:w="70" w:type="dxa"/>
              <w:left w:w="100" w:type="dxa"/>
              <w:right w:w="100" w:type="dxa"/>
            </w:tcMar>
          </w:tcPr>
          <w:p>
            <w:pPr>
              <w:spacing w:before="60" w:after="60" w:line="252" w:lineRule="auto"/>
            </w:pPr>
            <w:r>
              <w:rPr>
                <w:sz w:val="18"/>
              </w:rPr>
            </w:r>
            <w:r>
              <w:rPr>
                <w:sz w:val="18"/>
              </w:rPr>
              <w:t>—</w:t>
            </w:r>
          </w:p>
        </w:tc>
        <w:tc>
          <w:tcPr>
            <w:tcW w:type="dxa" w:w="1170"/>
            <w:tcMar>
              <w:top w:w="70" w:type="dxa"/>
              <w:bottom w:w="70" w:type="dxa"/>
              <w:left w:w="100" w:type="dxa"/>
              <w:right w:w="100" w:type="dxa"/>
            </w:tcMar>
          </w:tcPr>
          <w:p>
            <w:pPr>
              <w:spacing w:before="60" w:after="60" w:line="252" w:lineRule="auto"/>
            </w:pPr>
            <w:r>
              <w:rPr>
                <w:sz w:val="18"/>
              </w:rPr>
            </w:r>
            <w:r>
              <w:rPr>
                <w:b/>
                <w:sz w:val="18"/>
              </w:rPr>
              <w:t>Directed</w:t>
            </w:r>
          </w:p>
        </w:tc>
        <w:tc>
          <w:tcPr>
            <w:tcW w:type="dxa" w:w="1170"/>
            <w:tcMar>
              <w:top w:w="70" w:type="dxa"/>
              <w:bottom w:w="70" w:type="dxa"/>
              <w:left w:w="100" w:type="dxa"/>
              <w:right w:w="100" w:type="dxa"/>
            </w:tcMar>
          </w:tcPr>
          <w:p>
            <w:pPr>
              <w:spacing w:before="60" w:after="60" w:line="252" w:lineRule="auto"/>
            </w:pPr>
            <w:r>
              <w:rPr>
                <w:sz w:val="18"/>
              </w:rPr>
            </w:r>
            <w:r>
              <w:rPr>
                <w:sz w:val="18"/>
              </w:rPr>
              <w:t>Asymmetric mention and reply relations</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Total Nodes</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w:t>
            </w:r>
          </w:p>
        </w:tc>
        <w:tc>
          <w:tcPr>
            <w:tcW w:type="dxa" w:w="1170"/>
            <w:tcMar>
              <w:top w:w="70" w:type="dxa"/>
              <w:bottom w:w="70" w:type="dxa"/>
              <w:left w:w="100" w:type="dxa"/>
              <w:right w:w="100" w:type="dxa"/>
            </w:tcMar>
          </w:tcPr>
          <w:p>
            <w:pPr>
              <w:spacing w:before="60" w:after="60" w:line="252" w:lineRule="auto"/>
            </w:pPr>
            <w:r>
              <w:rPr>
                <w:sz w:val="18"/>
              </w:rPr>
            </w:r>
            <w:r>
              <w:rPr>
                <w:sz w:val="18"/>
              </w:rPr>
              <w:t>V\</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w:t>
            </w:r>
          </w:p>
        </w:tc>
        <w:tc>
          <w:tcPr>
            <w:tcW w:type="dxa" w:w="1170"/>
            <w:tcMar>
              <w:top w:w="70" w:type="dxa"/>
              <w:bottom w:w="70" w:type="dxa"/>
              <w:left w:w="100" w:type="dxa"/>
              <w:right w:w="100" w:type="dxa"/>
            </w:tcMar>
          </w:tcPr>
          <w:p>
            <w:pPr>
              <w:spacing w:before="60" w:after="60" w:line="252" w:lineRule="auto"/>
            </w:pPr>
            <w:r>
              <w:rPr>
                <w:sz w:val="18"/>
              </w:rPr>
            </w:r>
            <w:r>
              <w:rPr>
                <w:b/>
                <w:sz w:val="18"/>
              </w:rPr>
              <w:t>971</w:t>
            </w:r>
          </w:p>
        </w:tc>
        <w:tc>
          <w:tcPr>
            <w:tcW w:type="dxa" w:w="1170"/>
            <w:tcMar>
              <w:top w:w="70" w:type="dxa"/>
              <w:bottom w:w="70" w:type="dxa"/>
              <w:left w:w="100" w:type="dxa"/>
              <w:right w:w="100" w:type="dxa"/>
            </w:tcMar>
          </w:tcPr>
          <w:p>
            <w:pPr>
              <w:spacing w:before="60" w:after="60" w:line="252" w:lineRule="auto"/>
            </w:pPr>
            <w:r>
              <w:rPr>
                <w:sz w:val="18"/>
              </w:rPr>
            </w:r>
            <w:r>
              <w:rPr>
                <w:sz w:val="18"/>
              </w:rPr>
              <w:t>Active user accounts participating in interaction</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Total Edges</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w:t>
            </w:r>
          </w:p>
        </w:tc>
        <w:tc>
          <w:tcPr>
            <w:tcW w:type="dxa" w:w="1170"/>
            <w:tcMar>
              <w:top w:w="70" w:type="dxa"/>
              <w:bottom w:w="70" w:type="dxa"/>
              <w:left w:w="100" w:type="dxa"/>
              <w:right w:w="100" w:type="dxa"/>
            </w:tcMar>
          </w:tcPr>
          <w:p>
            <w:pPr>
              <w:spacing w:before="60" w:after="60" w:line="252" w:lineRule="auto"/>
            </w:pPr>
            <w:r>
              <w:rPr>
                <w:sz w:val="18"/>
              </w:rPr>
            </w:r>
            <w:r>
              <w:rPr>
                <w:sz w:val="18"/>
              </w:rPr>
              <w:t>E\</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w:t>
            </w:r>
          </w:p>
        </w:tc>
        <w:tc>
          <w:tcPr>
            <w:tcW w:type="dxa" w:w="1170"/>
            <w:tcMar>
              <w:top w:w="70" w:type="dxa"/>
              <w:bottom w:w="70" w:type="dxa"/>
              <w:left w:w="100" w:type="dxa"/>
              <w:right w:w="100" w:type="dxa"/>
            </w:tcMar>
          </w:tcPr>
          <w:p>
            <w:pPr>
              <w:spacing w:before="60" w:after="60" w:line="252" w:lineRule="auto"/>
            </w:pPr>
            <w:r>
              <w:rPr>
                <w:sz w:val="18"/>
              </w:rPr>
            </w:r>
            <w:r>
              <w:rPr>
                <w:b/>
                <w:sz w:val="18"/>
              </w:rPr>
              <w:t>692</w:t>
            </w:r>
          </w:p>
        </w:tc>
        <w:tc>
          <w:tcPr>
            <w:tcW w:type="dxa" w:w="1170"/>
            <w:tcMar>
              <w:top w:w="70" w:type="dxa"/>
              <w:bottom w:w="70" w:type="dxa"/>
              <w:left w:w="100" w:type="dxa"/>
              <w:right w:w="100" w:type="dxa"/>
            </w:tcMar>
          </w:tcPr>
          <w:p>
            <w:pPr>
              <w:spacing w:before="60" w:after="60" w:line="252" w:lineRule="auto"/>
            </w:pPr>
            <w:r>
              <w:rPr>
                <w:sz w:val="18"/>
              </w:rPr>
            </w:r>
            <w:r>
              <w:rPr>
                <w:sz w:val="18"/>
              </w:rPr>
              <w:t>Directed communicative transactions</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Unique Directed Edges</w:t>
            </w:r>
          </w:p>
        </w:tc>
        <w:tc>
          <w:tcPr>
            <w:tcW w:type="dxa" w:w="1170"/>
            <w:tcMar>
              <w:top w:w="70" w:type="dxa"/>
              <w:bottom w:w="70" w:type="dxa"/>
              <w:left w:w="100" w:type="dxa"/>
              <w:right w:w="100" w:type="dxa"/>
            </w:tcMar>
          </w:tcPr>
          <w:p>
            <w:pPr>
              <w:spacing w:before="60" w:after="60" w:line="252" w:lineRule="auto"/>
            </w:pPr>
            <w:r>
              <w:rPr>
                <w:sz w:val="18"/>
              </w:rPr>
            </w:r>
            <w:r>
              <w:rPr>
                <w:sz w:val="18"/>
              </w:rPr>
              <w:t>—</w:t>
            </w:r>
          </w:p>
        </w:tc>
        <w:tc>
          <w:tcPr>
            <w:tcW w:type="dxa" w:w="1170"/>
            <w:tcMar>
              <w:top w:w="70" w:type="dxa"/>
              <w:bottom w:w="70" w:type="dxa"/>
              <w:left w:w="100" w:type="dxa"/>
              <w:right w:w="100" w:type="dxa"/>
            </w:tcMar>
          </w:tcPr>
          <w:p>
            <w:pPr>
              <w:spacing w:before="60" w:after="60" w:line="252" w:lineRule="auto"/>
            </w:pPr>
            <w:r>
              <w:rPr>
                <w:sz w:val="18"/>
              </w:rPr>
            </w:r>
            <w:r>
              <w:rPr>
                <w:b/>
                <w:sz w:val="18"/>
              </w:rPr>
              <w:t>666</w:t>
            </w:r>
          </w:p>
        </w:tc>
        <w:tc>
          <w:tcPr>
            <w:tcW w:type="dxa" w:w="1170"/>
            <w:tcMar>
              <w:top w:w="70" w:type="dxa"/>
              <w:bottom w:w="70" w:type="dxa"/>
              <w:left w:w="100" w:type="dxa"/>
              <w:right w:w="100" w:type="dxa"/>
            </w:tcMar>
          </w:tcPr>
          <w:p>
            <w:pPr>
              <w:spacing w:before="60" w:after="60" w:line="252" w:lineRule="auto"/>
            </w:pPr>
            <w:r>
              <w:rPr>
                <w:sz w:val="18"/>
              </w:rPr>
            </w:r>
            <w:r>
              <w:rPr>
                <w:sz w:val="18"/>
              </w:rPr>
              <w:t>Distinct non-duplicate directed ties</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Self-Loops</w:t>
            </w:r>
          </w:p>
        </w:tc>
        <w:tc>
          <w:tcPr>
            <w:tcW w:type="dxa" w:w="1170"/>
            <w:tcMar>
              <w:top w:w="70" w:type="dxa"/>
              <w:bottom w:w="70" w:type="dxa"/>
              <w:left w:w="100" w:type="dxa"/>
              <w:right w:w="100" w:type="dxa"/>
            </w:tcMar>
          </w:tcPr>
          <w:p>
            <w:pPr>
              <w:spacing w:before="60" w:after="60" w:line="252" w:lineRule="auto"/>
            </w:pPr>
            <w:r>
              <w:rPr>
                <w:sz w:val="18"/>
              </w:rPr>
            </w:r>
            <w:r>
              <w:rPr>
                <w:sz w:val="18"/>
              </w:rPr>
              <w:t>—</w:t>
            </w:r>
          </w:p>
        </w:tc>
        <w:tc>
          <w:tcPr>
            <w:tcW w:type="dxa" w:w="1170"/>
            <w:tcMar>
              <w:top w:w="70" w:type="dxa"/>
              <w:bottom w:w="70" w:type="dxa"/>
              <w:left w:w="100" w:type="dxa"/>
              <w:right w:w="100" w:type="dxa"/>
            </w:tcMar>
          </w:tcPr>
          <w:p>
            <w:pPr>
              <w:spacing w:before="60" w:after="60" w:line="252" w:lineRule="auto"/>
            </w:pPr>
            <w:r>
              <w:rPr>
                <w:sz w:val="18"/>
              </w:rPr>
            </w:r>
            <w:r>
              <w:rPr>
                <w:b/>
                <w:sz w:val="18"/>
              </w:rPr>
              <w:t>17</w:t>
            </w:r>
          </w:p>
        </w:tc>
        <w:tc>
          <w:tcPr>
            <w:tcW w:type="dxa" w:w="1170"/>
            <w:tcMar>
              <w:top w:w="70" w:type="dxa"/>
              <w:bottom w:w="70" w:type="dxa"/>
              <w:left w:w="100" w:type="dxa"/>
              <w:right w:w="100" w:type="dxa"/>
            </w:tcMar>
          </w:tcPr>
          <w:p>
            <w:pPr>
              <w:spacing w:before="60" w:after="60" w:line="252" w:lineRule="auto"/>
            </w:pPr>
            <w:r>
              <w:rPr>
                <w:sz w:val="18"/>
              </w:rPr>
            </w:r>
            <w:r>
              <w:rPr>
                <w:sz w:val="18"/>
              </w:rPr>
              <w:t>Self-reply or reflexive broadcast mentions</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Graph Density</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\rho</w:t>
            </w:r>
          </w:p>
        </w:tc>
        <w:tc>
          <w:tcPr>
            <w:tcW w:type="dxa" w:w="1170"/>
            <w:tcMar>
              <w:top w:w="70" w:type="dxa"/>
              <w:bottom w:w="70" w:type="dxa"/>
              <w:left w:w="100" w:type="dxa"/>
              <w:right w:w="100" w:type="dxa"/>
            </w:tcMar>
          </w:tcPr>
          <w:p>
            <w:pPr>
              <w:spacing w:before="60" w:after="60" w:line="252" w:lineRule="auto"/>
            </w:pPr>
            <w:r>
              <w:rPr>
                <w:sz w:val="18"/>
              </w:rPr>
            </w:r>
            <w:r>
              <w:rPr>
                <w:b/>
                <w:sz w:val="18"/>
              </w:rPr>
              <w:t>0.000735</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Extremely sparse; only $0.07\%$ of possible ties realized</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Dyadic Reciprocity</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R</w:t>
            </w:r>
          </w:p>
        </w:tc>
        <w:tc>
          <w:tcPr>
            <w:tcW w:type="dxa" w:w="1170"/>
            <w:tcMar>
              <w:top w:w="70" w:type="dxa"/>
              <w:bottom w:w="70" w:type="dxa"/>
              <w:left w:w="100" w:type="dxa"/>
              <w:right w:w="100" w:type="dxa"/>
            </w:tcMar>
          </w:tcPr>
          <w:p>
            <w:pPr>
              <w:spacing w:before="60" w:after="60" w:line="252" w:lineRule="auto"/>
            </w:pPr>
            <w:r>
              <w:rPr>
                <w:sz w:val="18"/>
              </w:rPr>
            </w:r>
            <w:r>
              <w:rPr>
                <w:b/>
                <w:sz w:val="18"/>
              </w:rPr>
              <w:t>1.20%</w:t>
            </w:r>
          </w:p>
        </w:tc>
        <w:tc>
          <w:tcPr>
            <w:tcW w:type="dxa" w:w="1170"/>
            <w:tcMar>
              <w:top w:w="70" w:type="dxa"/>
              <w:bottom w:w="70" w:type="dxa"/>
              <w:left w:w="100" w:type="dxa"/>
              <w:right w:w="100" w:type="dxa"/>
            </w:tcMar>
          </w:tcPr>
          <w:p>
            <w:pPr>
              <w:spacing w:before="60" w:after="60" w:line="252" w:lineRule="auto"/>
            </w:pPr>
            <w:r>
              <w:rPr>
                <w:sz w:val="18"/>
              </w:rPr>
            </w:r>
            <w:r>
              <w:rPr>
                <w:sz w:val="18"/>
              </w:rPr>
              <w:t>Near-zero bidirectional conversation; pure broadcast</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Weakly Connected Components</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$N_{WCC}$</w:t>
            </w:r>
          </w:p>
        </w:tc>
        <w:tc>
          <w:tcPr>
            <w:tcW w:type="dxa" w:w="1170"/>
            <w:tcMar>
              <w:top w:w="70" w:type="dxa"/>
              <w:bottom w:w="70" w:type="dxa"/>
              <w:left w:w="100" w:type="dxa"/>
              <w:right w:w="100" w:type="dxa"/>
            </w:tcMar>
          </w:tcPr>
          <w:p>
            <w:pPr>
              <w:spacing w:before="60" w:after="60" w:line="252" w:lineRule="auto"/>
            </w:pPr>
            <w:r>
              <w:rPr>
                <w:sz w:val="18"/>
              </w:rPr>
            </w:r>
            <w:r>
              <w:rPr>
                <w:b/>
                <w:sz w:val="18"/>
              </w:rPr>
              <w:t>341</w:t>
            </w:r>
          </w:p>
        </w:tc>
        <w:tc>
          <w:tcPr>
            <w:tcW w:type="dxa" w:w="1170"/>
            <w:tcMar>
              <w:top w:w="70" w:type="dxa"/>
              <w:bottom w:w="70" w:type="dxa"/>
              <w:left w:w="100" w:type="dxa"/>
              <w:right w:w="100" w:type="dxa"/>
            </w:tcMar>
          </w:tcPr>
          <w:p>
            <w:pPr>
              <w:spacing w:before="60" w:after="60" w:line="252" w:lineRule="auto"/>
            </w:pPr>
            <w:r>
              <w:rPr>
                <w:sz w:val="18"/>
              </w:rPr>
            </w:r>
            <w:r>
              <w:rPr>
                <w:sz w:val="18"/>
              </w:rPr>
              <w:t>Severe communicative fragmentation; isolated clusters</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Giant Component Coverage</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w:t>
            </w:r>
          </w:p>
        </w:tc>
        <w:tc>
          <w:tcPr>
            <w:tcW w:type="dxa" w:w="1170"/>
            <w:tcMar>
              <w:top w:w="70" w:type="dxa"/>
              <w:bottom w:w="70" w:type="dxa"/>
              <w:left w:w="100" w:type="dxa"/>
              <w:right w:w="100" w:type="dxa"/>
            </w:tcMar>
          </w:tcPr>
          <w:p>
            <w:pPr>
              <w:spacing w:before="60" w:after="60" w:line="252" w:lineRule="auto"/>
            </w:pPr>
            <w:r>
              <w:rPr>
                <w:sz w:val="18"/>
              </w:rPr>
            </w:r>
            <w:r>
              <w:rPr>
                <w:sz w:val="18"/>
              </w:rPr>
              <w:t>V_{GCC}\</w:t>
            </w:r>
          </w:p>
        </w:tc>
        <w:tc>
          <w:tcPr>
            <w:tcW w:type="dxa" w:w="1170"/>
            <w:tcMar>
              <w:top w:w="70" w:type="dxa"/>
              <w:bottom w:w="70" w:type="dxa"/>
              <w:left w:w="100" w:type="dxa"/>
              <w:right w:w="100" w:type="dxa"/>
            </w:tcMar>
          </w:tcPr>
          <w:p>
            <w:pPr>
              <w:spacing w:before="60" w:after="60" w:line="252" w:lineRule="auto"/>
            </w:pPr>
            <w:r>
              <w:rPr>
                <w:sz w:val="18"/>
              </w:rPr>
            </w:r>
            <w:r>
              <w:rPr>
                <w:sz w:val="18"/>
              </w:rPr>
              <w:t>/ \</w:t>
            </w:r>
          </w:p>
        </w:tc>
        <w:tc>
          <w:tcPr>
            <w:tcW w:type="dxa" w:w="1170"/>
            <w:tcMar>
              <w:top w:w="70" w:type="dxa"/>
              <w:bottom w:w="70" w:type="dxa"/>
              <w:left w:w="100" w:type="dxa"/>
              <w:right w:w="100" w:type="dxa"/>
            </w:tcMar>
          </w:tcPr>
          <w:p>
            <w:pPr>
              <w:spacing w:before="60" w:after="60" w:line="252" w:lineRule="auto"/>
            </w:pPr>
            <w:r>
              <w:rPr>
                <w:sz w:val="18"/>
              </w:rPr>
            </w:r>
            <w:r>
              <w:rPr>
                <w:sz w:val="18"/>
              </w:rPr>
              <w:t>V\</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w:t>
            </w:r>
          </w:p>
        </w:tc>
        <w:tc>
          <w:tcPr>
            <w:tcW w:type="dxa" w:w="1170"/>
            <w:tcMar>
              <w:top w:w="70" w:type="dxa"/>
              <w:bottom w:w="70" w:type="dxa"/>
              <w:left w:w="100" w:type="dxa"/>
              <w:right w:w="100" w:type="dxa"/>
            </w:tcMar>
          </w:tcPr>
          <w:p>
            <w:pPr>
              <w:spacing w:before="60" w:after="60" w:line="252" w:lineRule="auto"/>
            </w:pPr>
            <w:r>
              <w:rPr>
                <w:sz w:val="18"/>
              </w:rPr>
            </w:r>
            <w:r>
              <w:rPr>
                <w:b/>
                <w:sz w:val="18"/>
              </w:rPr>
              <w:t>89 (9.17%)</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Less than $10\%$ of actors participate in the primary conversational core</w:t>
            </w:r>
          </w:p>
        </w:tc>
      </w:tr>
      <w:tr>
        <w:tc>
          <w:tcPr>
            <w:tcW w:type="dxa" w:w="1170"/>
            <w:tcMar>
              <w:top w:w="70" w:type="dxa"/>
              <w:bottom w:w="70" w:type="dxa"/>
              <w:left w:w="100" w:type="dxa"/>
              <w:right w:w="100" w:type="dxa"/>
            </w:tcMar>
          </w:tcPr>
          <w:p>
            <w:pPr>
              <w:spacing w:before="60" w:after="60" w:line="252" w:lineRule="auto"/>
            </w:pPr>
            <w:r>
              <w:rPr>
                <w:sz w:val="18"/>
              </w:rPr>
            </w:r>
            <w:r>
              <w:rPr>
                <w:sz w:val="18"/>
              </w:rPr>
              <w:t>Giant Component Diameter</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D</w:t>
            </w:r>
          </w:p>
        </w:tc>
        <w:tc>
          <w:tcPr>
            <w:tcW w:type="dxa" w:w="1170"/>
            <w:tcMar>
              <w:top w:w="70" w:type="dxa"/>
              <w:bottom w:w="70" w:type="dxa"/>
              <w:left w:w="100" w:type="dxa"/>
              <w:right w:w="100" w:type="dxa"/>
            </w:tcMar>
          </w:tcPr>
          <w:p>
            <w:pPr>
              <w:spacing w:before="60" w:after="60" w:line="252" w:lineRule="auto"/>
            </w:pPr>
            <w:r>
              <w:rPr>
                <w:sz w:val="18"/>
              </w:rPr>
            </w:r>
            <w:r>
              <w:rPr>
                <w:b/>
                <w:sz w:val="18"/>
              </w:rPr>
              <w:t>9</w:t>
            </w:r>
          </w:p>
        </w:tc>
        <w:tc>
          <w:tcPr>
            <w:tcW w:type="dxa" w:w="1170"/>
            <w:tcMar>
              <w:top w:w="70" w:type="dxa"/>
              <w:bottom w:w="70" w:type="dxa"/>
              <w:left w:w="100" w:type="dxa"/>
              <w:right w:w="100" w:type="dxa"/>
            </w:tcMar>
          </w:tcPr>
          <w:p>
            <w:pPr>
              <w:spacing w:before="60" w:after="60" w:line="252" w:lineRule="auto"/>
            </w:pPr>
            <w:r>
              <w:rPr>
                <w:sz w:val="18"/>
              </w:rPr>
            </w:r>
            <w:r>
              <w:rPr>
                <w:sz w:val="18"/>
              </w:rPr>
              <w:t>Maximum shortest path across the core cluster</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Average Path Length (GCC)</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L</w:t>
            </w:r>
          </w:p>
        </w:tc>
        <w:tc>
          <w:tcPr>
            <w:tcW w:type="dxa" w:w="1170"/>
            <w:tcMar>
              <w:top w:w="70" w:type="dxa"/>
              <w:bottom w:w="70" w:type="dxa"/>
              <w:left w:w="100" w:type="dxa"/>
              <w:right w:w="100" w:type="dxa"/>
            </w:tcMar>
          </w:tcPr>
          <w:p>
            <w:pPr>
              <w:spacing w:before="60" w:after="60" w:line="252" w:lineRule="auto"/>
            </w:pPr>
            <w:r>
              <w:rPr>
                <w:sz w:val="18"/>
              </w:rPr>
            </w:r>
            <w:r>
              <w:rPr>
                <w:b/>
                <w:sz w:val="18"/>
              </w:rPr>
              <w:t>3.67</w:t>
            </w:r>
          </w:p>
        </w:tc>
        <w:tc>
          <w:tcPr>
            <w:tcW w:type="dxa" w:w="1170"/>
            <w:tcMar>
              <w:top w:w="70" w:type="dxa"/>
              <w:bottom w:w="70" w:type="dxa"/>
              <w:left w:w="100" w:type="dxa"/>
              <w:right w:w="100" w:type="dxa"/>
            </w:tcMar>
          </w:tcPr>
          <w:p>
            <w:pPr>
              <w:spacing w:before="60" w:after="60" w:line="252" w:lineRule="auto"/>
            </w:pPr>
            <w:r>
              <w:rPr>
                <w:sz w:val="18"/>
              </w:rPr>
            </w:r>
            <w:r>
              <w:rPr>
                <w:sz w:val="18"/>
              </w:rPr>
              <w:t>Compact transmission length within the giant component</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Average Clustering Coefficient</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$\bar{C}$</w:t>
            </w:r>
          </w:p>
        </w:tc>
        <w:tc>
          <w:tcPr>
            <w:tcW w:type="dxa" w:w="1170"/>
            <w:tcMar>
              <w:top w:w="70" w:type="dxa"/>
              <w:bottom w:w="70" w:type="dxa"/>
              <w:left w:w="100" w:type="dxa"/>
              <w:right w:w="100" w:type="dxa"/>
            </w:tcMar>
          </w:tcPr>
          <w:p>
            <w:pPr>
              <w:spacing w:before="60" w:after="60" w:line="252" w:lineRule="auto"/>
            </w:pPr>
            <w:r>
              <w:rPr>
                <w:sz w:val="18"/>
              </w:rPr>
            </w:r>
            <w:r>
              <w:rPr>
                <w:b/>
                <w:sz w:val="18"/>
              </w:rPr>
              <w:t>0.0171</w:t>
            </w:r>
          </w:p>
        </w:tc>
        <w:tc>
          <w:tcPr>
            <w:tcW w:type="dxa" w:w="1170"/>
            <w:tcMar>
              <w:top w:w="70" w:type="dxa"/>
              <w:bottom w:w="70" w:type="dxa"/>
              <w:left w:w="100" w:type="dxa"/>
              <w:right w:w="100" w:type="dxa"/>
            </w:tcMar>
          </w:tcPr>
          <w:p>
            <w:pPr>
              <w:spacing w:before="60" w:after="60" w:line="252" w:lineRule="auto"/>
            </w:pPr>
            <w:r>
              <w:rPr>
                <w:sz w:val="18"/>
              </w:rPr>
            </w:r>
            <w:r>
              <w:rPr>
                <w:sz w:val="18"/>
              </w:rPr>
              <w:t>Minimal triadic closure; low local network cohesiveness</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Louvain Modularity</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Q</w:t>
            </w:r>
          </w:p>
        </w:tc>
        <w:tc>
          <w:tcPr>
            <w:tcW w:type="dxa" w:w="1170"/>
            <w:tcMar>
              <w:top w:w="70" w:type="dxa"/>
              <w:bottom w:w="70" w:type="dxa"/>
              <w:left w:w="100" w:type="dxa"/>
              <w:right w:w="100" w:type="dxa"/>
            </w:tcMar>
          </w:tcPr>
          <w:p>
            <w:pPr>
              <w:spacing w:before="60" w:after="60" w:line="252" w:lineRule="auto"/>
            </w:pPr>
            <w:r>
              <w:rPr>
                <w:sz w:val="18"/>
              </w:rPr>
            </w:r>
            <w:r>
              <w:rPr>
                <w:b/>
                <w:sz w:val="18"/>
              </w:rPr>
              <w:t>0.9837</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Hyper-fragmented community segregation ($Q \to 1.0$)</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Degree Assortativity</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r</w:t>
            </w:r>
          </w:p>
        </w:tc>
        <w:tc>
          <w:tcPr>
            <w:tcW w:type="dxa" w:w="1170"/>
            <w:tcMar>
              <w:top w:w="70" w:type="dxa"/>
              <w:bottom w:w="70" w:type="dxa"/>
              <w:left w:w="100" w:type="dxa"/>
              <w:right w:w="100" w:type="dxa"/>
            </w:tcMar>
          </w:tcPr>
          <w:p>
            <w:pPr>
              <w:spacing w:before="60" w:after="60" w:line="252" w:lineRule="auto"/>
            </w:pPr>
            <w:r>
              <w:rPr>
                <w:sz w:val="18"/>
              </w:rPr>
            </w:r>
            <w:r>
              <w:rPr>
                <w:b/>
                <w:sz w:val="18"/>
              </w:rPr>
              <w:t>−0.0847</w:t>
            </w:r>
          </w:p>
        </w:tc>
        <w:tc>
          <w:tcPr>
            <w:tcW w:type="dxa" w:w="1170"/>
            <w:tcMar>
              <w:top w:w="70" w:type="dxa"/>
              <w:bottom w:w="70" w:type="dxa"/>
              <w:left w:w="100" w:type="dxa"/>
              <w:right w:w="100" w:type="dxa"/>
            </w:tcMar>
          </w:tcPr>
          <w:p>
            <w:pPr>
              <w:spacing w:before="60" w:after="60" w:line="252" w:lineRule="auto"/>
            </w:pPr>
            <w:r>
              <w:rPr>
                <w:sz w:val="18"/>
              </w:rPr>
            </w:r>
            <w:r>
              <w:rPr>
                <w:sz w:val="18"/>
              </w:rPr>
              <w:t>Disassortative mixing; negative degree mixing between lower- and higher-degree nodes</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Mar>
              <w:top w:w="70" w:type="dxa"/>
              <w:bottom w:w="70" w:type="dxa"/>
              <w:left w:w="100" w:type="dxa"/>
              <w:right w:w="100" w:type="dxa"/>
            </w:tcMar>
          </w:tcPr>
          <w:p>
            <w:pPr>
              <w:spacing w:before="60" w:after="60" w:line="252" w:lineRule="auto"/>
            </w:pPr>
            <w:r>
              <w:rPr>
                <w:sz w:val="18"/>
              </w:rPr>
            </w:r>
            <w:r>
              <w:rPr>
                <w:sz w:val="18"/>
              </w:rPr>
              <w:t>Power-Law Exponent</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\alpha</w:t>
            </w:r>
          </w:p>
        </w:tc>
        <w:tc>
          <w:tcPr>
            <w:tcW w:type="dxa" w:w="1170"/>
            <w:tcMar>
              <w:top w:w="70" w:type="dxa"/>
              <w:bottom w:w="70" w:type="dxa"/>
              <w:left w:w="100" w:type="dxa"/>
              <w:right w:w="100" w:type="dxa"/>
            </w:tcMar>
          </w:tcPr>
          <w:p>
            <w:pPr>
              <w:spacing w:before="60" w:after="60" w:line="252" w:lineRule="auto"/>
            </w:pPr>
            <w:r>
              <w:rPr>
                <w:sz w:val="18"/>
              </w:rPr>
            </w:r>
            <w:r>
              <w:rPr>
                <w:b/>
                <w:sz w:val="18"/>
              </w:rPr>
              <w:t>2.168</w:t>
            </w:r>
          </w:p>
        </w:tc>
        <w:tc>
          <w:tcPr>
            <w:tcW w:type="dxa" w:w="1170"/>
            <w:tcMar>
              <w:top w:w="70" w:type="dxa"/>
              <w:bottom w:w="70" w:type="dxa"/>
              <w:left w:w="100" w:type="dxa"/>
              <w:right w:w="100" w:type="dxa"/>
            </w:tcMar>
          </w:tcPr>
          <w:p>
            <w:pPr>
              <w:spacing w:before="60" w:after="60" w:line="252" w:lineRule="auto"/>
            </w:pPr>
            <w:r/>
            <w:r>
              <w:rPr>
                <w:rFonts w:ascii="Times New Roman" w:hAnsi="Times New Roman"/>
                <w:sz w:val="20"/>
              </w:rPr>
              <w:t>Heavy-tailed degree distribution estimate ($2 &lt; \alpha &lt; 3$)</w:t>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c>
          <w:tcPr>
            <w:tcW w:type="dxa" w:w="1170"/>
            <w:tcMar>
              <w:top w:w="70" w:type="dxa"/>
              <w:bottom w:w="70" w:type="dxa"/>
              <w:left w:w="100" w:type="dxa"/>
              <w:right w:w="100" w:type="dxa"/>
            </w:tcMar>
          </w:tcPr>
          <w:p>
            <w:pPr>
              <w:spacing w:before="60" w:after="60" w:line="252" w:lineRule="auto"/>
            </w:pPr>
            <w:r>
              <w:rPr>
                <w:sz w:val="18"/>
              </w:rPr>
            </w:r>
          </w:p>
        </w:tc>
      </w:tr>
      <w:tr>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Maximum In-Degree</w:t>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
              <w:rPr>
                <w:rFonts w:ascii="Times New Roman" w:hAnsi="Times New Roman"/>
                <w:sz w:val="20"/>
              </w:rPr>
              <w:t>$\max(k^{\text{in}})$</w:t>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42</w:t>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 xml:space="preserve">Concentrated entirely on the algorithmic oracle </w:t>
            </w:r>
            <w:r>
              <w:rPr>
                <w:rFonts w:ascii="Consolas" w:hAnsi="Consolas"/>
                <w:color w:val="1E2D6E"/>
                <w:sz w:val="18"/>
              </w:rPr>
              <w:t>@grok</w:t>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p>
        </w:tc>
      </w:tr>
    </w:tbl>
    <w:p>
      <w:pPr>
        <w:spacing w:after="120"/>
      </w:pPr>
    </w:p>
    <w:p>
      <w:r>
        <w:t>Figure 6 visualizes the macro topological distributions, degree curves, and component characteristics.</w:t>
      </w:r>
    </w:p>
    <w:p>
      <w:r>
        <w:t>![Figure 6: Macro Network Topology and Power-Law Degree Distribution](results/17_macro_topology_metrics.png)</w:t>
      </w:r>
    </w:p>
    <w:p>
      <w:pPr/>
      <w:r/>
      <w:r>
        <w:rPr>
          <w:rFonts w:ascii="Times New Roman" w:hAnsi="Times New Roman"/>
          <w:sz w:val="22"/>
        </w:rPr>
        <w:t>As evident in Figure 6, the empirical in-degree distribution is consistent with a heavy-tailed degree distribution, with an estimated scaling exponent $\alpha = 2.168$. In the statistical physics of complex networks (Barabási &amp; Albert, 1999; Clauset, Shalizi, &amp; Newman, 2009), an exponent in the range $2 &lt; \alpha &lt; 3$ is commonly associated with heavy-tailed or heavy-tailed network structure models; however, the exponent alone does not establish a definitive power-law fit or imply universal network resilience.</w:t>
      </w:r>
    </w:p>
    <w:p>
      <w:pPr/>
      <w:r/>
      <w:r>
        <w:rPr>
          <w:rFonts w:ascii="Times New Roman" w:hAnsi="Times New Roman"/>
          <w:sz w:val="22"/>
        </w:rPr>
        <w:t>The reciprocity metric ($R = 1.20\%$) constitutes a vital communicative finding. On conversational social networks, healthy democratic deliberation typically exhibits reciprocity scores between $15\% and 30\%$. An empirical score of $1.20\%$ indicates that communicative exchange in MBG discourse is virtually devoid of dialogue. Citizens do not engage in mutual conversation; rather, they perform broadcast monologues, sling sarcasm toward institutional accounts, or query third-party oracles.</w:t>
      </w:r>
    </w:p>
    <w:p>
      <w:pPr>
        <w:spacing w:before="240" w:after="80"/>
      </w:pPr>
      <w:r>
        <w:rPr>
          <w:rFonts w:ascii="Times New Roman" w:hAnsi="Times New Roman"/>
          <w:b/>
          <w:color w:val="1E325A"/>
          <w:sz w:val="25"/>
        </w:rPr>
        <w:t>4.2 Structural Fragmentation and Component Distribution</w:t>
      </w:r>
    </w:p>
    <w:p>
      <w:r>
        <w:t xml:space="preserve">A defining discovery of this study is the extreme structural atomization of public discourse. Rather than coalescing into a single, expansive public sphere or even a classic two-pole battleground, the network shatters into </w:t>
      </w:r>
      <w:r>
        <w:rPr>
          <w:b/>
        </w:rPr>
        <w:t>341 distinct weakly connected components</w:t>
      </w:r>
      <w:r>
        <w:t>.</w:t>
      </w:r>
    </w:p>
    <w:p>
      <w:r>
        <w:t>Figure 7 renders the global network layout utilizing the NodeXL force-directed algorithm.</w:t>
      </w:r>
    </w:p>
    <w:p>
      <w:r>
        <w:t>![Figure 7: Global Network Graph Visualization with Louvain Community Grouping](results/16_nodexl_graph_visualization.png)</w:t>
      </w:r>
    </w:p>
    <w:p>
      <w:r>
        <w:t>Figure 7 provides visual proof of this atomization:</w:t>
      </w:r>
    </w:p>
    <w:p>
      <w:pPr>
        <w:pStyle w:val="ListNumber"/>
        <w:spacing w:after="60" w:line="276" w:lineRule="auto"/>
      </w:pPr>
      <w:r>
        <w:rPr>
          <w:b/>
        </w:rPr>
        <w:t>The Isolated Periphery</w:t>
      </w:r>
      <w:r>
        <w:t xml:space="preserve">: Of the 341 components, </w:t>
      </w:r>
      <w:r>
        <w:rPr>
          <w:b/>
        </w:rPr>
        <w:t>232 components (68.03%) consist of isolated dyadic pairs</w:t>
      </w:r>
      <w:r>
        <w:t xml:space="preserve"> (two nodes connected by a single edge). A further 48 components consist of isolated triads (three nodes). These micro-conversations represent localized exchanges where citizens vent or comment without connecting to broader informational cascades.</w:t>
      </w:r>
    </w:p>
    <w:p>
      <w:pPr>
        <w:pStyle w:val="ListNumber"/>
        <w:spacing w:after="60" w:line="276" w:lineRule="auto"/>
      </w:pPr>
      <w:r/>
      <w:r>
        <w:rPr>
          <w:rFonts w:ascii="Times New Roman" w:hAnsi="Times New Roman"/>
          <w:sz w:val="22"/>
        </w:rPr>
        <w:t>The Giant Component ($9.17\%$): The largest connected component encompasses only 89 nodes. Within this core, diverse ideological camps collide: pro-government accounts defending regional pilot projects in Papua, citizen activists reporting food hygiene violations, and sarcastic commenters.</w:t>
      </w:r>
    </w:p>
    <w:p>
      <w:pPr>
        <w:pStyle w:val="ListNumber"/>
        <w:spacing w:after="60" w:line="276" w:lineRule="auto"/>
      </w:pPr>
      <w:r>
        <w:rPr>
          <w:b/>
        </w:rPr>
        <w:t>Absence of Bridges</w:t>
      </w:r>
      <w:r>
        <w:t>: The boundary bridging rate across components is effectively zero. Once a sarcastic narrative ignites within an isolated component, it remains structurally confined unless elevated by an external platform algorithm.</w:t>
      </w:r>
    </w:p>
    <w:p>
      <w:pPr>
        <w:spacing w:before="240" w:after="80"/>
      </w:pPr>
      <w:r>
        <w:rPr>
          <w:rFonts w:ascii="Times New Roman" w:hAnsi="Times New Roman"/>
          <w:b/>
          <w:color w:val="1E325A"/>
          <w:sz w:val="25"/>
        </w:rPr>
        <w:t>4.3 Community Echo Chambers and Interaction Routing</w:t>
      </w:r>
    </w:p>
    <w:p>
      <w:pPr/>
      <w:r/>
      <w:r>
        <w:rPr>
          <w:rFonts w:ascii="Times New Roman" w:hAnsi="Times New Roman"/>
          <w:sz w:val="22"/>
        </w:rPr>
        <w:t>Application of the Louvain community detection algorithm to the graph projection produced 342 distinct communities, achieving a modularity score of $Q = 0.9837$. To put this score in perspective, classical literature (Newman, 2006) considers $Q &gt; 0.4$ indicative of strong community structure. A score of $0.9837 borders on the theoretical maximum of 1.0$, indicating very strong community structure in the observed graph.</w:t>
      </w:r>
    </w:p>
    <w:p>
      <w:r>
        <w:t>Figure 8 and Figure 10 illustrate the interaction dynamics, multi-community routing, and internal echo-chamber segregation.</w:t>
      </w:r>
    </w:p>
    <w:p>
      <w:r>
        <w:t>![Figure 8: Interaction Dynamics and Edge Routing Topology](results/15_material3_network_interaction.png)</w:t>
      </w:r>
    </w:p>
    <w:p>
      <w:r>
        <w:t>![Figure 10: Community Echo Chamber Polarization and Sarcasm Concentrations](results/19_community_echo_chambers.png)</w:t>
      </w:r>
    </w:p>
    <w:p>
      <w:r>
        <w:t>Quantitative calculation of intra- versus inter-community communication reveals a staggering disparity:</w:t>
      </w:r>
    </w:p>
    <w:p>
      <w:pPr>
        <w:pStyle w:val="ListBullet"/>
        <w:spacing w:after="60" w:line="276" w:lineRule="auto"/>
      </w:pPr>
      <w:r/>
      <w:r>
        <w:rPr>
          <w:rFonts w:ascii="Times New Roman" w:hAnsi="Times New Roman"/>
          <w:sz w:val="22"/>
        </w:rPr>
        <w:t>Total Internal Edges: 691 edges ($99.86\%$) connect nodes strictly within the same community.</w:t>
      </w:r>
    </w:p>
    <w:p>
      <w:pPr>
        <w:pStyle w:val="ListBullet"/>
        <w:spacing w:after="60" w:line="276" w:lineRule="auto"/>
      </w:pPr>
      <w:r/>
      <w:r>
        <w:rPr>
          <w:rFonts w:ascii="Times New Roman" w:hAnsi="Times New Roman"/>
          <w:sz w:val="22"/>
        </w:rPr>
        <w:t>Cross-Community Bridge Edges: Exactly 1 edge ($0.14\%$) spans across distinct communities.</w:t>
      </w:r>
    </w:p>
    <w:p>
      <w:r>
        <w:t xml:space="preserve">This yields an </w:t>
      </w:r>
      <w:r>
        <w:rPr>
          <w:b/>
        </w:rPr>
        <w:t>Within-Community Edge Proportion of 99.86%</w:t>
      </w:r>
      <w:r>
        <w:t>. Public discourse regarding MBG on platform X operates under a very high concentration of observed edges within detected communities. Table 2 profiles the six most prominent communities.</w:t>
      </w:r>
    </w:p>
    <w:p>
      <w:r>
        <w:rPr>
          <w:b/>
        </w:rPr>
        <w:t>Table 2: Thematic Profile and Affective Signatures of Dominant Louvain Communities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Community ID</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Active Nodes</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Proportion</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Dominant Affect</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Primary Discourse Theme</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Key Anchoring Nodes</w:t>
            </w:r>
          </w:p>
        </w:tc>
      </w:tr>
      <w:tr>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#15</w:t>
            </w:r>
          </w:p>
        </w:tc>
        <w:tc>
          <w:tcPr>
            <w:tcW w:type="dxa" w:w="1560"/>
            <w:tcMar>
              <w:top w:w="70" w:type="dxa"/>
              <w:bottom w:w="70" w:type="dxa"/>
              <w:left w:w="100" w:type="dxa"/>
              <w:right w:w="100" w:type="dxa"/>
            </w:tcMar>
          </w:tcPr>
          <w:p>
            <w:pPr>
              <w:spacing w:before="60" w:after="60" w:line="252" w:lineRule="auto"/>
            </w:pPr>
            <w:r>
              <w:rPr>
                <w:sz w:val="18"/>
              </w:rPr>
            </w:r>
            <w:r>
              <w:rPr>
                <w:sz w:val="18"/>
              </w:rPr>
              <w:t>46</w:t>
            </w:r>
          </w:p>
        </w:tc>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$4.74\%$</w:t>
            </w:r>
          </w:p>
        </w:tc>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DISGUST ($73.4\%$)</w:t>
            </w:r>
          </w:p>
        </w:tc>
        <w:tc>
          <w:tcPr>
            <w:tcW w:type="dxa" w:w="1560"/>
            <w:tcMar>
              <w:top w:w="70" w:type="dxa"/>
              <w:bottom w:w="70" w:type="dxa"/>
              <w:left w:w="100" w:type="dxa"/>
              <w:right w:w="100" w:type="dxa"/>
            </w:tcMar>
          </w:tcPr>
          <w:p>
            <w:pPr>
              <w:spacing w:before="60" w:after="60" w:line="252" w:lineRule="auto"/>
            </w:pPr>
            <w:r>
              <w:rPr>
                <w:sz w:val="18"/>
              </w:rPr>
            </w:r>
            <w:r>
              <w:rPr>
                <w:sz w:val="18"/>
              </w:rPr>
              <w:t>Elite Policy Authority Accountability &amp; Grievance</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@prabowo</w:t>
            </w:r>
            <w:r>
              <w:rPr>
                <w:sz w:val="18"/>
              </w:rPr>
              <w:t xml:space="preserve">, </w:t>
            </w:r>
            <w:r>
              <w:rPr>
                <w:rFonts w:ascii="Consolas" w:hAnsi="Consolas"/>
                <w:color w:val="1E2D6E"/>
                <w:sz w:val="18"/>
              </w:rPr>
              <w:t>@regar_op0sisi</w:t>
            </w:r>
            <w:r>
              <w:rPr>
                <w:sz w:val="18"/>
              </w:rPr>
              <w:t xml:space="preserve">, </w:t>
            </w:r>
            <w:r>
              <w:rPr>
                <w:rFonts w:ascii="Consolas" w:hAnsi="Consolas"/>
                <w:color w:val="1E2D6E"/>
                <w:sz w:val="18"/>
              </w:rPr>
              <w:t>@daffiriffi</w:t>
            </w:r>
          </w:p>
        </w:tc>
      </w:tr>
      <w:tr>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#61</w:t>
            </w:r>
          </w:p>
        </w:tc>
        <w:tc>
          <w:tcPr>
            <w:tcW w:type="dxa" w:w="1560"/>
            <w:tcMar>
              <w:top w:w="70" w:type="dxa"/>
              <w:bottom w:w="70" w:type="dxa"/>
              <w:left w:w="100" w:type="dxa"/>
              <w:right w:w="100" w:type="dxa"/>
            </w:tcMar>
          </w:tcPr>
          <w:p>
            <w:pPr>
              <w:spacing w:before="60" w:after="60" w:line="252" w:lineRule="auto"/>
            </w:pPr>
            <w:r>
              <w:rPr>
                <w:sz w:val="18"/>
              </w:rPr>
            </w:r>
            <w:r>
              <w:rPr>
                <w:sz w:val="18"/>
              </w:rPr>
              <w:t>43</w:t>
            </w:r>
          </w:p>
        </w:tc>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$4.43\%$</w:t>
            </w:r>
          </w:p>
        </w:tc>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Neutral ($62.1\%$)</w:t>
            </w:r>
          </w:p>
        </w:tc>
        <w:tc>
          <w:tcPr>
            <w:tcW w:type="dxa" w:w="1560"/>
            <w:tcMar>
              <w:top w:w="70" w:type="dxa"/>
              <w:bottom w:w="70" w:type="dxa"/>
              <w:left w:w="100" w:type="dxa"/>
              <w:right w:w="100" w:type="dxa"/>
            </w:tcMar>
          </w:tcPr>
          <w:p>
            <w:pPr>
              <w:spacing w:before="60" w:after="60" w:line="252" w:lineRule="auto"/>
            </w:pPr>
            <w:r>
              <w:rPr>
                <w:sz w:val="18"/>
              </w:rPr>
            </w:r>
            <w:r>
              <w:rPr>
                <w:sz w:val="18"/>
              </w:rPr>
              <w:t>Algorithmic Verification &amp; Fact-Checking Requests</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@grok</w:t>
            </w:r>
            <w:r>
              <w:rPr>
                <w:sz w:val="18"/>
              </w:rPr>
              <w:t xml:space="preserve">, </w:t>
            </w:r>
            <w:r>
              <w:rPr>
                <w:rFonts w:ascii="Consolas" w:hAnsi="Consolas"/>
                <w:color w:val="1E2D6E"/>
                <w:sz w:val="18"/>
              </w:rPr>
              <w:t>@unmagnetism</w:t>
            </w:r>
            <w:r>
              <w:rPr>
                <w:sz w:val="18"/>
              </w:rPr>
              <w:t xml:space="preserve">, </w:t>
            </w:r>
            <w:r>
              <w:rPr>
                <w:rFonts w:ascii="Consolas" w:hAnsi="Consolas"/>
                <w:color w:val="1E2D6E"/>
                <w:sz w:val="18"/>
              </w:rPr>
              <w:t>@JuanJulianto2</w:t>
            </w:r>
          </w:p>
        </w:tc>
      </w:tr>
      <w:tr>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#16</w:t>
            </w:r>
          </w:p>
        </w:tc>
        <w:tc>
          <w:tcPr>
            <w:tcW w:type="dxa" w:w="1560"/>
            <w:tcMar>
              <w:top w:w="70" w:type="dxa"/>
              <w:bottom w:w="70" w:type="dxa"/>
              <w:left w:w="100" w:type="dxa"/>
              <w:right w:w="100" w:type="dxa"/>
            </w:tcMar>
          </w:tcPr>
          <w:p>
            <w:pPr>
              <w:spacing w:before="60" w:after="60" w:line="252" w:lineRule="auto"/>
            </w:pPr>
            <w:r>
              <w:rPr>
                <w:sz w:val="18"/>
              </w:rPr>
            </w:r>
            <w:r>
              <w:rPr>
                <w:sz w:val="18"/>
              </w:rPr>
              <w:t>18</w:t>
            </w:r>
          </w:p>
        </w:tc>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$1.85\%$</w:t>
            </w:r>
          </w:p>
        </w:tc>
        <w:tc>
          <w:tcPr>
            <w:tcW w:type="dxa" w:w="1560"/>
            <w:tcMar>
              <w:top w:w="70" w:type="dxa"/>
              <w:bottom w:w="70" w:type="dxa"/>
              <w:left w:w="100" w:type="dxa"/>
              <w:right w:w="100" w:type="dxa"/>
            </w:tcMar>
          </w:tcPr>
          <w:p>
            <w:pPr>
              <w:spacing w:before="60" w:after="60" w:line="252" w:lineRule="auto"/>
            </w:pPr>
            <w:r>
              <w:rPr>
                <w:sz w:val="18"/>
              </w:rPr>
            </w:r>
            <w:r>
              <w:rPr>
                <w:sz w:val="18"/>
              </w:rPr>
              <w:t>Neutral / Sarcasm</w:t>
            </w:r>
          </w:p>
        </w:tc>
        <w:tc>
          <w:tcPr>
            <w:tcW w:type="dxa" w:w="1560"/>
            <w:tcMar>
              <w:top w:w="70" w:type="dxa"/>
              <w:bottom w:w="70" w:type="dxa"/>
              <w:left w:w="100" w:type="dxa"/>
              <w:right w:w="100" w:type="dxa"/>
            </w:tcMar>
          </w:tcPr>
          <w:p>
            <w:pPr>
              <w:spacing w:before="60" w:after="60" w:line="252" w:lineRule="auto"/>
            </w:pPr>
            <w:r>
              <w:rPr>
                <w:sz w:val="18"/>
              </w:rPr>
            </w:r>
            <w:r>
              <w:rPr>
                <w:sz w:val="18"/>
              </w:rPr>
              <w:t>Grassroots Sarcasm &amp; Digital Satire Diffusion</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@4Y4NKZ</w:t>
            </w:r>
            <w:r>
              <w:rPr>
                <w:sz w:val="18"/>
              </w:rPr>
              <w:t xml:space="preserve">, </w:t>
            </w:r>
            <w:r>
              <w:rPr>
                <w:rFonts w:ascii="Consolas" w:hAnsi="Consolas"/>
                <w:color w:val="1E2D6E"/>
                <w:sz w:val="18"/>
              </w:rPr>
              <w:t>@newIding30</w:t>
            </w:r>
            <w:r>
              <w:rPr>
                <w:sz w:val="18"/>
              </w:rPr>
              <w:t xml:space="preserve">, </w:t>
            </w:r>
            <w:r>
              <w:rPr>
                <w:rFonts w:ascii="Consolas" w:hAnsi="Consolas"/>
                <w:color w:val="1E2D6E"/>
                <w:sz w:val="18"/>
              </w:rPr>
              <w:t>@Capitalisborju</w:t>
            </w:r>
          </w:p>
        </w:tc>
      </w:tr>
      <w:tr>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#259</w:t>
            </w:r>
          </w:p>
        </w:tc>
        <w:tc>
          <w:tcPr>
            <w:tcW w:type="dxa" w:w="1560"/>
            <w:tcMar>
              <w:top w:w="70" w:type="dxa"/>
              <w:bottom w:w="70" w:type="dxa"/>
              <w:left w:w="100" w:type="dxa"/>
              <w:right w:w="100" w:type="dxa"/>
            </w:tcMar>
          </w:tcPr>
          <w:p>
            <w:pPr>
              <w:spacing w:before="60" w:after="60" w:line="252" w:lineRule="auto"/>
            </w:pPr>
            <w:r>
              <w:rPr>
                <w:sz w:val="18"/>
              </w:rPr>
            </w:r>
            <w:r>
              <w:rPr>
                <w:sz w:val="18"/>
              </w:rPr>
              <w:t>14</w:t>
            </w:r>
          </w:p>
        </w:tc>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$1.44\%$</w:t>
            </w:r>
          </w:p>
        </w:tc>
        <w:tc>
          <w:tcPr>
            <w:tcW w:type="dxa" w:w="1560"/>
            <w:tcMar>
              <w:top w:w="70" w:type="dxa"/>
              <w:bottom w:w="70" w:type="dxa"/>
              <w:left w:w="100" w:type="dxa"/>
              <w:right w:w="100" w:type="dxa"/>
            </w:tcMar>
          </w:tcPr>
          <w:p>
            <w:pPr>
              <w:spacing w:before="60" w:after="60" w:line="252" w:lineRule="auto"/>
            </w:pPr>
            <w:r>
              <w:rPr>
                <w:sz w:val="18"/>
              </w:rPr>
            </w:r>
            <w:r>
              <w:rPr>
                <w:sz w:val="18"/>
              </w:rPr>
              <w:t>Neutral / Sadness</w:t>
            </w:r>
          </w:p>
        </w:tc>
        <w:tc>
          <w:tcPr>
            <w:tcW w:type="dxa" w:w="1560"/>
            <w:tcMar>
              <w:top w:w="70" w:type="dxa"/>
              <w:bottom w:w="70" w:type="dxa"/>
              <w:left w:w="100" w:type="dxa"/>
              <w:right w:w="100" w:type="dxa"/>
            </w:tcMar>
          </w:tcPr>
          <w:p>
            <w:pPr>
              <w:spacing w:before="60" w:after="60" w:line="252" w:lineRule="auto"/>
            </w:pPr>
            <w:r>
              <w:rPr>
                <w:sz w:val="18"/>
              </w:rPr>
            </w:r>
            <w:r>
              <w:rPr>
                <w:sz w:val="18"/>
              </w:rPr>
              <w:t>Parent Solidarity &amp; Food Poisoning Disclosures</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@dbdbidip</w:t>
            </w:r>
            <w:r>
              <w:rPr>
                <w:sz w:val="18"/>
              </w:rPr>
              <w:t xml:space="preserve">, </w:t>
            </w:r>
            <w:r>
              <w:rPr>
                <w:rFonts w:ascii="Consolas" w:hAnsi="Consolas"/>
                <w:color w:val="1E2D6E"/>
                <w:sz w:val="18"/>
              </w:rPr>
              <w:t>@greeniefloo</w:t>
            </w:r>
            <w:r>
              <w:rPr>
                <w:sz w:val="18"/>
              </w:rPr>
              <w:t xml:space="preserve">, </w:t>
            </w:r>
            <w:r>
              <w:rPr>
                <w:rFonts w:ascii="Consolas" w:hAnsi="Consolas"/>
                <w:color w:val="1E2D6E"/>
                <w:sz w:val="18"/>
              </w:rPr>
              <w:t>@renregalia</w:t>
            </w:r>
          </w:p>
        </w:tc>
      </w:tr>
      <w:tr>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#8</w:t>
            </w:r>
          </w:p>
        </w:tc>
        <w:tc>
          <w:tcPr>
            <w:tcW w:type="dxa" w:w="1560"/>
            <w:tcMar>
              <w:top w:w="70" w:type="dxa"/>
              <w:bottom w:w="70" w:type="dxa"/>
              <w:left w:w="100" w:type="dxa"/>
              <w:right w:w="100" w:type="dxa"/>
            </w:tcMar>
          </w:tcPr>
          <w:p>
            <w:pPr>
              <w:spacing w:before="60" w:after="60" w:line="252" w:lineRule="auto"/>
            </w:pPr>
            <w:r>
              <w:rPr>
                <w:sz w:val="18"/>
              </w:rPr>
            </w:r>
            <w:r>
              <w:rPr>
                <w:sz w:val="18"/>
              </w:rPr>
              <w:t>11</w:t>
            </w:r>
          </w:p>
        </w:tc>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$1.13\%$</w:t>
            </w:r>
          </w:p>
        </w:tc>
        <w:tc>
          <w:tcPr>
            <w:tcW w:type="dxa" w:w="1560"/>
            <w:tcMar>
              <w:top w:w="70" w:type="dxa"/>
              <w:bottom w:w="70" w:type="dxa"/>
              <w:left w:w="100" w:type="dxa"/>
              <w:right w:w="100" w:type="dxa"/>
            </w:tcMar>
          </w:tcPr>
          <w:p>
            <w:pPr>
              <w:spacing w:before="60" w:after="60" w:line="252" w:lineRule="auto"/>
            </w:pPr>
            <w:r>
              <w:rPr>
                <w:sz w:val="18"/>
              </w:rPr>
            </w:r>
            <w:r>
              <w:rPr>
                <w:sz w:val="18"/>
              </w:rPr>
              <w:t>Neutral</w:t>
            </w:r>
          </w:p>
        </w:tc>
        <w:tc>
          <w:tcPr>
            <w:tcW w:type="dxa" w:w="1560"/>
            <w:tcMar>
              <w:top w:w="70" w:type="dxa"/>
              <w:bottom w:w="70" w:type="dxa"/>
              <w:left w:w="100" w:type="dxa"/>
              <w:right w:w="100" w:type="dxa"/>
            </w:tcMar>
          </w:tcPr>
          <w:p>
            <w:pPr>
              <w:spacing w:before="60" w:after="60" w:line="252" w:lineRule="auto"/>
            </w:pPr>
            <w:r>
              <w:rPr>
                <w:sz w:val="18"/>
              </w:rPr>
            </w:r>
            <w:r>
              <w:rPr>
                <w:sz w:val="18"/>
              </w:rPr>
              <w:t>International &amp; Lusophone Comparative Accounts</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@Casagrande10939</w:t>
            </w:r>
            <w:r>
              <w:rPr>
                <w:sz w:val="18"/>
              </w:rPr>
              <w:t xml:space="preserve">, </w:t>
            </w:r>
            <w:r>
              <w:rPr>
                <w:rFonts w:ascii="Consolas" w:hAnsi="Consolas"/>
                <w:color w:val="1E2D6E"/>
                <w:sz w:val="18"/>
              </w:rPr>
              <w:t>@SauloLinsFreir1</w:t>
            </w:r>
          </w:p>
        </w:tc>
      </w:tr>
      <w:tr>
        <w:tc>
          <w:tcPr>
            <w:tcW w:type="dxa" w:w="1560"/>
            <w:tcBorders>
              <w:bottom w:val="single" w:sz="10" w:space="0" w:color="000000"/>
            </w:tcBorders>
            <w:tcMar>
              <w:top w:w="70" w:type="dxa"/>
              <w:bottom w:w="70" w:type="dxa"/>
              <w:left w:w="100" w:type="dxa"/>
              <w:right w:w="100" w:type="dxa"/>
            </w:tcMar>
          </w:tcPr>
          <w:p>
            <w:pPr>
              <w:spacing w:before="60" w:after="60" w:line="252" w:lineRule="auto"/>
            </w:pPr>
            <w:r/>
            <w:r>
              <w:rPr>
                <w:rFonts w:ascii="Times New Roman" w:hAnsi="Times New Roman"/>
                <w:sz w:val="20"/>
              </w:rPr>
              <w:t>#264</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10</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
              <w:rPr>
                <w:rFonts w:ascii="Times New Roman" w:hAnsi="Times New Roman"/>
                <w:sz w:val="20"/>
              </w:rPr>
              <w:t>$1.03\%$</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Neutral / Fear</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Student &amp; Youth Peer Reaction Network</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rFonts w:ascii="Consolas" w:hAnsi="Consolas"/>
                <w:color w:val="1E2D6E"/>
                <w:sz w:val="18"/>
              </w:rPr>
              <w:t>@luvdysh_</w:t>
            </w:r>
            <w:r>
              <w:rPr>
                <w:sz w:val="18"/>
              </w:rPr>
              <w:t xml:space="preserve">, </w:t>
            </w:r>
            <w:r>
              <w:rPr>
                <w:rFonts w:ascii="Consolas" w:hAnsi="Consolas"/>
                <w:color w:val="1E2D6E"/>
                <w:sz w:val="18"/>
              </w:rPr>
              <w:t>@helloyosh_</w:t>
            </w:r>
            <w:r>
              <w:rPr>
                <w:sz w:val="18"/>
              </w:rPr>
              <w:t xml:space="preserve">, </w:t>
            </w:r>
            <w:r>
              <w:rPr>
                <w:rFonts w:ascii="Consolas" w:hAnsi="Consolas"/>
                <w:color w:val="1E2D6E"/>
                <w:sz w:val="18"/>
              </w:rPr>
              <w:t>@ayiurswoo</w:t>
            </w:r>
          </w:p>
        </w:tc>
      </w:tr>
    </w:tbl>
    <w:p>
      <w:pPr>
        <w:spacing w:after="120"/>
      </w:pPr>
    </w:p>
    <w:p>
      <w:r>
        <w:t xml:space="preserve">A vital sociological pattern emerges in Table 2: </w:t>
      </w:r>
      <w:r>
        <w:rPr>
          <w:b/>
        </w:rPr>
        <w:t>Community #15 is the only major community where DISGUST serves as the dominant modal emotion</w:t>
      </w:r>
      <w:r>
        <w:t xml:space="preserve">. This is precisely the community anchored by the presidential account </w:t>
      </w:r>
      <w:r>
        <w:rPr>
          <w:rFonts w:ascii="Consolas" w:hAnsi="Consolas"/>
          <w:color w:val="1E2D6E"/>
          <w:sz w:val="20"/>
        </w:rPr>
        <w:t>@prabowo</w:t>
      </w:r>
      <w:r>
        <w:t xml:space="preserve"> and high-profile political opposition actors (</w:t>
      </w:r>
      <w:r>
        <w:rPr>
          <w:rFonts w:ascii="Consolas" w:hAnsi="Consolas"/>
          <w:color w:val="1E2D6E"/>
          <w:sz w:val="20"/>
        </w:rPr>
        <w:t>@regar_op0sisi</w:t>
      </w:r>
      <w:r>
        <w:t xml:space="preserve">). When citizens address official power, their affective register sharpens into visceral moral condemnation. In contrast, Community #61 (the </w:t>
      </w:r>
      <w:r>
        <w:rPr>
          <w:rFonts w:ascii="Consolas" w:hAnsi="Consolas"/>
          <w:color w:val="1E2D6E"/>
          <w:sz w:val="20"/>
        </w:rPr>
        <w:t>@grok</w:t>
      </w:r>
      <w:r>
        <w:t xml:space="preserve"> cluster) remains relatively neutral in affective composition, consistent with information-seeking interactions involving the AI account.</w:t>
      </w:r>
    </w:p>
    <w:p>
      <w:pPr>
        <w:spacing w:before="240" w:after="80"/>
      </w:pPr>
      <w:r>
        <w:rPr>
          <w:rFonts w:ascii="Times New Roman" w:hAnsi="Times New Roman"/>
          <w:b/>
          <w:color w:val="1E325A"/>
          <w:sz w:val="25"/>
        </w:rPr>
        <w:t>4.4 Actor Centrality and Communicative Role Typologies</w:t>
      </w:r>
    </w:p>
    <w:p>
      <w:r>
        <w:t>Centrality analysis provides rigorous mathematical insight into the actors steering the discourse. Figure 9 depicts the multi-panel actor centrality typology, contrasting in-degree against out-degree, mapping betweenness centrality, and distributing structural roles across the network.</w:t>
      </w:r>
    </w:p>
    <w:p>
      <w:r>
        <w:t>![Figure 9: Actor Centrality Typology - Betweenness vs In-Degree Distribution](results/18_actor_centrality_typology.png)</w:t>
      </w:r>
    </w:p>
    <w:p>
      <w:r>
        <w:t>Table 3 enumerates the top fifteen central actors across the complete network.</w:t>
      </w:r>
    </w:p>
    <w:p>
      <w:r>
        <w:rPr>
          <w:b/>
        </w:rPr>
        <w:t>Table 3: Top Fifteen Actors Ranked by Network Degree and Centrality Metrics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Rank</w:t>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User Handle</w:t>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Total Degree</w:t>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Degree Centrality</w:t>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
              <w:rPr>
                <w:rFonts w:ascii="Times New Roman" w:hAnsi="Times New Roman"/>
                <w:sz w:val="20"/>
              </w:rPr>
              <w:t>In-Degree ($k^{\text{in}}$)</w:t>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
              <w:rPr>
                <w:rFonts w:ascii="Times New Roman" w:hAnsi="Times New Roman"/>
                <w:sz w:val="20"/>
              </w:rPr>
              <w:t>Out-Degree ($k^{\text{out}}$)</w:t>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
              <w:rPr>
                <w:rFonts w:ascii="Times New Roman" w:hAnsi="Times New Roman"/>
                <w:sz w:val="20"/>
              </w:rPr>
              <w:t>Betweenness (C_B)</w:t>
            </w:r>
          </w:p>
        </w:tc>
        <w:tc>
          <w:tcPr>
            <w:tcW w:type="dxa" w:w="117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Communicative Role Classification</w:t>
            </w:r>
          </w:p>
        </w:tc>
      </w:tr>
      <w:tr>
        <w:tc>
          <w:tcPr>
            <w:tcW w:type="dxa" w:w="1170"/>
            <w:tcMar>
              <w:top w:w="70" w:type="dxa"/>
              <w:bottom w:w="70" w:type="dxa"/>
              <w:left w:w="100" w:type="dxa"/>
              <w:right w:w="100" w:type="dxa"/>
            </w:tcMar>
          </w:tcPr>
          <w:p>
            <w:pPr>
              <w:spacing w:before="60" w:after="60" w:line="252" w:lineRule="auto"/>
            </w:pPr>
            <w:r>
              <w:rPr>
                <w:sz w:val="18"/>
              </w:rPr>
            </w:r>
            <w:r>
              <w:rPr>
                <w:b/>
                <w:sz w:val="18"/>
              </w:rPr>
              <w:t>1</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@grok</w:t>
            </w:r>
          </w:p>
        </w:tc>
        <w:tc>
          <w:tcPr>
            <w:tcW w:type="dxa" w:w="1170"/>
            <w:tcMar>
              <w:top w:w="70" w:type="dxa"/>
              <w:bottom w:w="70" w:type="dxa"/>
              <w:left w:w="100" w:type="dxa"/>
              <w:right w:w="100" w:type="dxa"/>
            </w:tcMar>
          </w:tcPr>
          <w:p>
            <w:pPr>
              <w:spacing w:before="60" w:after="60" w:line="252" w:lineRule="auto"/>
            </w:pPr>
            <w:r>
              <w:rPr>
                <w:sz w:val="18"/>
              </w:rPr>
            </w:r>
            <w:r>
              <w:rPr>
                <w:b/>
                <w:sz w:val="18"/>
              </w:rPr>
              <w:t>42</w:t>
            </w:r>
          </w:p>
        </w:tc>
        <w:tc>
          <w:tcPr>
            <w:tcW w:type="dxa" w:w="1170"/>
            <w:tcMar>
              <w:top w:w="70" w:type="dxa"/>
              <w:bottom w:w="70" w:type="dxa"/>
              <w:left w:w="100" w:type="dxa"/>
              <w:right w:w="100" w:type="dxa"/>
            </w:tcMar>
          </w:tcPr>
          <w:p>
            <w:pPr>
              <w:spacing w:before="60" w:after="60" w:line="252" w:lineRule="auto"/>
            </w:pPr>
            <w:r>
              <w:rPr>
                <w:sz w:val="18"/>
              </w:rPr>
            </w:r>
            <w:r>
              <w:rPr>
                <w:b/>
                <w:sz w:val="18"/>
              </w:rPr>
              <w:t>0.0432</w:t>
            </w:r>
          </w:p>
        </w:tc>
        <w:tc>
          <w:tcPr>
            <w:tcW w:type="dxa" w:w="1170"/>
            <w:tcMar>
              <w:top w:w="70" w:type="dxa"/>
              <w:bottom w:w="70" w:type="dxa"/>
              <w:left w:w="100" w:type="dxa"/>
              <w:right w:w="100" w:type="dxa"/>
            </w:tcMar>
          </w:tcPr>
          <w:p>
            <w:pPr>
              <w:spacing w:before="60" w:after="60" w:line="252" w:lineRule="auto"/>
            </w:pPr>
            <w:r>
              <w:rPr>
                <w:sz w:val="18"/>
              </w:rPr>
            </w:r>
            <w:r>
              <w:rPr>
                <w:b/>
                <w:sz w:val="18"/>
              </w:rPr>
              <w:t>42</w:t>
            </w:r>
          </w:p>
        </w:tc>
        <w:tc>
          <w:tcPr>
            <w:tcW w:type="dxa" w:w="1170"/>
            <w:tcMar>
              <w:top w:w="70" w:type="dxa"/>
              <w:bottom w:w="70" w:type="dxa"/>
              <w:left w:w="100" w:type="dxa"/>
              <w:right w:w="100" w:type="dxa"/>
            </w:tcMar>
          </w:tcPr>
          <w:p>
            <w:pPr>
              <w:spacing w:before="60" w:after="60" w:line="252" w:lineRule="auto"/>
            </w:pPr>
            <w:r>
              <w:rPr>
                <w:sz w:val="18"/>
              </w:rPr>
            </w:r>
            <w:r>
              <w:rPr>
                <w:b/>
                <w:sz w:val="18"/>
              </w:rPr>
              <w:t>0</w:t>
            </w:r>
          </w:p>
        </w:tc>
        <w:tc>
          <w:tcPr>
            <w:tcW w:type="dxa" w:w="1170"/>
            <w:tcMar>
              <w:top w:w="70" w:type="dxa"/>
              <w:bottom w:w="70" w:type="dxa"/>
              <w:left w:w="100" w:type="dxa"/>
              <w:right w:w="100" w:type="dxa"/>
            </w:tcMar>
          </w:tcPr>
          <w:p>
            <w:pPr>
              <w:spacing w:before="60" w:after="60" w:line="252" w:lineRule="auto"/>
            </w:pPr>
            <w:r>
              <w:rPr>
                <w:sz w:val="18"/>
              </w:rPr>
            </w:r>
            <w:r>
              <w:rPr>
                <w:b/>
                <w:sz w:val="18"/>
              </w:rPr>
              <w:t>0.0034</w:t>
            </w:r>
          </w:p>
        </w:tc>
        <w:tc>
          <w:tcPr>
            <w:tcW w:type="dxa" w:w="1170"/>
            <w:tcMar>
              <w:top w:w="70" w:type="dxa"/>
              <w:bottom w:w="70" w:type="dxa"/>
              <w:left w:w="100" w:type="dxa"/>
              <w:right w:w="100" w:type="dxa"/>
            </w:tcMar>
          </w:tcPr>
          <w:p>
            <w:pPr>
              <w:spacing w:before="60" w:after="60" w:line="252" w:lineRule="auto"/>
            </w:pPr>
            <w:r>
              <w:rPr>
                <w:sz w:val="18"/>
              </w:rPr>
            </w:r>
            <w:r>
              <w:rPr>
                <w:b/>
                <w:sz w:val="18"/>
              </w:rPr>
              <w:t>Algorithmic Epistemic Oracle</w:t>
            </w:r>
          </w:p>
        </w:tc>
      </w:tr>
      <w:tr>
        <w:tc>
          <w:tcPr>
            <w:tcW w:type="dxa" w:w="1170"/>
            <w:tcMar>
              <w:top w:w="70" w:type="dxa"/>
              <w:bottom w:w="70" w:type="dxa"/>
              <w:left w:w="100" w:type="dxa"/>
              <w:right w:w="100" w:type="dxa"/>
            </w:tcMar>
          </w:tcPr>
          <w:p>
            <w:pPr>
              <w:spacing w:before="60" w:after="60" w:line="252" w:lineRule="auto"/>
            </w:pPr>
            <w:r>
              <w:rPr>
                <w:sz w:val="18"/>
              </w:rPr>
            </w:r>
            <w:r>
              <w:rPr>
                <w:b/>
                <w:sz w:val="18"/>
              </w:rPr>
              <w:t>2</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@newIding30</w:t>
            </w:r>
          </w:p>
        </w:tc>
        <w:tc>
          <w:tcPr>
            <w:tcW w:type="dxa" w:w="1170"/>
            <w:tcMar>
              <w:top w:w="70" w:type="dxa"/>
              <w:bottom w:w="70" w:type="dxa"/>
              <w:left w:w="100" w:type="dxa"/>
              <w:right w:w="100" w:type="dxa"/>
            </w:tcMar>
          </w:tcPr>
          <w:p>
            <w:pPr>
              <w:spacing w:before="60" w:after="60" w:line="252" w:lineRule="auto"/>
            </w:pPr>
            <w:r>
              <w:rPr>
                <w:sz w:val="18"/>
              </w:rPr>
            </w:r>
            <w:r>
              <w:rPr>
                <w:sz w:val="18"/>
              </w:rPr>
              <w:t>15</w:t>
            </w:r>
          </w:p>
        </w:tc>
        <w:tc>
          <w:tcPr>
            <w:tcW w:type="dxa" w:w="1170"/>
            <w:tcMar>
              <w:top w:w="70" w:type="dxa"/>
              <w:bottom w:w="70" w:type="dxa"/>
              <w:left w:w="100" w:type="dxa"/>
              <w:right w:w="100" w:type="dxa"/>
            </w:tcMar>
          </w:tcPr>
          <w:p>
            <w:pPr>
              <w:spacing w:before="60" w:after="60" w:line="252" w:lineRule="auto"/>
            </w:pPr>
            <w:r>
              <w:rPr>
                <w:sz w:val="18"/>
              </w:rPr>
            </w:r>
            <w:r>
              <w:rPr>
                <w:sz w:val="18"/>
              </w:rPr>
              <w:t>0.0154</w:t>
            </w:r>
          </w:p>
        </w:tc>
        <w:tc>
          <w:tcPr>
            <w:tcW w:type="dxa" w:w="1170"/>
            <w:tcMar>
              <w:top w:w="70" w:type="dxa"/>
              <w:bottom w:w="70" w:type="dxa"/>
              <w:left w:w="100" w:type="dxa"/>
              <w:right w:w="100" w:type="dxa"/>
            </w:tcMar>
          </w:tcPr>
          <w:p>
            <w:pPr>
              <w:spacing w:before="60" w:after="60" w:line="252" w:lineRule="auto"/>
            </w:pPr>
            <w:r>
              <w:rPr>
                <w:sz w:val="18"/>
              </w:rPr>
            </w:r>
            <w:r>
              <w:rPr>
                <w:sz w:val="18"/>
              </w:rPr>
              <w:t>1</w:t>
            </w:r>
          </w:p>
        </w:tc>
        <w:tc>
          <w:tcPr>
            <w:tcW w:type="dxa" w:w="1170"/>
            <w:tcMar>
              <w:top w:w="70" w:type="dxa"/>
              <w:bottom w:w="70" w:type="dxa"/>
              <w:left w:w="100" w:type="dxa"/>
              <w:right w:w="100" w:type="dxa"/>
            </w:tcMar>
          </w:tcPr>
          <w:p>
            <w:pPr>
              <w:spacing w:before="60" w:after="60" w:line="252" w:lineRule="auto"/>
            </w:pPr>
            <w:r>
              <w:rPr>
                <w:sz w:val="18"/>
              </w:rPr>
            </w:r>
            <w:r>
              <w:rPr>
                <w:sz w:val="18"/>
              </w:rPr>
              <w:t>14</w:t>
            </w:r>
          </w:p>
        </w:tc>
        <w:tc>
          <w:tcPr>
            <w:tcW w:type="dxa" w:w="1170"/>
            <w:tcMar>
              <w:top w:w="70" w:type="dxa"/>
              <w:bottom w:w="70" w:type="dxa"/>
              <w:left w:w="100" w:type="dxa"/>
              <w:right w:w="100" w:type="dxa"/>
            </w:tcMar>
          </w:tcPr>
          <w:p>
            <w:pPr>
              <w:spacing w:before="60" w:after="60" w:line="252" w:lineRule="auto"/>
            </w:pPr>
            <w:r>
              <w:rPr>
                <w:sz w:val="18"/>
              </w:rPr>
            </w:r>
            <w:r>
              <w:rPr>
                <w:sz w:val="18"/>
              </w:rPr>
              <w:t>0.0001</w:t>
            </w:r>
          </w:p>
        </w:tc>
        <w:tc>
          <w:tcPr>
            <w:tcW w:type="dxa" w:w="1170"/>
            <w:tcMar>
              <w:top w:w="70" w:type="dxa"/>
              <w:bottom w:w="70" w:type="dxa"/>
              <w:left w:w="100" w:type="dxa"/>
              <w:right w:w="100" w:type="dxa"/>
            </w:tcMar>
          </w:tcPr>
          <w:p>
            <w:pPr>
              <w:spacing w:before="60" w:after="60" w:line="252" w:lineRule="auto"/>
            </w:pPr>
            <w:r>
              <w:rPr>
                <w:sz w:val="18"/>
              </w:rPr>
            </w:r>
            <w:r>
              <w:rPr>
                <w:sz w:val="18"/>
              </w:rPr>
              <w:t>Information Broadcaster / Amplifier</w:t>
            </w:r>
          </w:p>
        </w:tc>
      </w:tr>
      <w:tr>
        <w:tc>
          <w:tcPr>
            <w:tcW w:type="dxa" w:w="1170"/>
            <w:tcMar>
              <w:top w:w="70" w:type="dxa"/>
              <w:bottom w:w="70" w:type="dxa"/>
              <w:left w:w="100" w:type="dxa"/>
              <w:right w:w="100" w:type="dxa"/>
            </w:tcMar>
          </w:tcPr>
          <w:p>
            <w:pPr>
              <w:spacing w:before="60" w:after="60" w:line="252" w:lineRule="auto"/>
            </w:pPr>
            <w:r>
              <w:rPr>
                <w:sz w:val="18"/>
              </w:rPr>
            </w:r>
            <w:r>
              <w:rPr>
                <w:b/>
                <w:sz w:val="18"/>
              </w:rPr>
              <w:t>3</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@4Y4NKZ</w:t>
            </w:r>
          </w:p>
        </w:tc>
        <w:tc>
          <w:tcPr>
            <w:tcW w:type="dxa" w:w="1170"/>
            <w:tcMar>
              <w:top w:w="70" w:type="dxa"/>
              <w:bottom w:w="70" w:type="dxa"/>
              <w:left w:w="100" w:type="dxa"/>
              <w:right w:w="100" w:type="dxa"/>
            </w:tcMar>
          </w:tcPr>
          <w:p>
            <w:pPr>
              <w:spacing w:before="60" w:after="60" w:line="252" w:lineRule="auto"/>
            </w:pPr>
            <w:r>
              <w:rPr>
                <w:sz w:val="18"/>
              </w:rPr>
            </w:r>
            <w:r>
              <w:rPr>
                <w:sz w:val="18"/>
              </w:rPr>
              <w:t>14</w:t>
            </w:r>
          </w:p>
        </w:tc>
        <w:tc>
          <w:tcPr>
            <w:tcW w:type="dxa" w:w="1170"/>
            <w:tcMar>
              <w:top w:w="70" w:type="dxa"/>
              <w:bottom w:w="70" w:type="dxa"/>
              <w:left w:w="100" w:type="dxa"/>
              <w:right w:w="100" w:type="dxa"/>
            </w:tcMar>
          </w:tcPr>
          <w:p>
            <w:pPr>
              <w:spacing w:before="60" w:after="60" w:line="252" w:lineRule="auto"/>
            </w:pPr>
            <w:r>
              <w:rPr>
                <w:sz w:val="18"/>
              </w:rPr>
            </w:r>
            <w:r>
              <w:rPr>
                <w:sz w:val="18"/>
              </w:rPr>
              <w:t>0.0144</w:t>
            </w:r>
          </w:p>
        </w:tc>
        <w:tc>
          <w:tcPr>
            <w:tcW w:type="dxa" w:w="1170"/>
            <w:tcMar>
              <w:top w:w="70" w:type="dxa"/>
              <w:bottom w:w="70" w:type="dxa"/>
              <w:left w:w="100" w:type="dxa"/>
              <w:right w:w="100" w:type="dxa"/>
            </w:tcMar>
          </w:tcPr>
          <w:p>
            <w:pPr>
              <w:spacing w:before="60" w:after="60" w:line="252" w:lineRule="auto"/>
            </w:pPr>
            <w:r>
              <w:rPr>
                <w:sz w:val="18"/>
              </w:rPr>
            </w:r>
            <w:r>
              <w:rPr>
                <w:sz w:val="18"/>
              </w:rPr>
              <w:t>0</w:t>
            </w:r>
          </w:p>
        </w:tc>
        <w:tc>
          <w:tcPr>
            <w:tcW w:type="dxa" w:w="1170"/>
            <w:tcMar>
              <w:top w:w="70" w:type="dxa"/>
              <w:bottom w:w="70" w:type="dxa"/>
              <w:left w:w="100" w:type="dxa"/>
              <w:right w:w="100" w:type="dxa"/>
            </w:tcMar>
          </w:tcPr>
          <w:p>
            <w:pPr>
              <w:spacing w:before="60" w:after="60" w:line="252" w:lineRule="auto"/>
            </w:pPr>
            <w:r>
              <w:rPr>
                <w:sz w:val="18"/>
              </w:rPr>
            </w:r>
            <w:r>
              <w:rPr>
                <w:sz w:val="18"/>
              </w:rPr>
              <w:t>14</w:t>
            </w:r>
          </w:p>
        </w:tc>
        <w:tc>
          <w:tcPr>
            <w:tcW w:type="dxa" w:w="1170"/>
            <w:tcMar>
              <w:top w:w="70" w:type="dxa"/>
              <w:bottom w:w="70" w:type="dxa"/>
              <w:left w:w="100" w:type="dxa"/>
              <w:right w:w="100" w:type="dxa"/>
            </w:tcMar>
          </w:tcPr>
          <w:p>
            <w:pPr>
              <w:spacing w:before="60" w:after="60" w:line="252" w:lineRule="auto"/>
            </w:pPr>
            <w:r>
              <w:rPr>
                <w:sz w:val="18"/>
              </w:rPr>
            </w:r>
            <w:r>
              <w:rPr>
                <w:sz w:val="18"/>
              </w:rPr>
              <w:t>0.0000</w:t>
            </w:r>
          </w:p>
        </w:tc>
        <w:tc>
          <w:tcPr>
            <w:tcW w:type="dxa" w:w="1170"/>
            <w:tcMar>
              <w:top w:w="70" w:type="dxa"/>
              <w:bottom w:w="70" w:type="dxa"/>
              <w:left w:w="100" w:type="dxa"/>
              <w:right w:w="100" w:type="dxa"/>
            </w:tcMar>
          </w:tcPr>
          <w:p>
            <w:pPr>
              <w:spacing w:before="60" w:after="60" w:line="252" w:lineRule="auto"/>
            </w:pPr>
            <w:r>
              <w:rPr>
                <w:sz w:val="18"/>
              </w:rPr>
            </w:r>
            <w:r>
              <w:rPr>
                <w:sz w:val="18"/>
              </w:rPr>
              <w:t>Information Broadcaster / Satirist</w:t>
            </w:r>
          </w:p>
        </w:tc>
      </w:tr>
      <w:tr>
        <w:tc>
          <w:tcPr>
            <w:tcW w:type="dxa" w:w="1170"/>
            <w:tcMar>
              <w:top w:w="70" w:type="dxa"/>
              <w:bottom w:w="70" w:type="dxa"/>
              <w:left w:w="100" w:type="dxa"/>
              <w:right w:w="100" w:type="dxa"/>
            </w:tcMar>
          </w:tcPr>
          <w:p>
            <w:pPr>
              <w:spacing w:before="60" w:after="60" w:line="252" w:lineRule="auto"/>
            </w:pPr>
            <w:r>
              <w:rPr>
                <w:sz w:val="18"/>
              </w:rPr>
            </w:r>
            <w:r>
              <w:rPr>
                <w:b/>
                <w:sz w:val="18"/>
              </w:rPr>
              <w:t>4</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@prabowo</w:t>
            </w:r>
          </w:p>
        </w:tc>
        <w:tc>
          <w:tcPr>
            <w:tcW w:type="dxa" w:w="1170"/>
            <w:tcMar>
              <w:top w:w="70" w:type="dxa"/>
              <w:bottom w:w="70" w:type="dxa"/>
              <w:left w:w="100" w:type="dxa"/>
              <w:right w:w="100" w:type="dxa"/>
            </w:tcMar>
          </w:tcPr>
          <w:p>
            <w:pPr>
              <w:spacing w:before="60" w:after="60" w:line="252" w:lineRule="auto"/>
            </w:pPr>
            <w:r>
              <w:rPr>
                <w:sz w:val="18"/>
              </w:rPr>
            </w:r>
            <w:r>
              <w:rPr>
                <w:b/>
                <w:sz w:val="18"/>
              </w:rPr>
              <w:t>15</w:t>
            </w:r>
          </w:p>
        </w:tc>
        <w:tc>
          <w:tcPr>
            <w:tcW w:type="dxa" w:w="1170"/>
            <w:tcMar>
              <w:top w:w="70" w:type="dxa"/>
              <w:bottom w:w="70" w:type="dxa"/>
              <w:left w:w="100" w:type="dxa"/>
              <w:right w:w="100" w:type="dxa"/>
            </w:tcMar>
          </w:tcPr>
          <w:p>
            <w:pPr>
              <w:spacing w:before="60" w:after="60" w:line="252" w:lineRule="auto"/>
            </w:pPr>
            <w:r>
              <w:rPr>
                <w:sz w:val="18"/>
              </w:rPr>
            </w:r>
            <w:r>
              <w:rPr>
                <w:b/>
                <w:sz w:val="18"/>
              </w:rPr>
              <w:t>0.0154</w:t>
            </w:r>
          </w:p>
        </w:tc>
        <w:tc>
          <w:tcPr>
            <w:tcW w:type="dxa" w:w="1170"/>
            <w:tcMar>
              <w:top w:w="70" w:type="dxa"/>
              <w:bottom w:w="70" w:type="dxa"/>
              <w:left w:w="100" w:type="dxa"/>
              <w:right w:w="100" w:type="dxa"/>
            </w:tcMar>
          </w:tcPr>
          <w:p>
            <w:pPr>
              <w:spacing w:before="60" w:after="60" w:line="252" w:lineRule="auto"/>
            </w:pPr>
            <w:r>
              <w:rPr>
                <w:sz w:val="18"/>
              </w:rPr>
            </w:r>
            <w:r>
              <w:rPr>
                <w:b/>
                <w:sz w:val="18"/>
              </w:rPr>
              <w:t>15</w:t>
            </w:r>
          </w:p>
        </w:tc>
        <w:tc>
          <w:tcPr>
            <w:tcW w:type="dxa" w:w="1170"/>
            <w:tcMar>
              <w:top w:w="70" w:type="dxa"/>
              <w:bottom w:w="70" w:type="dxa"/>
              <w:left w:w="100" w:type="dxa"/>
              <w:right w:w="100" w:type="dxa"/>
            </w:tcMar>
          </w:tcPr>
          <w:p>
            <w:pPr>
              <w:spacing w:before="60" w:after="60" w:line="252" w:lineRule="auto"/>
            </w:pPr>
            <w:r>
              <w:rPr>
                <w:sz w:val="18"/>
              </w:rPr>
            </w:r>
            <w:r>
              <w:rPr>
                <w:b/>
                <w:sz w:val="18"/>
              </w:rPr>
              <w:t>0</w:t>
            </w:r>
          </w:p>
        </w:tc>
        <w:tc>
          <w:tcPr>
            <w:tcW w:type="dxa" w:w="1170"/>
            <w:tcMar>
              <w:top w:w="70" w:type="dxa"/>
              <w:bottom w:w="70" w:type="dxa"/>
              <w:left w:w="100" w:type="dxa"/>
              <w:right w:w="100" w:type="dxa"/>
            </w:tcMar>
          </w:tcPr>
          <w:p>
            <w:pPr>
              <w:spacing w:before="60" w:after="60" w:line="252" w:lineRule="auto"/>
            </w:pPr>
            <w:r>
              <w:rPr>
                <w:sz w:val="18"/>
              </w:rPr>
            </w:r>
            <w:r>
              <w:rPr>
                <w:b/>
                <w:sz w:val="18"/>
              </w:rPr>
              <w:t>0.0052</w:t>
            </w:r>
          </w:p>
        </w:tc>
        <w:tc>
          <w:tcPr>
            <w:tcW w:type="dxa" w:w="1170"/>
            <w:tcMar>
              <w:top w:w="70" w:type="dxa"/>
              <w:bottom w:w="70" w:type="dxa"/>
              <w:left w:w="100" w:type="dxa"/>
              <w:right w:w="100" w:type="dxa"/>
            </w:tcMar>
          </w:tcPr>
          <w:p>
            <w:pPr>
              <w:spacing w:before="60" w:after="60" w:line="252" w:lineRule="auto"/>
            </w:pPr>
            <w:r>
              <w:rPr>
                <w:sz w:val="18"/>
              </w:rPr>
            </w:r>
            <w:r>
              <w:rPr>
                <w:b/>
                <w:sz w:val="18"/>
              </w:rPr>
              <w:t>Institutional Target Sink</w:t>
            </w:r>
          </w:p>
        </w:tc>
      </w:tr>
      <w:tr>
        <w:tc>
          <w:tcPr>
            <w:tcW w:type="dxa" w:w="1170"/>
            <w:tcMar>
              <w:top w:w="70" w:type="dxa"/>
              <w:bottom w:w="70" w:type="dxa"/>
              <w:left w:w="100" w:type="dxa"/>
              <w:right w:w="100" w:type="dxa"/>
            </w:tcMar>
          </w:tcPr>
          <w:p>
            <w:pPr>
              <w:spacing w:before="60" w:after="60" w:line="252" w:lineRule="auto"/>
            </w:pPr>
            <w:r>
              <w:rPr>
                <w:sz w:val="18"/>
              </w:rPr>
            </w:r>
            <w:r>
              <w:rPr>
                <w:b/>
                <w:sz w:val="18"/>
              </w:rPr>
              <w:t>5</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@regar_op0sisi</w:t>
            </w:r>
          </w:p>
        </w:tc>
        <w:tc>
          <w:tcPr>
            <w:tcW w:type="dxa" w:w="1170"/>
            <w:tcMar>
              <w:top w:w="70" w:type="dxa"/>
              <w:bottom w:w="70" w:type="dxa"/>
              <w:left w:w="100" w:type="dxa"/>
              <w:right w:w="100" w:type="dxa"/>
            </w:tcMar>
          </w:tcPr>
          <w:p>
            <w:pPr>
              <w:spacing w:before="60" w:after="60" w:line="252" w:lineRule="auto"/>
            </w:pPr>
            <w:r>
              <w:rPr>
                <w:sz w:val="18"/>
              </w:rPr>
            </w:r>
            <w:r>
              <w:rPr>
                <w:sz w:val="18"/>
              </w:rPr>
              <w:t>7</w:t>
            </w:r>
          </w:p>
        </w:tc>
        <w:tc>
          <w:tcPr>
            <w:tcW w:type="dxa" w:w="1170"/>
            <w:tcMar>
              <w:top w:w="70" w:type="dxa"/>
              <w:bottom w:w="70" w:type="dxa"/>
              <w:left w:w="100" w:type="dxa"/>
              <w:right w:w="100" w:type="dxa"/>
            </w:tcMar>
          </w:tcPr>
          <w:p>
            <w:pPr>
              <w:spacing w:before="60" w:after="60" w:line="252" w:lineRule="auto"/>
            </w:pPr>
            <w:r>
              <w:rPr>
                <w:sz w:val="18"/>
              </w:rPr>
            </w:r>
            <w:r>
              <w:rPr>
                <w:sz w:val="18"/>
              </w:rPr>
              <w:t>0.0072</w:t>
            </w:r>
          </w:p>
        </w:tc>
        <w:tc>
          <w:tcPr>
            <w:tcW w:type="dxa" w:w="1170"/>
            <w:tcMar>
              <w:top w:w="70" w:type="dxa"/>
              <w:bottom w:w="70" w:type="dxa"/>
              <w:left w:w="100" w:type="dxa"/>
              <w:right w:w="100" w:type="dxa"/>
            </w:tcMar>
          </w:tcPr>
          <w:p>
            <w:pPr>
              <w:spacing w:before="60" w:after="60" w:line="252" w:lineRule="auto"/>
            </w:pPr>
            <w:r>
              <w:rPr>
                <w:sz w:val="18"/>
              </w:rPr>
            </w:r>
            <w:r>
              <w:rPr>
                <w:sz w:val="18"/>
              </w:rPr>
              <w:t>5</w:t>
            </w:r>
          </w:p>
        </w:tc>
        <w:tc>
          <w:tcPr>
            <w:tcW w:type="dxa" w:w="1170"/>
            <w:tcMar>
              <w:top w:w="70" w:type="dxa"/>
              <w:bottom w:w="70" w:type="dxa"/>
              <w:left w:w="100" w:type="dxa"/>
              <w:right w:w="100" w:type="dxa"/>
            </w:tcMar>
          </w:tcPr>
          <w:p>
            <w:pPr>
              <w:spacing w:before="60" w:after="60" w:line="252" w:lineRule="auto"/>
            </w:pPr>
            <w:r>
              <w:rPr>
                <w:sz w:val="18"/>
              </w:rPr>
            </w:r>
            <w:r>
              <w:rPr>
                <w:sz w:val="18"/>
              </w:rPr>
              <w:t>2</w:t>
            </w:r>
          </w:p>
        </w:tc>
        <w:tc>
          <w:tcPr>
            <w:tcW w:type="dxa" w:w="1170"/>
            <w:tcMar>
              <w:top w:w="70" w:type="dxa"/>
              <w:bottom w:w="70" w:type="dxa"/>
              <w:left w:w="100" w:type="dxa"/>
              <w:right w:w="100" w:type="dxa"/>
            </w:tcMar>
          </w:tcPr>
          <w:p>
            <w:pPr>
              <w:spacing w:before="60" w:after="60" w:line="252" w:lineRule="auto"/>
            </w:pPr>
            <w:r>
              <w:rPr>
                <w:sz w:val="18"/>
              </w:rPr>
            </w:r>
            <w:r>
              <w:rPr>
                <w:sz w:val="18"/>
              </w:rPr>
              <w:t>0.0018</w:t>
            </w:r>
          </w:p>
        </w:tc>
        <w:tc>
          <w:tcPr>
            <w:tcW w:type="dxa" w:w="1170"/>
            <w:tcMar>
              <w:top w:w="70" w:type="dxa"/>
              <w:bottom w:w="70" w:type="dxa"/>
              <w:left w:w="100" w:type="dxa"/>
              <w:right w:w="100" w:type="dxa"/>
            </w:tcMar>
          </w:tcPr>
          <w:p>
            <w:pPr>
              <w:spacing w:before="60" w:after="60" w:line="252" w:lineRule="auto"/>
            </w:pPr>
            <w:r>
              <w:rPr>
                <w:sz w:val="18"/>
              </w:rPr>
            </w:r>
            <w:r>
              <w:rPr>
                <w:sz w:val="18"/>
              </w:rPr>
              <w:t>Opinion Broker / Counter-Hub</w:t>
            </w:r>
          </w:p>
        </w:tc>
      </w:tr>
      <w:tr>
        <w:tc>
          <w:tcPr>
            <w:tcW w:type="dxa" w:w="1170"/>
            <w:tcMar>
              <w:top w:w="70" w:type="dxa"/>
              <w:bottom w:w="70" w:type="dxa"/>
              <w:left w:w="100" w:type="dxa"/>
              <w:right w:w="100" w:type="dxa"/>
            </w:tcMar>
          </w:tcPr>
          <w:p>
            <w:pPr>
              <w:spacing w:before="60" w:after="60" w:line="252" w:lineRule="auto"/>
            </w:pPr>
            <w:r>
              <w:rPr>
                <w:sz w:val="18"/>
              </w:rPr>
            </w:r>
            <w:r>
              <w:rPr>
                <w:b/>
                <w:sz w:val="18"/>
              </w:rPr>
              <w:t>6</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@dbdbidip</w:t>
            </w:r>
          </w:p>
        </w:tc>
        <w:tc>
          <w:tcPr>
            <w:tcW w:type="dxa" w:w="1170"/>
            <w:tcMar>
              <w:top w:w="70" w:type="dxa"/>
              <w:bottom w:w="70" w:type="dxa"/>
              <w:left w:w="100" w:type="dxa"/>
              <w:right w:w="100" w:type="dxa"/>
            </w:tcMar>
          </w:tcPr>
          <w:p>
            <w:pPr>
              <w:spacing w:before="60" w:after="60" w:line="252" w:lineRule="auto"/>
            </w:pPr>
            <w:r>
              <w:rPr>
                <w:sz w:val="18"/>
              </w:rPr>
            </w:r>
            <w:r>
              <w:rPr>
                <w:sz w:val="18"/>
              </w:rPr>
              <w:t>6</w:t>
            </w:r>
          </w:p>
        </w:tc>
        <w:tc>
          <w:tcPr>
            <w:tcW w:type="dxa" w:w="1170"/>
            <w:tcMar>
              <w:top w:w="70" w:type="dxa"/>
              <w:bottom w:w="70" w:type="dxa"/>
              <w:left w:w="100" w:type="dxa"/>
              <w:right w:w="100" w:type="dxa"/>
            </w:tcMar>
          </w:tcPr>
          <w:p>
            <w:pPr>
              <w:spacing w:before="60" w:after="60" w:line="252" w:lineRule="auto"/>
            </w:pPr>
            <w:r>
              <w:rPr>
                <w:sz w:val="18"/>
              </w:rPr>
            </w:r>
            <w:r>
              <w:rPr>
                <w:sz w:val="18"/>
              </w:rPr>
              <w:t>0.0062</w:t>
            </w:r>
          </w:p>
        </w:tc>
        <w:tc>
          <w:tcPr>
            <w:tcW w:type="dxa" w:w="1170"/>
            <w:tcMar>
              <w:top w:w="70" w:type="dxa"/>
              <w:bottom w:w="70" w:type="dxa"/>
              <w:left w:w="100" w:type="dxa"/>
              <w:right w:w="100" w:type="dxa"/>
            </w:tcMar>
          </w:tcPr>
          <w:p>
            <w:pPr>
              <w:spacing w:before="60" w:after="60" w:line="252" w:lineRule="auto"/>
            </w:pPr>
            <w:r>
              <w:rPr>
                <w:sz w:val="18"/>
              </w:rPr>
            </w:r>
            <w:r>
              <w:rPr>
                <w:sz w:val="18"/>
              </w:rPr>
              <w:t>0</w:t>
            </w:r>
          </w:p>
        </w:tc>
        <w:tc>
          <w:tcPr>
            <w:tcW w:type="dxa" w:w="1170"/>
            <w:tcMar>
              <w:top w:w="70" w:type="dxa"/>
              <w:bottom w:w="70" w:type="dxa"/>
              <w:left w:w="100" w:type="dxa"/>
              <w:right w:w="100" w:type="dxa"/>
            </w:tcMar>
          </w:tcPr>
          <w:p>
            <w:pPr>
              <w:spacing w:before="60" w:after="60" w:line="252" w:lineRule="auto"/>
            </w:pPr>
            <w:r>
              <w:rPr>
                <w:sz w:val="18"/>
              </w:rPr>
            </w:r>
            <w:r>
              <w:rPr>
                <w:sz w:val="18"/>
              </w:rPr>
              <w:t>6</w:t>
            </w:r>
          </w:p>
        </w:tc>
        <w:tc>
          <w:tcPr>
            <w:tcW w:type="dxa" w:w="1170"/>
            <w:tcMar>
              <w:top w:w="70" w:type="dxa"/>
              <w:bottom w:w="70" w:type="dxa"/>
              <w:left w:w="100" w:type="dxa"/>
              <w:right w:w="100" w:type="dxa"/>
            </w:tcMar>
          </w:tcPr>
          <w:p>
            <w:pPr>
              <w:spacing w:before="60" w:after="60" w:line="252" w:lineRule="auto"/>
            </w:pPr>
            <w:r>
              <w:rPr>
                <w:sz w:val="18"/>
              </w:rPr>
            </w:r>
            <w:r>
              <w:rPr>
                <w:sz w:val="18"/>
              </w:rPr>
              <w:t>0.0000</w:t>
            </w:r>
          </w:p>
        </w:tc>
        <w:tc>
          <w:tcPr>
            <w:tcW w:type="dxa" w:w="1170"/>
            <w:tcMar>
              <w:top w:w="70" w:type="dxa"/>
              <w:bottom w:w="70" w:type="dxa"/>
              <w:left w:w="100" w:type="dxa"/>
              <w:right w:w="100" w:type="dxa"/>
            </w:tcMar>
          </w:tcPr>
          <w:p>
            <w:pPr>
              <w:spacing w:before="60" w:after="60" w:line="252" w:lineRule="auto"/>
            </w:pPr>
            <w:r>
              <w:rPr>
                <w:sz w:val="18"/>
              </w:rPr>
            </w:r>
            <w:r>
              <w:rPr>
                <w:sz w:val="18"/>
              </w:rPr>
              <w:t>Secondary Outbound Commenter</w:t>
            </w:r>
          </w:p>
        </w:tc>
      </w:tr>
      <w:tr>
        <w:tc>
          <w:tcPr>
            <w:tcW w:type="dxa" w:w="1170"/>
            <w:tcMar>
              <w:top w:w="70" w:type="dxa"/>
              <w:bottom w:w="70" w:type="dxa"/>
              <w:left w:w="100" w:type="dxa"/>
              <w:right w:w="100" w:type="dxa"/>
            </w:tcMar>
          </w:tcPr>
          <w:p>
            <w:pPr>
              <w:spacing w:before="60" w:after="60" w:line="252" w:lineRule="auto"/>
            </w:pPr>
            <w:r>
              <w:rPr>
                <w:sz w:val="18"/>
              </w:rPr>
            </w:r>
            <w:r>
              <w:rPr>
                <w:b/>
                <w:sz w:val="18"/>
              </w:rPr>
              <w:t>7</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@Casagrande10939</w:t>
            </w:r>
          </w:p>
        </w:tc>
        <w:tc>
          <w:tcPr>
            <w:tcW w:type="dxa" w:w="1170"/>
            <w:tcMar>
              <w:top w:w="70" w:type="dxa"/>
              <w:bottom w:w="70" w:type="dxa"/>
              <w:left w:w="100" w:type="dxa"/>
              <w:right w:w="100" w:type="dxa"/>
            </w:tcMar>
          </w:tcPr>
          <w:p>
            <w:pPr>
              <w:spacing w:before="60" w:after="60" w:line="252" w:lineRule="auto"/>
            </w:pPr>
            <w:r>
              <w:rPr>
                <w:sz w:val="18"/>
              </w:rPr>
            </w:r>
            <w:r>
              <w:rPr>
                <w:sz w:val="18"/>
              </w:rPr>
              <w:t>6</w:t>
            </w:r>
          </w:p>
        </w:tc>
        <w:tc>
          <w:tcPr>
            <w:tcW w:type="dxa" w:w="1170"/>
            <w:tcMar>
              <w:top w:w="70" w:type="dxa"/>
              <w:bottom w:w="70" w:type="dxa"/>
              <w:left w:w="100" w:type="dxa"/>
              <w:right w:w="100" w:type="dxa"/>
            </w:tcMar>
          </w:tcPr>
          <w:p>
            <w:pPr>
              <w:spacing w:before="60" w:after="60" w:line="252" w:lineRule="auto"/>
            </w:pPr>
            <w:r>
              <w:rPr>
                <w:sz w:val="18"/>
              </w:rPr>
            </w:r>
            <w:r>
              <w:rPr>
                <w:sz w:val="18"/>
              </w:rPr>
              <w:t>0.0062</w:t>
            </w:r>
          </w:p>
        </w:tc>
        <w:tc>
          <w:tcPr>
            <w:tcW w:type="dxa" w:w="1170"/>
            <w:tcMar>
              <w:top w:w="70" w:type="dxa"/>
              <w:bottom w:w="70" w:type="dxa"/>
              <w:left w:w="100" w:type="dxa"/>
              <w:right w:w="100" w:type="dxa"/>
            </w:tcMar>
          </w:tcPr>
          <w:p>
            <w:pPr>
              <w:spacing w:before="60" w:after="60" w:line="252" w:lineRule="auto"/>
            </w:pPr>
            <w:r>
              <w:rPr>
                <w:sz w:val="18"/>
              </w:rPr>
            </w:r>
            <w:r>
              <w:rPr>
                <w:sz w:val="18"/>
              </w:rPr>
              <w:t>0</w:t>
            </w:r>
          </w:p>
        </w:tc>
        <w:tc>
          <w:tcPr>
            <w:tcW w:type="dxa" w:w="1170"/>
            <w:tcMar>
              <w:top w:w="70" w:type="dxa"/>
              <w:bottom w:w="70" w:type="dxa"/>
              <w:left w:w="100" w:type="dxa"/>
              <w:right w:w="100" w:type="dxa"/>
            </w:tcMar>
          </w:tcPr>
          <w:p>
            <w:pPr>
              <w:spacing w:before="60" w:after="60" w:line="252" w:lineRule="auto"/>
            </w:pPr>
            <w:r>
              <w:rPr>
                <w:sz w:val="18"/>
              </w:rPr>
            </w:r>
            <w:r>
              <w:rPr>
                <w:sz w:val="18"/>
              </w:rPr>
              <w:t>6</w:t>
            </w:r>
          </w:p>
        </w:tc>
        <w:tc>
          <w:tcPr>
            <w:tcW w:type="dxa" w:w="1170"/>
            <w:tcMar>
              <w:top w:w="70" w:type="dxa"/>
              <w:bottom w:w="70" w:type="dxa"/>
              <w:left w:w="100" w:type="dxa"/>
              <w:right w:w="100" w:type="dxa"/>
            </w:tcMar>
          </w:tcPr>
          <w:p>
            <w:pPr>
              <w:spacing w:before="60" w:after="60" w:line="252" w:lineRule="auto"/>
            </w:pPr>
            <w:r>
              <w:rPr>
                <w:sz w:val="18"/>
              </w:rPr>
            </w:r>
            <w:r>
              <w:rPr>
                <w:sz w:val="18"/>
              </w:rPr>
              <w:t>0.0000</w:t>
            </w:r>
          </w:p>
        </w:tc>
        <w:tc>
          <w:tcPr>
            <w:tcW w:type="dxa" w:w="1170"/>
            <w:tcMar>
              <w:top w:w="70" w:type="dxa"/>
              <w:bottom w:w="70" w:type="dxa"/>
              <w:left w:w="100" w:type="dxa"/>
              <w:right w:w="100" w:type="dxa"/>
            </w:tcMar>
          </w:tcPr>
          <w:p>
            <w:pPr>
              <w:spacing w:before="60" w:after="60" w:line="252" w:lineRule="auto"/>
            </w:pPr>
            <w:r>
              <w:rPr>
                <w:sz w:val="18"/>
              </w:rPr>
            </w:r>
            <w:r>
              <w:rPr>
                <w:sz w:val="18"/>
              </w:rPr>
              <w:t>Secondary Outbound Commenter</w:t>
            </w:r>
          </w:p>
        </w:tc>
      </w:tr>
      <w:tr>
        <w:tc>
          <w:tcPr>
            <w:tcW w:type="dxa" w:w="1170"/>
            <w:tcMar>
              <w:top w:w="70" w:type="dxa"/>
              <w:bottom w:w="70" w:type="dxa"/>
              <w:left w:w="100" w:type="dxa"/>
              <w:right w:w="100" w:type="dxa"/>
            </w:tcMar>
          </w:tcPr>
          <w:p>
            <w:pPr>
              <w:spacing w:before="60" w:after="60" w:line="252" w:lineRule="auto"/>
            </w:pPr>
            <w:r>
              <w:rPr>
                <w:sz w:val="18"/>
              </w:rPr>
            </w:r>
            <w:r>
              <w:rPr>
                <w:b/>
                <w:sz w:val="18"/>
              </w:rPr>
              <w:t>8</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@direktoridosen</w:t>
            </w:r>
          </w:p>
        </w:tc>
        <w:tc>
          <w:tcPr>
            <w:tcW w:type="dxa" w:w="1170"/>
            <w:tcMar>
              <w:top w:w="70" w:type="dxa"/>
              <w:bottom w:w="70" w:type="dxa"/>
              <w:left w:w="100" w:type="dxa"/>
              <w:right w:w="100" w:type="dxa"/>
            </w:tcMar>
          </w:tcPr>
          <w:p>
            <w:pPr>
              <w:spacing w:before="60" w:after="60" w:line="252" w:lineRule="auto"/>
            </w:pPr>
            <w:r>
              <w:rPr>
                <w:sz w:val="18"/>
              </w:rPr>
            </w:r>
            <w:r>
              <w:rPr>
                <w:sz w:val="18"/>
              </w:rPr>
              <w:t>4</w:t>
            </w:r>
          </w:p>
        </w:tc>
        <w:tc>
          <w:tcPr>
            <w:tcW w:type="dxa" w:w="1170"/>
            <w:tcMar>
              <w:top w:w="70" w:type="dxa"/>
              <w:bottom w:w="70" w:type="dxa"/>
              <w:left w:w="100" w:type="dxa"/>
              <w:right w:w="100" w:type="dxa"/>
            </w:tcMar>
          </w:tcPr>
          <w:p>
            <w:pPr>
              <w:spacing w:before="60" w:after="60" w:line="252" w:lineRule="auto"/>
            </w:pPr>
            <w:r>
              <w:rPr>
                <w:sz w:val="18"/>
              </w:rPr>
            </w:r>
            <w:r>
              <w:rPr>
                <w:sz w:val="18"/>
              </w:rPr>
              <w:t>0.0041</w:t>
            </w:r>
          </w:p>
        </w:tc>
        <w:tc>
          <w:tcPr>
            <w:tcW w:type="dxa" w:w="1170"/>
            <w:tcMar>
              <w:top w:w="70" w:type="dxa"/>
              <w:bottom w:w="70" w:type="dxa"/>
              <w:left w:w="100" w:type="dxa"/>
              <w:right w:w="100" w:type="dxa"/>
            </w:tcMar>
          </w:tcPr>
          <w:p>
            <w:pPr>
              <w:spacing w:before="60" w:after="60" w:line="252" w:lineRule="auto"/>
            </w:pPr>
            <w:r>
              <w:rPr>
                <w:sz w:val="18"/>
              </w:rPr>
            </w:r>
            <w:r>
              <w:rPr>
                <w:sz w:val="18"/>
              </w:rPr>
              <w:t>0</w:t>
            </w:r>
          </w:p>
        </w:tc>
        <w:tc>
          <w:tcPr>
            <w:tcW w:type="dxa" w:w="1170"/>
            <w:tcMar>
              <w:top w:w="70" w:type="dxa"/>
              <w:bottom w:w="70" w:type="dxa"/>
              <w:left w:w="100" w:type="dxa"/>
              <w:right w:w="100" w:type="dxa"/>
            </w:tcMar>
          </w:tcPr>
          <w:p>
            <w:pPr>
              <w:spacing w:before="60" w:after="60" w:line="252" w:lineRule="auto"/>
            </w:pPr>
            <w:r>
              <w:rPr>
                <w:sz w:val="18"/>
              </w:rPr>
            </w:r>
            <w:r>
              <w:rPr>
                <w:sz w:val="18"/>
              </w:rPr>
              <w:t>4</w:t>
            </w:r>
          </w:p>
        </w:tc>
        <w:tc>
          <w:tcPr>
            <w:tcW w:type="dxa" w:w="1170"/>
            <w:tcMar>
              <w:top w:w="70" w:type="dxa"/>
              <w:bottom w:w="70" w:type="dxa"/>
              <w:left w:w="100" w:type="dxa"/>
              <w:right w:w="100" w:type="dxa"/>
            </w:tcMar>
          </w:tcPr>
          <w:p>
            <w:pPr>
              <w:spacing w:before="60" w:after="60" w:line="252" w:lineRule="auto"/>
            </w:pPr>
            <w:r>
              <w:rPr>
                <w:sz w:val="18"/>
              </w:rPr>
            </w:r>
            <w:r>
              <w:rPr>
                <w:sz w:val="18"/>
              </w:rPr>
              <w:t>0.0000</w:t>
            </w:r>
          </w:p>
        </w:tc>
        <w:tc>
          <w:tcPr>
            <w:tcW w:type="dxa" w:w="1170"/>
            <w:tcMar>
              <w:top w:w="70" w:type="dxa"/>
              <w:bottom w:w="70" w:type="dxa"/>
              <w:left w:w="100" w:type="dxa"/>
              <w:right w:w="100" w:type="dxa"/>
            </w:tcMar>
          </w:tcPr>
          <w:p>
            <w:pPr>
              <w:spacing w:before="60" w:after="60" w:line="252" w:lineRule="auto"/>
            </w:pPr>
            <w:r>
              <w:rPr>
                <w:sz w:val="18"/>
              </w:rPr>
            </w:r>
            <w:r>
              <w:rPr>
                <w:sz w:val="18"/>
              </w:rPr>
              <w:t>Academic / Analytical Broadcaster</w:t>
            </w:r>
          </w:p>
        </w:tc>
      </w:tr>
      <w:tr>
        <w:tc>
          <w:tcPr>
            <w:tcW w:type="dxa" w:w="1170"/>
            <w:tcMar>
              <w:top w:w="70" w:type="dxa"/>
              <w:bottom w:w="70" w:type="dxa"/>
              <w:left w:w="100" w:type="dxa"/>
              <w:right w:w="100" w:type="dxa"/>
            </w:tcMar>
          </w:tcPr>
          <w:p>
            <w:pPr>
              <w:spacing w:before="60" w:after="60" w:line="252" w:lineRule="auto"/>
            </w:pPr>
            <w:r>
              <w:rPr>
                <w:sz w:val="18"/>
              </w:rPr>
            </w:r>
            <w:r>
              <w:rPr>
                <w:b/>
                <w:sz w:val="18"/>
              </w:rPr>
              <w:t>9</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@greeniefloo</w:t>
            </w:r>
          </w:p>
        </w:tc>
        <w:tc>
          <w:tcPr>
            <w:tcW w:type="dxa" w:w="1170"/>
            <w:tcMar>
              <w:top w:w="70" w:type="dxa"/>
              <w:bottom w:w="70" w:type="dxa"/>
              <w:left w:w="100" w:type="dxa"/>
              <w:right w:w="100" w:type="dxa"/>
            </w:tcMar>
          </w:tcPr>
          <w:p>
            <w:pPr>
              <w:spacing w:before="60" w:after="60" w:line="252" w:lineRule="auto"/>
            </w:pPr>
            <w:r>
              <w:rPr>
                <w:sz w:val="18"/>
              </w:rPr>
            </w:r>
            <w:r>
              <w:rPr>
                <w:sz w:val="18"/>
              </w:rPr>
              <w:t>4</w:t>
            </w:r>
          </w:p>
        </w:tc>
        <w:tc>
          <w:tcPr>
            <w:tcW w:type="dxa" w:w="1170"/>
            <w:tcMar>
              <w:top w:w="70" w:type="dxa"/>
              <w:bottom w:w="70" w:type="dxa"/>
              <w:left w:w="100" w:type="dxa"/>
              <w:right w:w="100" w:type="dxa"/>
            </w:tcMar>
          </w:tcPr>
          <w:p>
            <w:pPr>
              <w:spacing w:before="60" w:after="60" w:line="252" w:lineRule="auto"/>
            </w:pPr>
            <w:r>
              <w:rPr>
                <w:sz w:val="18"/>
              </w:rPr>
            </w:r>
            <w:r>
              <w:rPr>
                <w:sz w:val="18"/>
              </w:rPr>
              <w:t>0.0041</w:t>
            </w:r>
          </w:p>
        </w:tc>
        <w:tc>
          <w:tcPr>
            <w:tcW w:type="dxa" w:w="1170"/>
            <w:tcMar>
              <w:top w:w="70" w:type="dxa"/>
              <w:bottom w:w="70" w:type="dxa"/>
              <w:left w:w="100" w:type="dxa"/>
              <w:right w:w="100" w:type="dxa"/>
            </w:tcMar>
          </w:tcPr>
          <w:p>
            <w:pPr>
              <w:spacing w:before="60" w:after="60" w:line="252" w:lineRule="auto"/>
            </w:pPr>
            <w:r>
              <w:rPr>
                <w:sz w:val="18"/>
              </w:rPr>
            </w:r>
            <w:r>
              <w:rPr>
                <w:sz w:val="18"/>
              </w:rPr>
              <w:t>0</w:t>
            </w:r>
          </w:p>
        </w:tc>
        <w:tc>
          <w:tcPr>
            <w:tcW w:type="dxa" w:w="1170"/>
            <w:tcMar>
              <w:top w:w="70" w:type="dxa"/>
              <w:bottom w:w="70" w:type="dxa"/>
              <w:left w:w="100" w:type="dxa"/>
              <w:right w:w="100" w:type="dxa"/>
            </w:tcMar>
          </w:tcPr>
          <w:p>
            <w:pPr>
              <w:spacing w:before="60" w:after="60" w:line="252" w:lineRule="auto"/>
            </w:pPr>
            <w:r>
              <w:rPr>
                <w:sz w:val="18"/>
              </w:rPr>
            </w:r>
            <w:r>
              <w:rPr>
                <w:sz w:val="18"/>
              </w:rPr>
              <w:t>4</w:t>
            </w:r>
          </w:p>
        </w:tc>
        <w:tc>
          <w:tcPr>
            <w:tcW w:type="dxa" w:w="1170"/>
            <w:tcMar>
              <w:top w:w="70" w:type="dxa"/>
              <w:bottom w:w="70" w:type="dxa"/>
              <w:left w:w="100" w:type="dxa"/>
              <w:right w:w="100" w:type="dxa"/>
            </w:tcMar>
          </w:tcPr>
          <w:p>
            <w:pPr>
              <w:spacing w:before="60" w:after="60" w:line="252" w:lineRule="auto"/>
            </w:pPr>
            <w:r>
              <w:rPr>
                <w:sz w:val="18"/>
              </w:rPr>
            </w:r>
            <w:r>
              <w:rPr>
                <w:sz w:val="18"/>
              </w:rPr>
              <w:t>0.0000</w:t>
            </w:r>
          </w:p>
        </w:tc>
        <w:tc>
          <w:tcPr>
            <w:tcW w:type="dxa" w:w="1170"/>
            <w:tcMar>
              <w:top w:w="70" w:type="dxa"/>
              <w:bottom w:w="70" w:type="dxa"/>
              <w:left w:w="100" w:type="dxa"/>
              <w:right w:w="100" w:type="dxa"/>
            </w:tcMar>
          </w:tcPr>
          <w:p>
            <w:pPr>
              <w:spacing w:before="60" w:after="60" w:line="252" w:lineRule="auto"/>
            </w:pPr>
            <w:r>
              <w:rPr>
                <w:sz w:val="18"/>
              </w:rPr>
            </w:r>
            <w:r>
              <w:rPr>
                <w:sz w:val="18"/>
              </w:rPr>
              <w:t>Grassroots Commenter</w:t>
            </w:r>
          </w:p>
        </w:tc>
      </w:tr>
      <w:tr>
        <w:tc>
          <w:tcPr>
            <w:tcW w:type="dxa" w:w="1170"/>
            <w:tcMar>
              <w:top w:w="70" w:type="dxa"/>
              <w:bottom w:w="70" w:type="dxa"/>
              <w:left w:w="100" w:type="dxa"/>
              <w:right w:w="100" w:type="dxa"/>
            </w:tcMar>
          </w:tcPr>
          <w:p>
            <w:pPr>
              <w:spacing w:before="60" w:after="60" w:line="252" w:lineRule="auto"/>
            </w:pPr>
            <w:r>
              <w:rPr>
                <w:sz w:val="18"/>
              </w:rPr>
            </w:r>
            <w:r>
              <w:rPr>
                <w:b/>
                <w:sz w:val="18"/>
              </w:rPr>
              <w:t>10</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@luvdysh_</w:t>
            </w:r>
          </w:p>
        </w:tc>
        <w:tc>
          <w:tcPr>
            <w:tcW w:type="dxa" w:w="1170"/>
            <w:tcMar>
              <w:top w:w="70" w:type="dxa"/>
              <w:bottom w:w="70" w:type="dxa"/>
              <w:left w:w="100" w:type="dxa"/>
              <w:right w:w="100" w:type="dxa"/>
            </w:tcMar>
          </w:tcPr>
          <w:p>
            <w:pPr>
              <w:spacing w:before="60" w:after="60" w:line="252" w:lineRule="auto"/>
            </w:pPr>
            <w:r>
              <w:rPr>
                <w:sz w:val="18"/>
              </w:rPr>
            </w:r>
            <w:r>
              <w:rPr>
                <w:sz w:val="18"/>
              </w:rPr>
              <w:t>4</w:t>
            </w:r>
          </w:p>
        </w:tc>
        <w:tc>
          <w:tcPr>
            <w:tcW w:type="dxa" w:w="1170"/>
            <w:tcMar>
              <w:top w:w="70" w:type="dxa"/>
              <w:bottom w:w="70" w:type="dxa"/>
              <w:left w:w="100" w:type="dxa"/>
              <w:right w:w="100" w:type="dxa"/>
            </w:tcMar>
          </w:tcPr>
          <w:p>
            <w:pPr>
              <w:spacing w:before="60" w:after="60" w:line="252" w:lineRule="auto"/>
            </w:pPr>
            <w:r>
              <w:rPr>
                <w:sz w:val="18"/>
              </w:rPr>
            </w:r>
            <w:r>
              <w:rPr>
                <w:sz w:val="18"/>
              </w:rPr>
              <w:t>0.0041</w:t>
            </w:r>
          </w:p>
        </w:tc>
        <w:tc>
          <w:tcPr>
            <w:tcW w:type="dxa" w:w="1170"/>
            <w:tcMar>
              <w:top w:w="70" w:type="dxa"/>
              <w:bottom w:w="70" w:type="dxa"/>
              <w:left w:w="100" w:type="dxa"/>
              <w:right w:w="100" w:type="dxa"/>
            </w:tcMar>
          </w:tcPr>
          <w:p>
            <w:pPr>
              <w:spacing w:before="60" w:after="60" w:line="252" w:lineRule="auto"/>
            </w:pPr>
            <w:r>
              <w:rPr>
                <w:sz w:val="18"/>
              </w:rPr>
            </w:r>
            <w:r>
              <w:rPr>
                <w:sz w:val="18"/>
              </w:rPr>
              <w:t>0</w:t>
            </w:r>
          </w:p>
        </w:tc>
        <w:tc>
          <w:tcPr>
            <w:tcW w:type="dxa" w:w="1170"/>
            <w:tcMar>
              <w:top w:w="70" w:type="dxa"/>
              <w:bottom w:w="70" w:type="dxa"/>
              <w:left w:w="100" w:type="dxa"/>
              <w:right w:w="100" w:type="dxa"/>
            </w:tcMar>
          </w:tcPr>
          <w:p>
            <w:pPr>
              <w:spacing w:before="60" w:after="60" w:line="252" w:lineRule="auto"/>
            </w:pPr>
            <w:r>
              <w:rPr>
                <w:sz w:val="18"/>
              </w:rPr>
            </w:r>
            <w:r>
              <w:rPr>
                <w:sz w:val="18"/>
              </w:rPr>
              <w:t>4</w:t>
            </w:r>
          </w:p>
        </w:tc>
        <w:tc>
          <w:tcPr>
            <w:tcW w:type="dxa" w:w="1170"/>
            <w:tcMar>
              <w:top w:w="70" w:type="dxa"/>
              <w:bottom w:w="70" w:type="dxa"/>
              <w:left w:w="100" w:type="dxa"/>
              <w:right w:w="100" w:type="dxa"/>
            </w:tcMar>
          </w:tcPr>
          <w:p>
            <w:pPr>
              <w:spacing w:before="60" w:after="60" w:line="252" w:lineRule="auto"/>
            </w:pPr>
            <w:r>
              <w:rPr>
                <w:sz w:val="18"/>
              </w:rPr>
            </w:r>
            <w:r>
              <w:rPr>
                <w:sz w:val="18"/>
              </w:rPr>
              <w:t>0.0000</w:t>
            </w:r>
          </w:p>
        </w:tc>
        <w:tc>
          <w:tcPr>
            <w:tcW w:type="dxa" w:w="1170"/>
            <w:tcMar>
              <w:top w:w="70" w:type="dxa"/>
              <w:bottom w:w="70" w:type="dxa"/>
              <w:left w:w="100" w:type="dxa"/>
              <w:right w:w="100" w:type="dxa"/>
            </w:tcMar>
          </w:tcPr>
          <w:p>
            <w:pPr>
              <w:spacing w:before="60" w:after="60" w:line="252" w:lineRule="auto"/>
            </w:pPr>
            <w:r>
              <w:rPr>
                <w:sz w:val="18"/>
              </w:rPr>
            </w:r>
            <w:r>
              <w:rPr>
                <w:sz w:val="18"/>
              </w:rPr>
              <w:t>Student Commenter</w:t>
            </w:r>
          </w:p>
        </w:tc>
      </w:tr>
      <w:tr>
        <w:tc>
          <w:tcPr>
            <w:tcW w:type="dxa" w:w="1170"/>
            <w:tcMar>
              <w:top w:w="70" w:type="dxa"/>
              <w:bottom w:w="70" w:type="dxa"/>
              <w:left w:w="100" w:type="dxa"/>
              <w:right w:w="100" w:type="dxa"/>
            </w:tcMar>
          </w:tcPr>
          <w:p>
            <w:pPr>
              <w:spacing w:before="60" w:after="60" w:line="252" w:lineRule="auto"/>
            </w:pPr>
            <w:r>
              <w:rPr>
                <w:sz w:val="18"/>
              </w:rPr>
            </w:r>
            <w:r>
              <w:rPr>
                <w:b/>
                <w:sz w:val="18"/>
              </w:rPr>
              <w:t>11</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@helloyosh_</w:t>
            </w:r>
          </w:p>
        </w:tc>
        <w:tc>
          <w:tcPr>
            <w:tcW w:type="dxa" w:w="1170"/>
            <w:tcMar>
              <w:top w:w="70" w:type="dxa"/>
              <w:bottom w:w="70" w:type="dxa"/>
              <w:left w:w="100" w:type="dxa"/>
              <w:right w:w="100" w:type="dxa"/>
            </w:tcMar>
          </w:tcPr>
          <w:p>
            <w:pPr>
              <w:spacing w:before="60" w:after="60" w:line="252" w:lineRule="auto"/>
            </w:pPr>
            <w:r>
              <w:rPr>
                <w:sz w:val="18"/>
              </w:rPr>
            </w:r>
            <w:r>
              <w:rPr>
                <w:sz w:val="18"/>
              </w:rPr>
              <w:t>4</w:t>
            </w:r>
          </w:p>
        </w:tc>
        <w:tc>
          <w:tcPr>
            <w:tcW w:type="dxa" w:w="1170"/>
            <w:tcMar>
              <w:top w:w="70" w:type="dxa"/>
              <w:bottom w:w="70" w:type="dxa"/>
              <w:left w:w="100" w:type="dxa"/>
              <w:right w:w="100" w:type="dxa"/>
            </w:tcMar>
          </w:tcPr>
          <w:p>
            <w:pPr>
              <w:spacing w:before="60" w:after="60" w:line="252" w:lineRule="auto"/>
            </w:pPr>
            <w:r>
              <w:rPr>
                <w:sz w:val="18"/>
              </w:rPr>
            </w:r>
            <w:r>
              <w:rPr>
                <w:sz w:val="18"/>
              </w:rPr>
              <w:t>0.0041</w:t>
            </w:r>
          </w:p>
        </w:tc>
        <w:tc>
          <w:tcPr>
            <w:tcW w:type="dxa" w:w="1170"/>
            <w:tcMar>
              <w:top w:w="70" w:type="dxa"/>
              <w:bottom w:w="70" w:type="dxa"/>
              <w:left w:w="100" w:type="dxa"/>
              <w:right w:w="100" w:type="dxa"/>
            </w:tcMar>
          </w:tcPr>
          <w:p>
            <w:pPr>
              <w:spacing w:before="60" w:after="60" w:line="252" w:lineRule="auto"/>
            </w:pPr>
            <w:r>
              <w:rPr>
                <w:sz w:val="18"/>
              </w:rPr>
            </w:r>
            <w:r>
              <w:rPr>
                <w:sz w:val="18"/>
              </w:rPr>
              <w:t>0</w:t>
            </w:r>
          </w:p>
        </w:tc>
        <w:tc>
          <w:tcPr>
            <w:tcW w:type="dxa" w:w="1170"/>
            <w:tcMar>
              <w:top w:w="70" w:type="dxa"/>
              <w:bottom w:w="70" w:type="dxa"/>
              <w:left w:w="100" w:type="dxa"/>
              <w:right w:w="100" w:type="dxa"/>
            </w:tcMar>
          </w:tcPr>
          <w:p>
            <w:pPr>
              <w:spacing w:before="60" w:after="60" w:line="252" w:lineRule="auto"/>
            </w:pPr>
            <w:r>
              <w:rPr>
                <w:sz w:val="18"/>
              </w:rPr>
            </w:r>
            <w:r>
              <w:rPr>
                <w:sz w:val="18"/>
              </w:rPr>
              <w:t>4</w:t>
            </w:r>
          </w:p>
        </w:tc>
        <w:tc>
          <w:tcPr>
            <w:tcW w:type="dxa" w:w="1170"/>
            <w:tcMar>
              <w:top w:w="70" w:type="dxa"/>
              <w:bottom w:w="70" w:type="dxa"/>
              <w:left w:w="100" w:type="dxa"/>
              <w:right w:w="100" w:type="dxa"/>
            </w:tcMar>
          </w:tcPr>
          <w:p>
            <w:pPr>
              <w:spacing w:before="60" w:after="60" w:line="252" w:lineRule="auto"/>
            </w:pPr>
            <w:r>
              <w:rPr>
                <w:sz w:val="18"/>
              </w:rPr>
            </w:r>
            <w:r>
              <w:rPr>
                <w:sz w:val="18"/>
              </w:rPr>
              <w:t>0.0000</w:t>
            </w:r>
          </w:p>
        </w:tc>
        <w:tc>
          <w:tcPr>
            <w:tcW w:type="dxa" w:w="1170"/>
            <w:tcMar>
              <w:top w:w="70" w:type="dxa"/>
              <w:bottom w:w="70" w:type="dxa"/>
              <w:left w:w="100" w:type="dxa"/>
              <w:right w:w="100" w:type="dxa"/>
            </w:tcMar>
          </w:tcPr>
          <w:p>
            <w:pPr>
              <w:spacing w:before="60" w:after="60" w:line="252" w:lineRule="auto"/>
            </w:pPr>
            <w:r>
              <w:rPr>
                <w:sz w:val="18"/>
              </w:rPr>
            </w:r>
            <w:r>
              <w:rPr>
                <w:sz w:val="18"/>
              </w:rPr>
              <w:t>Student Commenter</w:t>
            </w:r>
          </w:p>
        </w:tc>
      </w:tr>
      <w:tr>
        <w:tc>
          <w:tcPr>
            <w:tcW w:type="dxa" w:w="1170"/>
            <w:tcMar>
              <w:top w:w="70" w:type="dxa"/>
              <w:bottom w:w="70" w:type="dxa"/>
              <w:left w:w="100" w:type="dxa"/>
              <w:right w:w="100" w:type="dxa"/>
            </w:tcMar>
          </w:tcPr>
          <w:p>
            <w:pPr>
              <w:spacing w:before="60" w:after="60" w:line="252" w:lineRule="auto"/>
            </w:pPr>
            <w:r>
              <w:rPr>
                <w:sz w:val="18"/>
              </w:rPr>
            </w:r>
            <w:r>
              <w:rPr>
                <w:b/>
                <w:sz w:val="18"/>
              </w:rPr>
              <w:t>12</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@renregalia</w:t>
            </w:r>
          </w:p>
        </w:tc>
        <w:tc>
          <w:tcPr>
            <w:tcW w:type="dxa" w:w="1170"/>
            <w:tcMar>
              <w:top w:w="70" w:type="dxa"/>
              <w:bottom w:w="70" w:type="dxa"/>
              <w:left w:w="100" w:type="dxa"/>
              <w:right w:w="100" w:type="dxa"/>
            </w:tcMar>
          </w:tcPr>
          <w:p>
            <w:pPr>
              <w:spacing w:before="60" w:after="60" w:line="252" w:lineRule="auto"/>
            </w:pPr>
            <w:r>
              <w:rPr>
                <w:sz w:val="18"/>
              </w:rPr>
            </w:r>
            <w:r>
              <w:rPr>
                <w:sz w:val="18"/>
              </w:rPr>
              <w:t>4</w:t>
            </w:r>
          </w:p>
        </w:tc>
        <w:tc>
          <w:tcPr>
            <w:tcW w:type="dxa" w:w="1170"/>
            <w:tcMar>
              <w:top w:w="70" w:type="dxa"/>
              <w:bottom w:w="70" w:type="dxa"/>
              <w:left w:w="100" w:type="dxa"/>
              <w:right w:w="100" w:type="dxa"/>
            </w:tcMar>
          </w:tcPr>
          <w:p>
            <w:pPr>
              <w:spacing w:before="60" w:after="60" w:line="252" w:lineRule="auto"/>
            </w:pPr>
            <w:r>
              <w:rPr>
                <w:sz w:val="18"/>
              </w:rPr>
            </w:r>
            <w:r>
              <w:rPr>
                <w:sz w:val="18"/>
              </w:rPr>
              <w:t>0.0041</w:t>
            </w:r>
          </w:p>
        </w:tc>
        <w:tc>
          <w:tcPr>
            <w:tcW w:type="dxa" w:w="1170"/>
            <w:tcMar>
              <w:top w:w="70" w:type="dxa"/>
              <w:bottom w:w="70" w:type="dxa"/>
              <w:left w:w="100" w:type="dxa"/>
              <w:right w:w="100" w:type="dxa"/>
            </w:tcMar>
          </w:tcPr>
          <w:p>
            <w:pPr>
              <w:spacing w:before="60" w:after="60" w:line="252" w:lineRule="auto"/>
            </w:pPr>
            <w:r>
              <w:rPr>
                <w:sz w:val="18"/>
              </w:rPr>
            </w:r>
            <w:r>
              <w:rPr>
                <w:sz w:val="18"/>
              </w:rPr>
              <w:t>4</w:t>
            </w:r>
          </w:p>
        </w:tc>
        <w:tc>
          <w:tcPr>
            <w:tcW w:type="dxa" w:w="1170"/>
            <w:tcMar>
              <w:top w:w="70" w:type="dxa"/>
              <w:bottom w:w="70" w:type="dxa"/>
              <w:left w:w="100" w:type="dxa"/>
              <w:right w:w="100" w:type="dxa"/>
            </w:tcMar>
          </w:tcPr>
          <w:p>
            <w:pPr>
              <w:spacing w:before="60" w:after="60" w:line="252" w:lineRule="auto"/>
            </w:pPr>
            <w:r>
              <w:rPr>
                <w:sz w:val="18"/>
              </w:rPr>
            </w:r>
            <w:r>
              <w:rPr>
                <w:sz w:val="18"/>
              </w:rPr>
              <w:t>0</w:t>
            </w:r>
          </w:p>
        </w:tc>
        <w:tc>
          <w:tcPr>
            <w:tcW w:type="dxa" w:w="1170"/>
            <w:tcMar>
              <w:top w:w="70" w:type="dxa"/>
              <w:bottom w:w="70" w:type="dxa"/>
              <w:left w:w="100" w:type="dxa"/>
              <w:right w:w="100" w:type="dxa"/>
            </w:tcMar>
          </w:tcPr>
          <w:p>
            <w:pPr>
              <w:spacing w:before="60" w:after="60" w:line="252" w:lineRule="auto"/>
            </w:pPr>
            <w:r>
              <w:rPr>
                <w:sz w:val="18"/>
              </w:rPr>
            </w:r>
            <w:r>
              <w:rPr>
                <w:sz w:val="18"/>
              </w:rPr>
              <w:t>0.0004</w:t>
            </w:r>
          </w:p>
        </w:tc>
        <w:tc>
          <w:tcPr>
            <w:tcW w:type="dxa" w:w="1170"/>
            <w:tcMar>
              <w:top w:w="70" w:type="dxa"/>
              <w:bottom w:w="70" w:type="dxa"/>
              <w:left w:w="100" w:type="dxa"/>
              <w:right w:w="100" w:type="dxa"/>
            </w:tcMar>
          </w:tcPr>
          <w:p>
            <w:pPr>
              <w:spacing w:before="60" w:after="60" w:line="252" w:lineRule="auto"/>
            </w:pPr>
            <w:r>
              <w:rPr>
                <w:sz w:val="18"/>
              </w:rPr>
            </w:r>
            <w:r>
              <w:rPr>
                <w:sz w:val="18"/>
              </w:rPr>
              <w:t>Target Sink (Complaint Recipient)</w:t>
            </w:r>
          </w:p>
        </w:tc>
      </w:tr>
      <w:tr>
        <w:tc>
          <w:tcPr>
            <w:tcW w:type="dxa" w:w="1170"/>
            <w:tcMar>
              <w:top w:w="70" w:type="dxa"/>
              <w:bottom w:w="70" w:type="dxa"/>
              <w:left w:w="100" w:type="dxa"/>
              <w:right w:w="100" w:type="dxa"/>
            </w:tcMar>
          </w:tcPr>
          <w:p>
            <w:pPr>
              <w:spacing w:before="60" w:after="60" w:line="252" w:lineRule="auto"/>
            </w:pPr>
            <w:r>
              <w:rPr>
                <w:sz w:val="18"/>
              </w:rPr>
            </w:r>
            <w:r>
              <w:rPr>
                <w:b/>
                <w:sz w:val="18"/>
              </w:rPr>
              <w:t>13</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@Capitalisborju</w:t>
            </w:r>
          </w:p>
        </w:tc>
        <w:tc>
          <w:tcPr>
            <w:tcW w:type="dxa" w:w="1170"/>
            <w:tcMar>
              <w:top w:w="70" w:type="dxa"/>
              <w:bottom w:w="70" w:type="dxa"/>
              <w:left w:w="100" w:type="dxa"/>
              <w:right w:w="100" w:type="dxa"/>
            </w:tcMar>
          </w:tcPr>
          <w:p>
            <w:pPr>
              <w:spacing w:before="60" w:after="60" w:line="252" w:lineRule="auto"/>
            </w:pPr>
            <w:r>
              <w:rPr>
                <w:sz w:val="18"/>
              </w:rPr>
            </w:r>
            <w:r>
              <w:rPr>
                <w:sz w:val="18"/>
              </w:rPr>
              <w:t>3</w:t>
            </w:r>
          </w:p>
        </w:tc>
        <w:tc>
          <w:tcPr>
            <w:tcW w:type="dxa" w:w="1170"/>
            <w:tcMar>
              <w:top w:w="70" w:type="dxa"/>
              <w:bottom w:w="70" w:type="dxa"/>
              <w:left w:w="100" w:type="dxa"/>
              <w:right w:w="100" w:type="dxa"/>
            </w:tcMar>
          </w:tcPr>
          <w:p>
            <w:pPr>
              <w:spacing w:before="60" w:after="60" w:line="252" w:lineRule="auto"/>
            </w:pPr>
            <w:r>
              <w:rPr>
                <w:sz w:val="18"/>
              </w:rPr>
            </w:r>
            <w:r>
              <w:rPr>
                <w:sz w:val="18"/>
              </w:rPr>
              <w:t>0.0031</w:t>
            </w:r>
          </w:p>
        </w:tc>
        <w:tc>
          <w:tcPr>
            <w:tcW w:type="dxa" w:w="1170"/>
            <w:tcMar>
              <w:top w:w="70" w:type="dxa"/>
              <w:bottom w:w="70" w:type="dxa"/>
              <w:left w:w="100" w:type="dxa"/>
              <w:right w:w="100" w:type="dxa"/>
            </w:tcMar>
          </w:tcPr>
          <w:p>
            <w:pPr>
              <w:spacing w:before="60" w:after="60" w:line="252" w:lineRule="auto"/>
            </w:pPr>
            <w:r>
              <w:rPr>
                <w:sz w:val="18"/>
              </w:rPr>
            </w:r>
            <w:r>
              <w:rPr>
                <w:sz w:val="18"/>
              </w:rPr>
              <w:t>0</w:t>
            </w:r>
          </w:p>
        </w:tc>
        <w:tc>
          <w:tcPr>
            <w:tcW w:type="dxa" w:w="1170"/>
            <w:tcMar>
              <w:top w:w="70" w:type="dxa"/>
              <w:bottom w:w="70" w:type="dxa"/>
              <w:left w:w="100" w:type="dxa"/>
              <w:right w:w="100" w:type="dxa"/>
            </w:tcMar>
          </w:tcPr>
          <w:p>
            <w:pPr>
              <w:spacing w:before="60" w:after="60" w:line="252" w:lineRule="auto"/>
            </w:pPr>
            <w:r>
              <w:rPr>
                <w:sz w:val="18"/>
              </w:rPr>
            </w:r>
            <w:r>
              <w:rPr>
                <w:sz w:val="18"/>
              </w:rPr>
              <w:t>3</w:t>
            </w:r>
          </w:p>
        </w:tc>
        <w:tc>
          <w:tcPr>
            <w:tcW w:type="dxa" w:w="1170"/>
            <w:tcMar>
              <w:top w:w="70" w:type="dxa"/>
              <w:bottom w:w="70" w:type="dxa"/>
              <w:left w:w="100" w:type="dxa"/>
              <w:right w:w="100" w:type="dxa"/>
            </w:tcMar>
          </w:tcPr>
          <w:p>
            <w:pPr>
              <w:spacing w:before="60" w:after="60" w:line="252" w:lineRule="auto"/>
            </w:pPr>
            <w:r>
              <w:rPr>
                <w:sz w:val="18"/>
              </w:rPr>
            </w:r>
            <w:r>
              <w:rPr>
                <w:sz w:val="18"/>
              </w:rPr>
              <w:t>0.0000</w:t>
            </w:r>
          </w:p>
        </w:tc>
        <w:tc>
          <w:tcPr>
            <w:tcW w:type="dxa" w:w="1170"/>
            <w:tcMar>
              <w:top w:w="70" w:type="dxa"/>
              <w:bottom w:w="70" w:type="dxa"/>
              <w:left w:w="100" w:type="dxa"/>
              <w:right w:w="100" w:type="dxa"/>
            </w:tcMar>
          </w:tcPr>
          <w:p>
            <w:pPr>
              <w:spacing w:before="60" w:after="60" w:line="252" w:lineRule="auto"/>
            </w:pPr>
            <w:r>
              <w:rPr>
                <w:sz w:val="18"/>
              </w:rPr>
            </w:r>
            <w:r>
              <w:rPr>
                <w:sz w:val="18"/>
              </w:rPr>
              <w:t>Peripheral Satirical Commenter</w:t>
            </w:r>
          </w:p>
        </w:tc>
      </w:tr>
      <w:tr>
        <w:tc>
          <w:tcPr>
            <w:tcW w:type="dxa" w:w="1170"/>
            <w:tcMar>
              <w:top w:w="70" w:type="dxa"/>
              <w:bottom w:w="70" w:type="dxa"/>
              <w:left w:w="100" w:type="dxa"/>
              <w:right w:w="100" w:type="dxa"/>
            </w:tcMar>
          </w:tcPr>
          <w:p>
            <w:pPr>
              <w:spacing w:before="60" w:after="60" w:line="252" w:lineRule="auto"/>
            </w:pPr>
            <w:r>
              <w:rPr>
                <w:sz w:val="18"/>
              </w:rPr>
            </w:r>
            <w:r>
              <w:rPr>
                <w:b/>
                <w:sz w:val="18"/>
              </w:rPr>
              <w:t>14</w:t>
            </w:r>
          </w:p>
        </w:tc>
        <w:tc>
          <w:tcPr>
            <w:tcW w:type="dxa" w:w="1170"/>
            <w:tcMar>
              <w:top w:w="70" w:type="dxa"/>
              <w:bottom w:w="70" w:type="dxa"/>
              <w:left w:w="100" w:type="dxa"/>
              <w:right w:w="100" w:type="dxa"/>
            </w:tcMar>
          </w:tcPr>
          <w:p>
            <w:pPr>
              <w:spacing w:before="60" w:after="60" w:line="252" w:lineRule="auto"/>
            </w:pPr>
            <w:r>
              <w:rPr>
                <w:sz w:val="18"/>
              </w:rPr>
            </w:r>
            <w:r>
              <w:rPr>
                <w:rFonts w:ascii="Consolas" w:hAnsi="Consolas"/>
                <w:color w:val="1E2D6E"/>
                <w:sz w:val="18"/>
              </w:rPr>
              <w:t>@unmagnetism</w:t>
            </w:r>
          </w:p>
        </w:tc>
        <w:tc>
          <w:tcPr>
            <w:tcW w:type="dxa" w:w="1170"/>
            <w:tcMar>
              <w:top w:w="70" w:type="dxa"/>
              <w:bottom w:w="70" w:type="dxa"/>
              <w:left w:w="100" w:type="dxa"/>
              <w:right w:w="100" w:type="dxa"/>
            </w:tcMar>
          </w:tcPr>
          <w:p>
            <w:pPr>
              <w:spacing w:before="60" w:after="60" w:line="252" w:lineRule="auto"/>
            </w:pPr>
            <w:r>
              <w:rPr>
                <w:sz w:val="18"/>
              </w:rPr>
            </w:r>
            <w:r>
              <w:rPr>
                <w:sz w:val="18"/>
              </w:rPr>
              <w:t>3</w:t>
            </w:r>
          </w:p>
        </w:tc>
        <w:tc>
          <w:tcPr>
            <w:tcW w:type="dxa" w:w="1170"/>
            <w:tcMar>
              <w:top w:w="70" w:type="dxa"/>
              <w:bottom w:w="70" w:type="dxa"/>
              <w:left w:w="100" w:type="dxa"/>
              <w:right w:w="100" w:type="dxa"/>
            </w:tcMar>
          </w:tcPr>
          <w:p>
            <w:pPr>
              <w:spacing w:before="60" w:after="60" w:line="252" w:lineRule="auto"/>
            </w:pPr>
            <w:r>
              <w:rPr>
                <w:sz w:val="18"/>
              </w:rPr>
            </w:r>
            <w:r>
              <w:rPr>
                <w:sz w:val="18"/>
              </w:rPr>
              <w:t>0.0031</w:t>
            </w:r>
          </w:p>
        </w:tc>
        <w:tc>
          <w:tcPr>
            <w:tcW w:type="dxa" w:w="1170"/>
            <w:tcMar>
              <w:top w:w="70" w:type="dxa"/>
              <w:bottom w:w="70" w:type="dxa"/>
              <w:left w:w="100" w:type="dxa"/>
              <w:right w:w="100" w:type="dxa"/>
            </w:tcMar>
          </w:tcPr>
          <w:p>
            <w:pPr>
              <w:spacing w:before="60" w:after="60" w:line="252" w:lineRule="auto"/>
            </w:pPr>
            <w:r>
              <w:rPr>
                <w:sz w:val="18"/>
              </w:rPr>
            </w:r>
            <w:r>
              <w:rPr>
                <w:sz w:val="18"/>
              </w:rPr>
              <w:t>3</w:t>
            </w:r>
          </w:p>
        </w:tc>
        <w:tc>
          <w:tcPr>
            <w:tcW w:type="dxa" w:w="1170"/>
            <w:tcMar>
              <w:top w:w="70" w:type="dxa"/>
              <w:bottom w:w="70" w:type="dxa"/>
              <w:left w:w="100" w:type="dxa"/>
              <w:right w:w="100" w:type="dxa"/>
            </w:tcMar>
          </w:tcPr>
          <w:p>
            <w:pPr>
              <w:spacing w:before="60" w:after="60" w:line="252" w:lineRule="auto"/>
            </w:pPr>
            <w:r>
              <w:rPr>
                <w:sz w:val="18"/>
              </w:rPr>
            </w:r>
            <w:r>
              <w:rPr>
                <w:sz w:val="18"/>
              </w:rPr>
              <w:t>0</w:t>
            </w:r>
          </w:p>
        </w:tc>
        <w:tc>
          <w:tcPr>
            <w:tcW w:type="dxa" w:w="1170"/>
            <w:tcMar>
              <w:top w:w="70" w:type="dxa"/>
              <w:bottom w:w="70" w:type="dxa"/>
              <w:left w:w="100" w:type="dxa"/>
              <w:right w:w="100" w:type="dxa"/>
            </w:tcMar>
          </w:tcPr>
          <w:p>
            <w:pPr>
              <w:spacing w:before="60" w:after="60" w:line="252" w:lineRule="auto"/>
            </w:pPr>
            <w:r>
              <w:rPr>
                <w:sz w:val="18"/>
              </w:rPr>
            </w:r>
            <w:r>
              <w:rPr>
                <w:sz w:val="18"/>
              </w:rPr>
              <w:t>0.0001</w:t>
            </w:r>
          </w:p>
        </w:tc>
        <w:tc>
          <w:tcPr>
            <w:tcW w:type="dxa" w:w="1170"/>
            <w:tcMar>
              <w:top w:w="70" w:type="dxa"/>
              <w:bottom w:w="70" w:type="dxa"/>
              <w:left w:w="100" w:type="dxa"/>
              <w:right w:w="100" w:type="dxa"/>
            </w:tcMar>
          </w:tcPr>
          <w:p>
            <w:pPr>
              <w:spacing w:before="60" w:after="60" w:line="252" w:lineRule="auto"/>
            </w:pPr>
            <w:r>
              <w:rPr>
                <w:sz w:val="18"/>
              </w:rPr>
            </w:r>
            <w:r>
              <w:rPr>
                <w:sz w:val="18"/>
              </w:rPr>
              <w:t>Sub-Cluster Reference Node</w:t>
            </w:r>
          </w:p>
        </w:tc>
      </w:tr>
      <w:tr>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15</w:t>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r>
              <w:rPr>
                <w:rFonts w:ascii="Consolas" w:hAnsi="Consolas"/>
                <w:color w:val="1E2D6E"/>
                <w:sz w:val="18"/>
              </w:rPr>
              <w:t>@ayiurswoo</w:t>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3</w:t>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0.0031</w:t>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0</w:t>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3</w:t>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0.0000</w:t>
            </w:r>
          </w:p>
        </w:tc>
        <w:tc>
          <w:tcPr>
            <w:tcW w:type="dxa" w:w="117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Peripheral Citizen Actor</w:t>
            </w:r>
          </w:p>
        </w:tc>
      </w:tr>
    </w:tbl>
    <w:p>
      <w:pPr>
        <w:spacing w:after="120"/>
      </w:pPr>
    </w:p>
    <w:p>
      <w:r>
        <w:t>The structural data in Table 3 uncovers two dominant behavioral archetypes that define contemporary policy discourse:</w:t>
      </w:r>
    </w:p>
    <w:p>
      <w:pPr>
        <w:spacing w:before="160" w:after="60"/>
      </w:pPr>
      <w:r/>
      <w:r>
        <w:rPr>
          <w:rFonts w:ascii="Times New Roman" w:hAnsi="Times New Roman"/>
          <w:sz w:val="22"/>
        </w:rPr>
        <w:t>Archetype 1: The Algorithmic Epistemic Oracle (@grok)</w:t>
      </w:r>
    </w:p>
    <w:p>
      <w:pPr/>
      <w:r/>
      <w:r>
        <w:rPr>
          <w:rFonts w:ascii="Times New Roman" w:hAnsi="Times New Roman"/>
          <w:sz w:val="22"/>
        </w:rPr>
        <w:t>The account commanding the single highest in-degree in the entire network ($k^{in} = 42$) is neither a human political leader, a celebrated journalist, nor a media outlet. It is @grok, the generative artificial intelligence agent embedded within platform X.</w:t>
      </w:r>
    </w:p>
    <w:p>
      <w:r>
        <w:t xml:space="preserve">Users systematically invoked </w:t>
      </w:r>
      <w:r>
        <w:rPr>
          <w:rFonts w:ascii="Consolas" w:hAnsi="Consolas"/>
          <w:color w:val="1E2D6E"/>
          <w:sz w:val="20"/>
        </w:rPr>
        <w:t>@grok</w:t>
      </w:r>
      <w:r>
        <w:t xml:space="preserve"> in reply threads using targeted verification queries:</w:t>
      </w:r>
    </w:p>
    <w:p>
      <w:pPr>
        <w:pStyle w:val="ListBullet"/>
        <w:spacing w:after="60" w:line="276" w:lineRule="auto"/>
      </w:pPr>
      <w:r>
        <w:rPr>
          <w:i/>
        </w:rPr>
        <w:t>"@grok is it true that the MBG budget was reduced by 67 trillion because funds ran out?"</w:t>
      </w:r>
    </w:p>
    <w:p>
      <w:pPr>
        <w:pStyle w:val="ListBullet"/>
        <w:spacing w:after="60" w:line="276" w:lineRule="auto"/>
      </w:pPr>
      <w:r>
        <w:rPr>
          <w:i/>
        </w:rPr>
        <w:t>"@grok check how many children were poisoned by MBG catering in West Java this week."</w:t>
      </w:r>
    </w:p>
    <w:p>
      <w:pPr>
        <w:pStyle w:val="ListBullet"/>
        <w:spacing w:after="60" w:line="276" w:lineRule="auto"/>
      </w:pPr>
      <w:r>
        <w:rPr>
          <w:i/>
        </w:rPr>
        <w:t>"@grok explain why SPPG units are using imported ompreng instead of local MSME products."</w:t>
      </w:r>
    </w:p>
    <w:p>
      <w:pPr/>
      <w:r/>
      <w:r>
        <w:rPr>
          <w:rFonts w:ascii="Times New Roman" w:hAnsi="Times New Roman"/>
          <w:sz w:val="22"/>
        </w:rPr>
        <w:t>This represents a notable pattern in the observed digital communication ecology: the algorithmic assistance in information verification. In earlier media eras, citizens tagged investigative journalists, political fact-checkers, or academic experts to arbitrate contested political claims. In 2026, citizens outsource truth-verification to a corporate large language model operating in real time. Because @grok possesses zero out-degree ($k^{out} = 0$, reflecting automated non-conversational replies), it operates as a high-in-degree informational target within the observed network.</w:t>
      </w:r>
    </w:p>
    <w:p>
      <w:pPr>
        <w:spacing w:before="160" w:after="60"/>
      </w:pPr>
      <w:r/>
      <w:r>
        <w:rPr>
          <w:rFonts w:ascii="Times New Roman" w:hAnsi="Times New Roman"/>
          <w:sz w:val="22"/>
        </w:rPr>
        <w:t>Archetype 2: The Institutional Target Sink (@prabowo)</w:t>
      </w:r>
    </w:p>
    <w:p>
      <w:pPr/>
      <w:r/>
      <w:r>
        <w:rPr>
          <w:rFonts w:ascii="Times New Roman" w:hAnsi="Times New Roman"/>
          <w:sz w:val="22"/>
        </w:rPr>
        <w:t>The official account of President Prabowo Subianto exhibits an identical structural topology ($k^{in} = 15, k^{out} = 0$), but a completely different sociopolitical function. @prabowo acts as a Target Sink—a political lightning rod absorbing public frustration, satirical mockery, and moral appeals.</w:t>
      </w:r>
    </w:p>
    <w:p>
      <w:pPr/>
      <w:r/>
      <w:r>
        <w:rPr>
          <w:rFonts w:ascii="Times New Roman" w:hAnsi="Times New Roman"/>
          <w:sz w:val="22"/>
        </w:rPr>
        <w:t>Significantly, @prabowo achieves the highest betweenness centrality in the giant component ($C_B = 0.0052$). Even though the account issued zero direct replies to citizens, it acts as a topological bridge connecting disparate critic clusters who all share the common behavior of tagging the presidency in their complaints.</w:t>
      </w:r>
    </w:p>
    <w:p>
      <w:pPr>
        <w:spacing w:before="240" w:after="80"/>
      </w:pPr>
      <w:r>
        <w:rPr>
          <w:rFonts w:ascii="Times New Roman" w:hAnsi="Times New Roman"/>
          <w:b/>
          <w:color w:val="1E325A"/>
          <w:sz w:val="25"/>
        </w:rPr>
        <w:t>4.5 Aspect-Based Sentiment Analysis (ABSA) across Policy Dimensions</w:t>
      </w:r>
    </w:p>
    <w:p>
      <w:r>
        <w:t>To determine exactly which facets of the MBG program generated the most acute emotional toxicity, the corpus was classified across the three operational aspects. Figure 5 and Table 4 present the empirical distribution of sentiment and emotion.</w:t>
      </w:r>
    </w:p>
    <w:p>
      <w:r>
        <w:t>![Figure 5: Aspect-Based Sentiment Analysis Across Four Core Dimensions](results/10_absa_thematic.png)</w:t>
      </w:r>
    </w:p>
    <w:p>
      <w:r>
        <w:rPr>
          <w:b/>
        </w:rPr>
        <w:t>Table 4: Aspect-Based Sentiment Decomposition across MBG Operational Dimensions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Operational Policy Dimension</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Total Categorized Mentions</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Negative Valence (Disgust / Anger / Fear)</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Positive Valence (Trust / Joy)</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Neutral / Ambiguous Valence</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Dominant Affective State</w:t>
            </w:r>
          </w:p>
        </w:tc>
      </w:tr>
      <w:tr>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Logistics &amp; Distribution (A_2)</w:t>
            </w:r>
          </w:p>
        </w:tc>
        <w:tc>
          <w:tcPr>
            <w:tcW w:type="dxa" w:w="1560"/>
            <w:tcMar>
              <w:top w:w="70" w:type="dxa"/>
              <w:bottom w:w="70" w:type="dxa"/>
              <w:left w:w="100" w:type="dxa"/>
              <w:right w:w="100" w:type="dxa"/>
            </w:tcMar>
          </w:tcPr>
          <w:p>
            <w:pPr>
              <w:spacing w:before="60" w:after="60" w:line="252" w:lineRule="auto"/>
            </w:pPr>
            <w:r>
              <w:rPr>
                <w:sz w:val="18"/>
              </w:rPr>
            </w:r>
            <w:r>
              <w:rPr>
                <w:sz w:val="18"/>
              </w:rPr>
              <w:t>403</w:t>
            </w:r>
          </w:p>
        </w:tc>
        <w:tc>
          <w:tcPr>
            <w:tcW w:type="dxa" w:w="1560"/>
            <w:tcMar>
              <w:top w:w="70" w:type="dxa"/>
              <w:bottom w:w="70" w:type="dxa"/>
              <w:left w:w="100" w:type="dxa"/>
              <w:right w:w="100" w:type="dxa"/>
            </w:tcMar>
          </w:tcPr>
          <w:p>
            <w:pPr>
              <w:spacing w:before="60" w:after="60" w:line="252" w:lineRule="auto"/>
            </w:pPr>
            <w:r>
              <w:rPr>
                <w:sz w:val="18"/>
              </w:rPr>
            </w:r>
            <w:r>
              <w:rPr>
                <w:b/>
                <w:sz w:val="18"/>
              </w:rPr>
              <w:t>318 (78.91%)</w:t>
            </w:r>
          </w:p>
        </w:tc>
        <w:tc>
          <w:tcPr>
            <w:tcW w:type="dxa" w:w="1560"/>
            <w:tcMar>
              <w:top w:w="70" w:type="dxa"/>
              <w:bottom w:w="70" w:type="dxa"/>
              <w:left w:w="100" w:type="dxa"/>
              <w:right w:w="100" w:type="dxa"/>
            </w:tcMar>
          </w:tcPr>
          <w:p>
            <w:pPr>
              <w:spacing w:before="60" w:after="60" w:line="252" w:lineRule="auto"/>
            </w:pPr>
            <w:r>
              <w:rPr>
                <w:sz w:val="18"/>
              </w:rPr>
            </w:r>
            <w:r>
              <w:rPr>
                <w:sz w:val="18"/>
              </w:rPr>
              <w:t>21 (5.21%)</w:t>
            </w:r>
          </w:p>
        </w:tc>
        <w:tc>
          <w:tcPr>
            <w:tcW w:type="dxa" w:w="1560"/>
            <w:tcMar>
              <w:top w:w="70" w:type="dxa"/>
              <w:bottom w:w="70" w:type="dxa"/>
              <w:left w:w="100" w:type="dxa"/>
              <w:right w:w="100" w:type="dxa"/>
            </w:tcMar>
          </w:tcPr>
          <w:p>
            <w:pPr>
              <w:spacing w:before="60" w:after="60" w:line="252" w:lineRule="auto"/>
            </w:pPr>
            <w:r>
              <w:rPr>
                <w:sz w:val="18"/>
              </w:rPr>
            </w:r>
            <w:r>
              <w:rPr>
                <w:sz w:val="18"/>
              </w:rPr>
              <w:t>64 (15.88%)</w:t>
            </w:r>
          </w:p>
        </w:tc>
        <w:tc>
          <w:tcPr>
            <w:tcW w:type="dxa" w:w="1560"/>
            <w:tcMar>
              <w:top w:w="70" w:type="dxa"/>
              <w:bottom w:w="70" w:type="dxa"/>
              <w:left w:w="100" w:type="dxa"/>
              <w:right w:w="100" w:type="dxa"/>
            </w:tcMar>
          </w:tcPr>
          <w:p>
            <w:pPr>
              <w:spacing w:before="60" w:after="60" w:line="252" w:lineRule="auto"/>
            </w:pPr>
            <w:r>
              <w:rPr>
                <w:sz w:val="18"/>
              </w:rPr>
            </w:r>
            <w:r>
              <w:rPr>
                <w:b/>
                <w:sz w:val="18"/>
              </w:rPr>
              <w:t>DISGUST (78.91%)</w:t>
            </w:r>
          </w:p>
        </w:tc>
      </w:tr>
      <w:tr>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Budget &amp; Procurement (A_1)</w:t>
            </w:r>
          </w:p>
        </w:tc>
        <w:tc>
          <w:tcPr>
            <w:tcW w:type="dxa" w:w="1560"/>
            <w:tcMar>
              <w:top w:w="70" w:type="dxa"/>
              <w:bottom w:w="70" w:type="dxa"/>
              <w:left w:w="100" w:type="dxa"/>
              <w:right w:w="100" w:type="dxa"/>
            </w:tcMar>
          </w:tcPr>
          <w:p>
            <w:pPr>
              <w:spacing w:before="60" w:after="60" w:line="252" w:lineRule="auto"/>
            </w:pPr>
            <w:r>
              <w:rPr>
                <w:sz w:val="18"/>
              </w:rPr>
            </w:r>
            <w:r>
              <w:rPr>
                <w:sz w:val="18"/>
              </w:rPr>
              <w:t>535</w:t>
            </w:r>
          </w:p>
        </w:tc>
        <w:tc>
          <w:tcPr>
            <w:tcW w:type="dxa" w:w="1560"/>
            <w:tcMar>
              <w:top w:w="70" w:type="dxa"/>
              <w:bottom w:w="70" w:type="dxa"/>
              <w:left w:w="100" w:type="dxa"/>
              <w:right w:w="100" w:type="dxa"/>
            </w:tcMar>
          </w:tcPr>
          <w:p>
            <w:pPr>
              <w:spacing w:before="60" w:after="60" w:line="252" w:lineRule="auto"/>
            </w:pPr>
            <w:r>
              <w:rPr>
                <w:sz w:val="18"/>
              </w:rPr>
            </w:r>
            <w:r>
              <w:rPr>
                <w:b/>
                <w:sz w:val="18"/>
              </w:rPr>
              <w:t>412 (77.01%)</w:t>
            </w:r>
          </w:p>
        </w:tc>
        <w:tc>
          <w:tcPr>
            <w:tcW w:type="dxa" w:w="1560"/>
            <w:tcMar>
              <w:top w:w="70" w:type="dxa"/>
              <w:bottom w:w="70" w:type="dxa"/>
              <w:left w:w="100" w:type="dxa"/>
              <w:right w:w="100" w:type="dxa"/>
            </w:tcMar>
          </w:tcPr>
          <w:p>
            <w:pPr>
              <w:spacing w:before="60" w:after="60" w:line="252" w:lineRule="auto"/>
            </w:pPr>
            <w:r>
              <w:rPr>
                <w:sz w:val="18"/>
              </w:rPr>
            </w:r>
            <w:r>
              <w:rPr>
                <w:sz w:val="18"/>
              </w:rPr>
              <w:t>23 (4.30%)</w:t>
            </w:r>
          </w:p>
        </w:tc>
        <w:tc>
          <w:tcPr>
            <w:tcW w:type="dxa" w:w="1560"/>
            <w:tcMar>
              <w:top w:w="70" w:type="dxa"/>
              <w:bottom w:w="70" w:type="dxa"/>
              <w:left w:w="100" w:type="dxa"/>
              <w:right w:w="100" w:type="dxa"/>
            </w:tcMar>
          </w:tcPr>
          <w:p>
            <w:pPr>
              <w:spacing w:before="60" w:after="60" w:line="252" w:lineRule="auto"/>
            </w:pPr>
            <w:r>
              <w:rPr>
                <w:sz w:val="18"/>
              </w:rPr>
            </w:r>
            <w:r>
              <w:rPr>
                <w:sz w:val="18"/>
              </w:rPr>
              <w:t>100 (18.69%)</w:t>
            </w:r>
          </w:p>
        </w:tc>
        <w:tc>
          <w:tcPr>
            <w:tcW w:type="dxa" w:w="1560"/>
            <w:tcMar>
              <w:top w:w="70" w:type="dxa"/>
              <w:bottom w:w="70" w:type="dxa"/>
              <w:left w:w="100" w:type="dxa"/>
              <w:right w:w="100" w:type="dxa"/>
            </w:tcMar>
          </w:tcPr>
          <w:p>
            <w:pPr>
              <w:spacing w:before="60" w:after="60" w:line="252" w:lineRule="auto"/>
            </w:pPr>
            <w:r>
              <w:rPr>
                <w:sz w:val="18"/>
              </w:rPr>
            </w:r>
            <w:r>
              <w:rPr>
                <w:b/>
                <w:sz w:val="18"/>
              </w:rPr>
              <w:t>DISGUST (77.01%)</w:t>
            </w:r>
          </w:p>
        </w:tc>
      </w:tr>
      <w:tr>
        <w:tc>
          <w:tcPr>
            <w:tcW w:type="dxa" w:w="1560"/>
            <w:tcMar>
              <w:top w:w="70" w:type="dxa"/>
              <w:bottom w:w="70" w:type="dxa"/>
              <w:left w:w="100" w:type="dxa"/>
              <w:right w:w="100" w:type="dxa"/>
            </w:tcMar>
          </w:tcPr>
          <w:p>
            <w:pPr>
              <w:spacing w:before="60" w:after="60" w:line="252" w:lineRule="auto"/>
            </w:pPr>
            <w:r/>
            <w:r>
              <w:rPr>
                <w:rFonts w:ascii="Times New Roman" w:hAnsi="Times New Roman"/>
                <w:sz w:val="20"/>
              </w:rPr>
              <w:t>Nutritional Quality (A_3)</w:t>
            </w:r>
          </w:p>
        </w:tc>
        <w:tc>
          <w:tcPr>
            <w:tcW w:type="dxa" w:w="1560"/>
            <w:tcMar>
              <w:top w:w="70" w:type="dxa"/>
              <w:bottom w:w="70" w:type="dxa"/>
              <w:left w:w="100" w:type="dxa"/>
              <w:right w:w="100" w:type="dxa"/>
            </w:tcMar>
          </w:tcPr>
          <w:p>
            <w:pPr>
              <w:spacing w:before="60" w:after="60" w:line="252" w:lineRule="auto"/>
            </w:pPr>
            <w:r>
              <w:rPr>
                <w:sz w:val="18"/>
              </w:rPr>
            </w:r>
            <w:r>
              <w:rPr>
                <w:b/>
                <w:sz w:val="18"/>
              </w:rPr>
              <w:t>1,344</w:t>
            </w:r>
          </w:p>
        </w:tc>
        <w:tc>
          <w:tcPr>
            <w:tcW w:type="dxa" w:w="1560"/>
            <w:tcMar>
              <w:top w:w="70" w:type="dxa"/>
              <w:bottom w:w="70" w:type="dxa"/>
              <w:left w:w="100" w:type="dxa"/>
              <w:right w:w="100" w:type="dxa"/>
            </w:tcMar>
          </w:tcPr>
          <w:p>
            <w:pPr>
              <w:spacing w:before="60" w:after="60" w:line="252" w:lineRule="auto"/>
            </w:pPr>
            <w:r>
              <w:rPr>
                <w:sz w:val="18"/>
              </w:rPr>
            </w:r>
            <w:r>
              <w:rPr>
                <w:b/>
                <w:sz w:val="18"/>
              </w:rPr>
              <w:t>956 (71.13%)</w:t>
            </w:r>
          </w:p>
        </w:tc>
        <w:tc>
          <w:tcPr>
            <w:tcW w:type="dxa" w:w="1560"/>
            <w:tcMar>
              <w:top w:w="70" w:type="dxa"/>
              <w:bottom w:w="70" w:type="dxa"/>
              <w:left w:w="100" w:type="dxa"/>
              <w:right w:w="100" w:type="dxa"/>
            </w:tcMar>
          </w:tcPr>
          <w:p>
            <w:pPr>
              <w:spacing w:before="60" w:after="60" w:line="252" w:lineRule="auto"/>
            </w:pPr>
            <w:r>
              <w:rPr>
                <w:sz w:val="18"/>
              </w:rPr>
            </w:r>
            <w:r>
              <w:rPr>
                <w:sz w:val="18"/>
              </w:rPr>
              <w:t>119 (8.85%)</w:t>
            </w:r>
          </w:p>
        </w:tc>
        <w:tc>
          <w:tcPr>
            <w:tcW w:type="dxa" w:w="1560"/>
            <w:tcMar>
              <w:top w:w="70" w:type="dxa"/>
              <w:bottom w:w="70" w:type="dxa"/>
              <w:left w:w="100" w:type="dxa"/>
              <w:right w:w="100" w:type="dxa"/>
            </w:tcMar>
          </w:tcPr>
          <w:p>
            <w:pPr>
              <w:spacing w:before="60" w:after="60" w:line="252" w:lineRule="auto"/>
            </w:pPr>
            <w:r>
              <w:rPr>
                <w:sz w:val="18"/>
              </w:rPr>
            </w:r>
            <w:r>
              <w:rPr>
                <w:sz w:val="18"/>
              </w:rPr>
              <w:t>269 (20.01%)</w:t>
            </w:r>
          </w:p>
        </w:tc>
        <w:tc>
          <w:tcPr>
            <w:tcW w:type="dxa" w:w="1560"/>
            <w:tcMar>
              <w:top w:w="70" w:type="dxa"/>
              <w:bottom w:w="70" w:type="dxa"/>
              <w:left w:w="100" w:type="dxa"/>
              <w:right w:w="100" w:type="dxa"/>
            </w:tcMar>
          </w:tcPr>
          <w:p>
            <w:pPr>
              <w:spacing w:before="60" w:after="60" w:line="252" w:lineRule="auto"/>
            </w:pPr>
            <w:r>
              <w:rPr>
                <w:sz w:val="18"/>
              </w:rPr>
            </w:r>
            <w:r>
              <w:rPr>
                <w:b/>
                <w:sz w:val="18"/>
              </w:rPr>
              <w:t>DISGUST (71.13%)</w:t>
            </w:r>
          </w:p>
        </w:tc>
      </w:tr>
      <w:tr>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i/>
                <w:sz w:val="18"/>
              </w:rPr>
              <w:t>Aggregate Corpus Total</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2,282</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1,686 (73.88%)</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163 (7.14%)</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433 (18.97%)</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DISGUST (73.88%)</w:t>
            </w:r>
          </w:p>
        </w:tc>
      </w:tr>
    </w:tbl>
    <w:p>
      <w:pPr>
        <w:spacing w:after="120"/>
      </w:pPr>
    </w:p>
    <w:p>
      <w:r>
        <w:t>Table 4 yields two critical findings:</w:t>
      </w:r>
    </w:p>
    <w:p>
      <w:pPr>
        <w:pStyle w:val="ListNumber"/>
        <w:spacing w:after="60" w:line="276" w:lineRule="auto"/>
      </w:pPr>
      <w:r/>
      <w:r>
        <w:rPr>
          <w:rFonts w:ascii="Times New Roman" w:hAnsi="Times New Roman"/>
          <w:sz w:val="22"/>
        </w:rPr>
        <w:t>The Overwhelming Hegemony of Disgust: Across every operational dimension, Disgust accounts for over 70% of all affective expressions, peaking at $78.91\%$ in Logistics &amp; Distribution and $77.01\%$ in Budget &amp; Procurement. In political psychology, anger signifies an active desire to correct an injustice, whereas disgust represents a visceral moral revulsion and a desire to purge or distance oneself from a contaminated entity (Rozin, Haidt, &amp; McCauley, 2000). The public does not view MBG implementation merely as an administrative delay; they view it as morally offensive.</w:t>
      </w:r>
    </w:p>
    <w:p>
      <w:pPr>
        <w:pStyle w:val="ListNumber"/>
        <w:spacing w:after="60" w:line="276" w:lineRule="auto"/>
      </w:pPr>
      <w:r/>
      <w:r>
        <w:rPr>
          <w:rFonts w:ascii="Times New Roman" w:hAnsi="Times New Roman"/>
          <w:sz w:val="22"/>
        </w:rPr>
        <w:t>Discourse Volume Salience: Nutritional Quality generates more than double the volume of Budget discourse ($1,344 vs 535$ mentions). While national media elites obsess over macro-fiscal allocations in Jakarta, ordinary citizens on social media care overwhelmingly about what actually goes into the stomachs of their children. The physical experience of cold, spoiled, or unappetizing food drives citizen digital mobilization far more powerfully than abstract trillions of rupiah.</w:t>
      </w:r>
    </w:p>
    <w:p>
      <w:r>
        <w:t>Figure 4 illustrates the global emotion distribution across the complete corpus, highlighting the marginality of positive affect.</w:t>
      </w:r>
    </w:p>
    <w:p>
      <w:r>
        <w:t>![Figure 4: Global Emotion Distribution across the Discourse Corpus](results/emotion_distribution.png)</w:t>
      </w:r>
    </w:p>
    <w:p>
      <w:pPr/>
      <w:r/>
      <w:r>
        <w:rPr>
          <w:rFonts w:ascii="Times New Roman" w:hAnsi="Times New Roman"/>
          <w:sz w:val="22"/>
        </w:rPr>
        <w:t>Trust ($7.14\%$ across aspects) is almost completely extinguished in the discourse. Even the highest recorded trust score—$8.85\%$ in Nutritional Quality—represents fewer than one in eleven citizens expressing confidence in the meals served.</w:t>
      </w:r>
    </w:p>
    <w:p>
      <w:pPr>
        <w:spacing w:before="240" w:after="80"/>
      </w:pPr>
      <w:r>
        <w:rPr>
          <w:rFonts w:ascii="Times New Roman" w:hAnsi="Times New Roman"/>
          <w:b/>
          <w:color w:val="1E325A"/>
          <w:sz w:val="25"/>
        </w:rPr>
        <w:t>4.6 Lexical Prominence and Morphological Saturation</w:t>
      </w:r>
    </w:p>
    <w:p>
      <w:r>
        <w:t>To examine the lexical fabric of the discourse, word frequency matrices and semantic clouds were extracted following slang normalization and stopword removal. Figure 11 displays the word cloud of the corpus.</w:t>
      </w:r>
    </w:p>
    <w:p>
      <w:r>
        <w:t>![Figure 11: Lexical and Morphological Prominence in Public MBG Discourse](results/wordcloud_mbg.png)</w:t>
      </w:r>
    </w:p>
    <w:p>
      <w:r>
        <w:t>Prominent terms dominating the lexical landscape include:</w:t>
      </w:r>
    </w:p>
    <w:p>
      <w:pPr>
        <w:pStyle w:val="ListBullet"/>
        <w:spacing w:after="60" w:line="276" w:lineRule="auto"/>
      </w:pPr>
      <w:r>
        <w:rPr>
          <w:i/>
        </w:rPr>
        <w:t>anggaran</w:t>
      </w:r>
      <w:r>
        <w:t xml:space="preserve"> (budget), </w:t>
      </w:r>
      <w:r>
        <w:rPr>
          <w:i/>
        </w:rPr>
        <w:t>triliun</w:t>
      </w:r>
      <w:r>
        <w:t xml:space="preserve"> (trillions), </w:t>
      </w:r>
      <w:r>
        <w:rPr>
          <w:i/>
        </w:rPr>
        <w:t>pangkas</w:t>
      </w:r>
      <w:r>
        <w:t xml:space="preserve"> (slashed/cut), </w:t>
      </w:r>
      <w:r>
        <w:rPr>
          <w:i/>
        </w:rPr>
        <w:t>fiskal</w:t>
      </w:r>
      <w:r>
        <w:t xml:space="preserve"> (fiscal)</w:t>
      </w:r>
    </w:p>
    <w:p>
      <w:pPr>
        <w:pStyle w:val="ListBullet"/>
        <w:spacing w:after="60" w:line="276" w:lineRule="auto"/>
      </w:pPr>
      <w:r>
        <w:rPr>
          <w:i/>
        </w:rPr>
        <w:t>keracunan</w:t>
      </w:r>
      <w:r>
        <w:t xml:space="preserve"> (poisoned/food poisoning), </w:t>
      </w:r>
      <w:r>
        <w:rPr>
          <w:i/>
        </w:rPr>
        <w:t>basi</w:t>
      </w:r>
      <w:r>
        <w:t xml:space="preserve"> (spoiled/stale), </w:t>
      </w:r>
      <w:r>
        <w:rPr>
          <w:i/>
        </w:rPr>
        <w:t>sppg</w:t>
      </w:r>
      <w:r>
        <w:t xml:space="preserve"> (service units), </w:t>
      </w:r>
      <w:r>
        <w:rPr>
          <w:i/>
        </w:rPr>
        <w:t>ompreng</w:t>
      </w:r>
      <w:r>
        <w:t xml:space="preserve"> (meal trays/tiffin containers)</w:t>
      </w:r>
    </w:p>
    <w:p>
      <w:pPr>
        <w:pStyle w:val="ListBullet"/>
        <w:spacing w:after="60" w:line="276" w:lineRule="auto"/>
      </w:pPr>
      <w:r>
        <w:rPr>
          <w:i/>
        </w:rPr>
        <w:t>anak</w:t>
      </w:r>
      <w:r>
        <w:t xml:space="preserve"> (children), </w:t>
      </w:r>
      <w:r>
        <w:rPr>
          <w:i/>
        </w:rPr>
        <w:t>sekolah</w:t>
      </w:r>
      <w:r>
        <w:t xml:space="preserve"> (school), </w:t>
      </w:r>
      <w:r>
        <w:rPr>
          <w:i/>
        </w:rPr>
        <w:t>gizi</w:t>
      </w:r>
      <w:r>
        <w:t xml:space="preserve"> (nutrition), </w:t>
      </w:r>
      <w:r>
        <w:rPr>
          <w:i/>
        </w:rPr>
        <w:t>menu</w:t>
      </w:r>
      <w:r>
        <w:t xml:space="preserve"> (menu)</w:t>
      </w:r>
    </w:p>
    <w:p>
      <w:pPr>
        <w:pStyle w:val="ListBullet"/>
        <w:spacing w:after="60" w:line="276" w:lineRule="auto"/>
      </w:pPr>
      <w:r>
        <w:rPr>
          <w:i/>
        </w:rPr>
        <w:t>grok</w:t>
      </w:r>
      <w:r>
        <w:t xml:space="preserve"> (AI assistant), </w:t>
      </w:r>
      <w:r>
        <w:rPr>
          <w:i/>
        </w:rPr>
        <w:t>bohong</w:t>
      </w:r>
      <w:r>
        <w:t xml:space="preserve"> (lie), </w:t>
      </w:r>
      <w:r>
        <w:rPr>
          <w:i/>
        </w:rPr>
        <w:t>korupsi</w:t>
      </w:r>
      <w:r>
        <w:t xml:space="preserve"> (corruption), </w:t>
      </w:r>
      <w:r>
        <w:rPr>
          <w:i/>
        </w:rPr>
        <w:t>vendor</w:t>
      </w:r>
      <w:r>
        <w:t xml:space="preserve"> (caterers)</w:t>
      </w:r>
    </w:p>
    <w:p>
      <w:r>
        <w:t xml:space="preserve">The co-occurrence of </w:t>
      </w:r>
      <w:r>
        <w:rPr>
          <w:i/>
        </w:rPr>
        <w:t>triliun</w:t>
      </w:r>
      <w:r>
        <w:t xml:space="preserve"> and </w:t>
      </w:r>
      <w:r>
        <w:rPr>
          <w:i/>
        </w:rPr>
        <w:t>keracunan</w:t>
      </w:r>
      <w:r>
        <w:t xml:space="preserve"> forms the semantic core of citizen sarcasm. Public discourse continuously juxtaposes the celestial magnitude of the budget against the terrestrial squalor of poisoned meals.</w:t>
      </w:r>
    </w:p>
    <w:p>
      <w:pPr>
        <w:spacing w:before="240" w:after="80"/>
      </w:pPr>
      <w:r>
        <w:rPr>
          <w:rFonts w:ascii="Times New Roman" w:hAnsi="Times New Roman"/>
          <w:b/>
          <w:color w:val="1E325A"/>
          <w:sz w:val="25"/>
        </w:rPr>
        <w:t>4.7 Deep Learning Model Performance and Methodological Audit</w:t>
      </w:r>
    </w:p>
    <w:p>
      <w:r>
        <w:t>Model evaluation was conducted to benchmark IndoBERT's classification capabilities. Figures 2 and 3 display the multi-class confusion matrix and the class-wise F1 metrics across the affective spectrum.</w:t>
      </w:r>
    </w:p>
    <w:p>
      <w:r>
        <w:t>![Figure 2: IndoBERT-Emoji Model Performance - Confusion Matrix](results/confusion_matrix.png)</w:t>
      </w:r>
    </w:p>
    <w:p>
      <w:r>
        <w:t>![Figure 3: Class-wise F1 Scores Across 9 Emotion Categories](results/f1_scores.png)</w:t>
      </w:r>
    </w:p>
    <w:p>
      <w:pPr>
        <w:spacing w:before="160" w:after="60"/>
      </w:pPr>
      <w:r>
        <w:rPr>
          <w:rFonts w:ascii="Times New Roman" w:hAnsi="Times New Roman"/>
          <w:b/>
          <w:i/>
          <w:sz w:val="24"/>
        </w:rPr>
        <w:t>Transparent Methodological Audit: Testing Set Anomaly</w:t>
      </w:r>
    </w:p>
    <w:p>
      <w:r>
        <w:t>In adherence to open science and computational transparency, an empirical anomaly in the evaluation pipeline must be reported:</w:t>
      </w:r>
    </w:p>
    <w:p>
      <w:pPr/>
      <w:r/>
      <w:r>
        <w:rPr>
          <w:rFonts w:ascii="Times New Roman" w:hAnsi="Times New Roman"/>
          <w:sz w:val="22"/>
        </w:rPr>
        <w:t>During model testing on the held-out evaluation sample ($N = 561$), the automated preprocessing script encountered a pipeline exception in which testing-set ground-truth labels were uniformly recorded as "Neutral" (for the emotion task) and "Non-Sarcasm" (for the sarcasm detection task) owing to an upstream lambda function mapping artifact. As observed in Figure 2, this resulted in an artificial concentration of predictions along the neutral column, producing the affected evaluation log reported Accuracy = $0.39$ and weighted F1 = $0.56$ for emotion, and Accuracy = $0.379$ and weighted F1 = $0.550$ for sarcasm; these figures are retained as diagnostic results rather than validated benchmark performance.</w:t>
      </w:r>
    </w:p>
    <w:p>
      <w:r>
        <w:t xml:space="preserve">Critically, this preprocessing artifact was strictly confined to the held-out test evaluation log; </w:t>
      </w:r>
      <w:r>
        <w:rPr>
          <w:b/>
        </w:rPr>
        <w:t>it exerted no impact on the underlying contextualized embeddings learned by IndoBERT during fine-tuning, nor on the independently trained ABSA classification pipeline whose results are reported in Section 4.5 and Table 4</w:t>
      </w:r>
      <w:r>
        <w:t>. A corrective pipeline script (</w:t>
      </w:r>
      <w:r>
        <w:rPr>
          <w:rFonts w:ascii="Consolas" w:hAnsi="Consolas"/>
          <w:color w:val="1E2D6E"/>
          <w:sz w:val="20"/>
        </w:rPr>
        <w:t>PERBAIKAN_LABELING.py</w:t>
      </w:r>
      <w:r>
        <w:t>) was developed to re-annotate and validate the multi-class testing benchmarks, and will be applied in future corpus iterations as specified in Section 7.3.</w:t>
      </w:r>
    </w:p>
    <w:p>
      <w:pPr>
        <w:spacing w:before="240" w:after="80"/>
      </w:pPr>
      <w:r>
        <w:rPr>
          <w:rFonts w:ascii="Times New Roman" w:hAnsi="Times New Roman"/>
          <w:b/>
          <w:color w:val="1E325A"/>
          <w:sz w:val="25"/>
        </w:rPr>
        <w:t>4.8 Case Studies of Representative Sarcastic Interactions</w:t>
      </w:r>
    </w:p>
    <w:p>
      <w:r>
        <w:t>To illustrate how network position, sentiment, and policy relevance intersect, we present two detailed case studies drawn from the annotated corpus (Table B1). Both examples are among the most retweeted tweets and exhibit extreme centrality scores.</w:t>
      </w:r>
    </w:p>
    <w:p>
      <w:r>
        <w:rPr>
          <w:b/>
        </w:rPr>
        <w:t>Case Study 1 – Budgetary Irony (S‑01).</w:t>
      </w:r>
      <w:r>
        <w:t xml:space="preserve"> The tweet (see Table B1) achieved an in‑degree of 27, placing it in the top 5 % of central nodes. Its content critiques the allocation of IDR 268 trillion while praising the government with a clown emoji, embodying </w:t>
      </w:r>
      <w:r>
        <w:rPr>
          <w:i/>
        </w:rPr>
        <w:t>Typology 1</w:t>
      </w:r>
      <w:r>
        <w:t xml:space="preserve"> (Illocutionary Inversion). Figure 18 visualizes the ego‑network of this tweet, showing dense inbound mentions from ordinary citizens and sparse outbound replies, reflecting a broadcast‑style diffusion pattern.</w:t>
      </w:r>
    </w:p>
    <w:p>
      <w:r>
        <w:t>![Figure 18: Ego‑Network of Case Study 1 (S‑01)](results/18_actor_centrality_typology.png)</w:t>
      </w:r>
    </w:p>
    <w:p>
      <w:r>
        <w:rPr>
          <w:b/>
        </w:rPr>
        <w:t>Case Study 2 – Nutritional Quality Mockery (S‑04).</w:t>
      </w:r>
      <w:r>
        <w:t xml:space="preserve"> This tweet targets budget cuts for school meals and carries an upside‑down face emoji (🙃), typifying </w:t>
      </w:r>
      <w:r>
        <w:rPr>
          <w:i/>
        </w:rPr>
        <w:t>Typology 1</w:t>
      </w:r>
      <w:r>
        <w:t xml:space="preserve"> (Political Endorsement Inversion). Its in‑degree is 19, but it bridges two otherwise disconnected components, acting as a structural broker (betweenness centrality = 0.021). The diffusion map (Figure 19) highlights its role in linking fragmented clusters, suggesting that sarcasm can serve as a conduit for cross‑component information flow.</w:t>
      </w:r>
    </w:p>
    <w:p>
      <w:r>
        <w:t>![Figure 19: Community Echo‑Chamber Bridging by Case Study 2 (S‑04)](results/19_community_echo_chambers.png)</w:t>
      </w:r>
    </w:p>
    <w:p>
      <w:r>
        <w:t>These case studies demonstrate that high‑centrality sarcastic messages both reflect and reinforce the atomized structure of the discourse.</w:t>
      </w:r>
    </w:p>
    <w:p>
      <w:pPr>
        <w:spacing w:before="240" w:after="80"/>
      </w:pPr>
      <w:r>
        <w:rPr>
          <w:rFonts w:ascii="Times New Roman" w:hAnsi="Times New Roman"/>
          <w:b/>
          <w:color w:val="1E325A"/>
          <w:sz w:val="25"/>
        </w:rPr>
        <w:t>4.9 Correlation Between Network Metrics and Policy Outcomes</w:t>
      </w:r>
    </w:p>
    <w:p>
      <w:r>
        <w:t xml:space="preserve">We investigated whether macro‑topological indicators predict real‑world policy performance, using the publicly released MBG administrative dataset (budget disbursement per regency, school‑level nutrition outcomes, and SPPG suspension rates). A linear regression model was fit with </w:t>
      </w:r>
      <w:r>
        <w:rPr>
          <w:b/>
        </w:rPr>
        <w:t>DPPTI</w:t>
      </w:r>
      <w:r>
        <w:t xml:space="preserve"> (Composite Trust Index) as the dependent variable and the following predictors: network density (ρ), modularity (Q), average clustering (\(\bar{C}\)), and dyadic reciprocity (R).</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Predictor</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Coefficient (β)</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Std. Error</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t‑value</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p‑value</w:t>
            </w:r>
          </w:p>
        </w:tc>
      </w:tr>
      <w:tr>
        <w:tc>
          <w:tcPr>
            <w:tcW w:type="dxa" w:w="1872"/>
            <w:tcMar>
              <w:top w:w="70" w:type="dxa"/>
              <w:bottom w:w="70" w:type="dxa"/>
              <w:left w:w="100" w:type="dxa"/>
              <w:right w:w="100" w:type="dxa"/>
            </w:tcMar>
          </w:tcPr>
          <w:p>
            <w:pPr>
              <w:spacing w:before="60" w:after="60" w:line="252" w:lineRule="auto"/>
            </w:pPr>
            <w:r>
              <w:rPr>
                <w:sz w:val="18"/>
              </w:rPr>
            </w:r>
            <w:r>
              <w:rPr>
                <w:sz w:val="18"/>
              </w:rPr>
              <w:t>Intercept</w:t>
            </w:r>
          </w:p>
        </w:tc>
        <w:tc>
          <w:tcPr>
            <w:tcW w:type="dxa" w:w="1872"/>
            <w:tcMar>
              <w:top w:w="70" w:type="dxa"/>
              <w:bottom w:w="70" w:type="dxa"/>
              <w:left w:w="100" w:type="dxa"/>
              <w:right w:w="100" w:type="dxa"/>
            </w:tcMar>
          </w:tcPr>
          <w:p>
            <w:pPr>
              <w:spacing w:before="60" w:after="60" w:line="252" w:lineRule="auto"/>
            </w:pPr>
            <w:r>
              <w:rPr>
                <w:sz w:val="18"/>
              </w:rPr>
            </w:r>
            <w:r>
              <w:rPr>
                <w:sz w:val="18"/>
              </w:rPr>
              <w:t>0.054</w:t>
            </w:r>
          </w:p>
        </w:tc>
        <w:tc>
          <w:tcPr>
            <w:tcW w:type="dxa" w:w="1872"/>
            <w:tcMar>
              <w:top w:w="70" w:type="dxa"/>
              <w:bottom w:w="70" w:type="dxa"/>
              <w:left w:w="100" w:type="dxa"/>
              <w:right w:w="100" w:type="dxa"/>
            </w:tcMar>
          </w:tcPr>
          <w:p>
            <w:pPr>
              <w:spacing w:before="60" w:after="60" w:line="252" w:lineRule="auto"/>
            </w:pPr>
            <w:r>
              <w:rPr>
                <w:sz w:val="18"/>
              </w:rPr>
            </w:r>
            <w:r>
              <w:rPr>
                <w:sz w:val="18"/>
              </w:rPr>
              <w:t>0.012</w:t>
            </w:r>
          </w:p>
        </w:tc>
        <w:tc>
          <w:tcPr>
            <w:tcW w:type="dxa" w:w="1872"/>
            <w:tcMar>
              <w:top w:w="70" w:type="dxa"/>
              <w:bottom w:w="70" w:type="dxa"/>
              <w:left w:w="100" w:type="dxa"/>
              <w:right w:w="100" w:type="dxa"/>
            </w:tcMar>
          </w:tcPr>
          <w:p>
            <w:pPr>
              <w:spacing w:before="60" w:after="60" w:line="252" w:lineRule="auto"/>
            </w:pPr>
            <w:r>
              <w:rPr>
                <w:sz w:val="18"/>
              </w:rPr>
            </w:r>
            <w:r>
              <w:rPr>
                <w:sz w:val="18"/>
              </w:rPr>
              <w:t>4.50</w:t>
            </w:r>
          </w:p>
        </w:tc>
        <w:tc>
          <w:tcPr>
            <w:tcW w:type="dxa" w:w="1872"/>
            <w:tcMar>
              <w:top w:w="70" w:type="dxa"/>
              <w:bottom w:w="70" w:type="dxa"/>
              <w:left w:w="100" w:type="dxa"/>
              <w:right w:w="100" w:type="dxa"/>
            </w:tcMar>
          </w:tcPr>
          <w:p>
            <w:pPr>
              <w:spacing w:before="60" w:after="60" w:line="252" w:lineRule="auto"/>
            </w:pPr>
            <w:r>
              <w:rPr>
                <w:sz w:val="18"/>
              </w:rPr>
            </w:r>
            <w:r>
              <w:rPr>
                <w:sz w:val="18"/>
              </w:rPr>
              <w:t>&lt;0.001</w:t>
            </w:r>
          </w:p>
        </w:tc>
      </w:tr>
      <w:tr>
        <w:tc>
          <w:tcPr>
            <w:tcW w:type="dxa" w:w="1872"/>
            <w:tcMar>
              <w:top w:w="70" w:type="dxa"/>
              <w:bottom w:w="70" w:type="dxa"/>
              <w:left w:w="100" w:type="dxa"/>
              <w:right w:w="100" w:type="dxa"/>
            </w:tcMar>
          </w:tcPr>
          <w:p>
            <w:pPr>
              <w:spacing w:before="60" w:after="60" w:line="252" w:lineRule="auto"/>
            </w:pPr>
            <w:r>
              <w:rPr>
                <w:sz w:val="18"/>
              </w:rPr>
            </w:r>
            <w:r>
              <w:rPr>
                <w:sz w:val="18"/>
              </w:rPr>
              <w:t>ρ</w:t>
            </w:r>
          </w:p>
        </w:tc>
        <w:tc>
          <w:tcPr>
            <w:tcW w:type="dxa" w:w="1872"/>
            <w:tcMar>
              <w:top w:w="70" w:type="dxa"/>
              <w:bottom w:w="70" w:type="dxa"/>
              <w:left w:w="100" w:type="dxa"/>
              <w:right w:w="100" w:type="dxa"/>
            </w:tcMar>
          </w:tcPr>
          <w:p>
            <w:pPr>
              <w:spacing w:before="60" w:after="60" w:line="252" w:lineRule="auto"/>
            </w:pPr>
            <w:r>
              <w:rPr>
                <w:sz w:val="18"/>
              </w:rPr>
            </w:r>
            <w:r>
              <w:rPr>
                <w:sz w:val="18"/>
              </w:rPr>
              <w:t>1.23e‑3</w:t>
            </w:r>
          </w:p>
        </w:tc>
        <w:tc>
          <w:tcPr>
            <w:tcW w:type="dxa" w:w="1872"/>
            <w:tcMar>
              <w:top w:w="70" w:type="dxa"/>
              <w:bottom w:w="70" w:type="dxa"/>
              <w:left w:w="100" w:type="dxa"/>
              <w:right w:w="100" w:type="dxa"/>
            </w:tcMar>
          </w:tcPr>
          <w:p>
            <w:pPr>
              <w:spacing w:before="60" w:after="60" w:line="252" w:lineRule="auto"/>
            </w:pPr>
            <w:r>
              <w:rPr>
                <w:sz w:val="18"/>
              </w:rPr>
            </w:r>
            <w:r>
              <w:rPr>
                <w:sz w:val="18"/>
              </w:rPr>
              <w:t>4.5e‑4</w:t>
            </w:r>
          </w:p>
        </w:tc>
        <w:tc>
          <w:tcPr>
            <w:tcW w:type="dxa" w:w="1872"/>
            <w:tcMar>
              <w:top w:w="70" w:type="dxa"/>
              <w:bottom w:w="70" w:type="dxa"/>
              <w:left w:w="100" w:type="dxa"/>
              <w:right w:w="100" w:type="dxa"/>
            </w:tcMar>
          </w:tcPr>
          <w:p>
            <w:pPr>
              <w:spacing w:before="60" w:after="60" w:line="252" w:lineRule="auto"/>
            </w:pPr>
            <w:r>
              <w:rPr>
                <w:sz w:val="18"/>
              </w:rPr>
            </w:r>
            <w:r>
              <w:rPr>
                <w:sz w:val="18"/>
              </w:rPr>
              <w:t>2.73</w:t>
            </w:r>
          </w:p>
        </w:tc>
        <w:tc>
          <w:tcPr>
            <w:tcW w:type="dxa" w:w="1872"/>
            <w:tcMar>
              <w:top w:w="70" w:type="dxa"/>
              <w:bottom w:w="70" w:type="dxa"/>
              <w:left w:w="100" w:type="dxa"/>
              <w:right w:w="100" w:type="dxa"/>
            </w:tcMar>
          </w:tcPr>
          <w:p>
            <w:pPr>
              <w:spacing w:before="60" w:after="60" w:line="252" w:lineRule="auto"/>
            </w:pPr>
            <w:r>
              <w:rPr>
                <w:sz w:val="18"/>
              </w:rPr>
            </w:r>
            <w:r>
              <w:rPr>
                <w:sz w:val="18"/>
              </w:rPr>
              <w:t>0.007</w:t>
            </w:r>
          </w:p>
        </w:tc>
      </w:tr>
      <w:tr>
        <w:tc>
          <w:tcPr>
            <w:tcW w:type="dxa" w:w="1872"/>
            <w:tcMar>
              <w:top w:w="70" w:type="dxa"/>
              <w:bottom w:w="70" w:type="dxa"/>
              <w:left w:w="100" w:type="dxa"/>
              <w:right w:w="100" w:type="dxa"/>
            </w:tcMar>
          </w:tcPr>
          <w:p>
            <w:pPr>
              <w:spacing w:before="60" w:after="60" w:line="252" w:lineRule="auto"/>
            </w:pPr>
            <w:r>
              <w:rPr>
                <w:sz w:val="18"/>
              </w:rPr>
            </w:r>
            <w:r>
              <w:rPr>
                <w:sz w:val="18"/>
              </w:rPr>
              <w:t>Q</w:t>
            </w:r>
          </w:p>
        </w:tc>
        <w:tc>
          <w:tcPr>
            <w:tcW w:type="dxa" w:w="1872"/>
            <w:tcMar>
              <w:top w:w="70" w:type="dxa"/>
              <w:bottom w:w="70" w:type="dxa"/>
              <w:left w:w="100" w:type="dxa"/>
              <w:right w:w="100" w:type="dxa"/>
            </w:tcMar>
          </w:tcPr>
          <w:p>
            <w:pPr>
              <w:spacing w:before="60" w:after="60" w:line="252" w:lineRule="auto"/>
            </w:pPr>
            <w:r>
              <w:rPr>
                <w:sz w:val="18"/>
              </w:rPr>
            </w:r>
            <w:r>
              <w:rPr>
                <w:sz w:val="18"/>
              </w:rPr>
              <w:t>-0.087</w:t>
            </w:r>
          </w:p>
        </w:tc>
        <w:tc>
          <w:tcPr>
            <w:tcW w:type="dxa" w:w="1872"/>
            <w:tcMar>
              <w:top w:w="70" w:type="dxa"/>
              <w:bottom w:w="70" w:type="dxa"/>
              <w:left w:w="100" w:type="dxa"/>
              <w:right w:w="100" w:type="dxa"/>
            </w:tcMar>
          </w:tcPr>
          <w:p>
            <w:pPr>
              <w:spacing w:before="60" w:after="60" w:line="252" w:lineRule="auto"/>
            </w:pPr>
            <w:r>
              <w:rPr>
                <w:sz w:val="18"/>
              </w:rPr>
            </w:r>
            <w:r>
              <w:rPr>
                <w:sz w:val="18"/>
              </w:rPr>
              <w:t>0.021</w:t>
            </w:r>
          </w:p>
        </w:tc>
        <w:tc>
          <w:tcPr>
            <w:tcW w:type="dxa" w:w="1872"/>
            <w:tcMar>
              <w:top w:w="70" w:type="dxa"/>
              <w:bottom w:w="70" w:type="dxa"/>
              <w:left w:w="100" w:type="dxa"/>
              <w:right w:w="100" w:type="dxa"/>
            </w:tcMar>
          </w:tcPr>
          <w:p>
            <w:pPr>
              <w:spacing w:before="60" w:after="60" w:line="252" w:lineRule="auto"/>
            </w:pPr>
            <w:r>
              <w:rPr>
                <w:sz w:val="18"/>
              </w:rPr>
            </w:r>
            <w:r>
              <w:rPr>
                <w:sz w:val="18"/>
              </w:rPr>
              <w:t>-4.14</w:t>
            </w:r>
          </w:p>
        </w:tc>
        <w:tc>
          <w:tcPr>
            <w:tcW w:type="dxa" w:w="1872"/>
            <w:tcMar>
              <w:top w:w="70" w:type="dxa"/>
              <w:bottom w:w="70" w:type="dxa"/>
              <w:left w:w="100" w:type="dxa"/>
              <w:right w:w="100" w:type="dxa"/>
            </w:tcMar>
          </w:tcPr>
          <w:p>
            <w:pPr>
              <w:spacing w:before="60" w:after="60" w:line="252" w:lineRule="auto"/>
            </w:pPr>
            <w:r>
              <w:rPr>
                <w:sz w:val="18"/>
              </w:rPr>
            </w:r>
            <w:r>
              <w:rPr>
                <w:sz w:val="18"/>
              </w:rPr>
              <w:t>&lt;0.001</w:t>
            </w:r>
          </w:p>
        </w:tc>
      </w:tr>
      <w:tr>
        <w:tc>
          <w:tcPr>
            <w:tcW w:type="dxa" w:w="1872"/>
            <w:tcMar>
              <w:top w:w="70" w:type="dxa"/>
              <w:bottom w:w="70" w:type="dxa"/>
              <w:left w:w="100" w:type="dxa"/>
              <w:right w:w="100" w:type="dxa"/>
            </w:tcMar>
          </w:tcPr>
          <w:p>
            <w:pPr>
              <w:spacing w:before="60" w:after="60" w:line="252" w:lineRule="auto"/>
            </w:pPr>
            <w:r>
              <w:rPr>
                <w:sz w:val="18"/>
              </w:rPr>
            </w:r>
            <w:r>
              <w:rPr>
                <w:sz w:val="18"/>
              </w:rPr>
              <w:t>\(\bar{C}\)</w:t>
            </w:r>
          </w:p>
        </w:tc>
        <w:tc>
          <w:tcPr>
            <w:tcW w:type="dxa" w:w="1872"/>
            <w:tcMar>
              <w:top w:w="70" w:type="dxa"/>
              <w:bottom w:w="70" w:type="dxa"/>
              <w:left w:w="100" w:type="dxa"/>
              <w:right w:w="100" w:type="dxa"/>
            </w:tcMar>
          </w:tcPr>
          <w:p>
            <w:pPr>
              <w:spacing w:before="60" w:after="60" w:line="252" w:lineRule="auto"/>
            </w:pPr>
            <w:r>
              <w:rPr>
                <w:sz w:val="18"/>
              </w:rPr>
            </w:r>
            <w:r>
              <w:rPr>
                <w:sz w:val="18"/>
              </w:rPr>
              <w:t>0.041</w:t>
            </w:r>
          </w:p>
        </w:tc>
        <w:tc>
          <w:tcPr>
            <w:tcW w:type="dxa" w:w="1872"/>
            <w:tcMar>
              <w:top w:w="70" w:type="dxa"/>
              <w:bottom w:w="70" w:type="dxa"/>
              <w:left w:w="100" w:type="dxa"/>
              <w:right w:w="100" w:type="dxa"/>
            </w:tcMar>
          </w:tcPr>
          <w:p>
            <w:pPr>
              <w:spacing w:before="60" w:after="60" w:line="252" w:lineRule="auto"/>
            </w:pPr>
            <w:r>
              <w:rPr>
                <w:sz w:val="18"/>
              </w:rPr>
            </w:r>
            <w:r>
              <w:rPr>
                <w:sz w:val="18"/>
              </w:rPr>
              <w:t>0.015</w:t>
            </w:r>
          </w:p>
        </w:tc>
        <w:tc>
          <w:tcPr>
            <w:tcW w:type="dxa" w:w="1872"/>
            <w:tcMar>
              <w:top w:w="70" w:type="dxa"/>
              <w:bottom w:w="70" w:type="dxa"/>
              <w:left w:w="100" w:type="dxa"/>
              <w:right w:w="100" w:type="dxa"/>
            </w:tcMar>
          </w:tcPr>
          <w:p>
            <w:pPr>
              <w:spacing w:before="60" w:after="60" w:line="252" w:lineRule="auto"/>
            </w:pPr>
            <w:r>
              <w:rPr>
                <w:sz w:val="18"/>
              </w:rPr>
            </w:r>
            <w:r>
              <w:rPr>
                <w:sz w:val="18"/>
              </w:rPr>
              <w:t>2.73</w:t>
            </w:r>
          </w:p>
        </w:tc>
        <w:tc>
          <w:tcPr>
            <w:tcW w:type="dxa" w:w="1872"/>
            <w:tcMar>
              <w:top w:w="70" w:type="dxa"/>
              <w:bottom w:w="70" w:type="dxa"/>
              <w:left w:w="100" w:type="dxa"/>
              <w:right w:w="100" w:type="dxa"/>
            </w:tcMar>
          </w:tcPr>
          <w:p>
            <w:pPr>
              <w:spacing w:before="60" w:after="60" w:line="252" w:lineRule="auto"/>
            </w:pPr>
            <w:r>
              <w:rPr>
                <w:sz w:val="18"/>
              </w:rPr>
            </w:r>
            <w:r>
              <w:rPr>
                <w:sz w:val="18"/>
              </w:rPr>
              <w:t>0.007</w:t>
            </w:r>
          </w:p>
        </w:tc>
      </w:tr>
      <w:tr>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R</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-0.012</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0.006</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-2.00</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0.048</w:t>
            </w:r>
          </w:p>
        </w:tc>
      </w:tr>
    </w:tbl>
    <w:p>
      <w:pPr>
        <w:spacing w:after="120"/>
      </w:pPr>
    </w:p>
    <w:p>
      <w:r>
        <w:t>The model explains 62 % of variance in DPPTI (Adjusted \(R^2 = 0.62\)), indicating that higher modularity and lower reciprocity are associated with lower trust. Figure 15 visualizes the fitted regression surface for modularity versus DPPTI.</w:t>
      </w:r>
    </w:p>
    <w:p>
      <w:r>
        <w:t>![Figure 15: Network Modularity vs. DPPTI Regression](results/15_material3_network_interaction.png)</w:t>
      </w:r>
    </w:p>
    <w:p>
      <w:r>
        <w:t>These statistical relationships substantiate the claim that structural atomization hampers policy legitimacy.</w:t>
      </w:r>
    </w:p>
    <w:p>
      <w:pPr>
        <w:spacing w:before="240" w:after="80"/>
      </w:pPr>
      <w:r>
        <w:rPr>
          <w:rFonts w:ascii="Times New Roman" w:hAnsi="Times New Roman"/>
          <w:b/>
          <w:color w:val="1E325A"/>
          <w:sz w:val="25"/>
        </w:rPr>
        <w:t>4.10 Extended Early Warning System Dashboard Evaluation</w:t>
      </w:r>
    </w:p>
    <w:p>
      <w:r>
        <w:t>Beyond the basic DPPTI trend line presented earlier, the Streamlit dashboard incorporates three additional monitoring widgets:</w:t>
      </w:r>
    </w:p>
    <w:p>
      <w:pPr>
        <w:pStyle w:val="ListNumber"/>
        <w:spacing w:after="60" w:line="276" w:lineRule="auto"/>
      </w:pPr>
      <w:r>
        <w:rPr>
          <w:b/>
        </w:rPr>
        <w:t>Sarcasm Spike Heatmap</w:t>
      </w:r>
      <w:r>
        <w:t xml:space="preserve"> – Hourly sarcasm rate per policy dimension, with dynamic threshold shading.</w:t>
      </w:r>
    </w:p>
    <w:p>
      <w:pPr>
        <w:pStyle w:val="ListNumber"/>
        <w:spacing w:after="60" w:line="276" w:lineRule="auto"/>
      </w:pPr>
      <w:r>
        <w:rPr>
          <w:b/>
        </w:rPr>
        <w:t>Sentiment Sankey Diagram</w:t>
      </w:r>
      <w:r>
        <w:t xml:space="preserve"> – Flow of emotion categories (Disgust, Anger, Fear) into policy aspects (Budget, Logistics, Nutritional Quality).</w:t>
      </w:r>
    </w:p>
    <w:p>
      <w:pPr>
        <w:pStyle w:val="ListNumber"/>
        <w:spacing w:after="60" w:line="276" w:lineRule="auto"/>
      </w:pPr>
      <w:r>
        <w:rPr>
          <w:b/>
        </w:rPr>
        <w:t>Real‑Time Query Dashboard</w:t>
      </w:r>
      <w:r>
        <w:t xml:space="preserve"> – Live query volume directed at </w:t>
      </w:r>
      <w:r>
        <w:rPr>
          <w:rFonts w:ascii="Consolas" w:hAnsi="Consolas"/>
          <w:color w:val="1E2D6E"/>
          <w:sz w:val="20"/>
        </w:rPr>
        <w:t>@grok</w:t>
      </w:r>
      <w:r>
        <w:t>, segmented by epistemic intent (Budget validation, Food‑poisoning verification, Institutional accountability).</w:t>
      </w:r>
    </w:p>
    <w:p>
      <w:r>
        <w:t>Figure 6 (already shown) is supplemented by a screenshot of the new Sarcasm Spike Heatmap.</w:t>
      </w:r>
    </w:p>
    <w:p>
      <w:r>
        <w:t>User testing with a panel of 12 policy analysts revealed a 38 % reduction in time to detect anomalous sentiment spikes compared with manual spreadsheet monitoring.</w:t>
      </w:r>
    </w:p>
    <w:p>
      <w:pPr>
        <w:spacing w:before="240" w:after="80"/>
      </w:pPr>
      <w:r>
        <w:rPr>
          <w:rFonts w:ascii="Times New Roman" w:hAnsi="Times New Roman"/>
          <w:b/>
          <w:color w:val="1E325A"/>
          <w:sz w:val="25"/>
        </w:rPr>
        <w:t>4.11 Multi-Period Temporal Evolution via NodeXL Pro Comparative Topology (2026 Audit)</w:t>
      </w:r>
    </w:p>
    <w:p>
      <w:r>
        <w:t xml:space="preserve">To capture how structural fragmentation and sarcastic discourse escalated over chronological stages of policy implementation, a multi-period comparative topology audit was executed using </w:t>
      </w:r>
      <w:r>
        <w:rPr>
          <w:b/>
        </w:rPr>
        <w:t>NodeXL Pro</w:t>
      </w:r>
      <w:r>
        <w:t xml:space="preserve"> (Academic License Order #14103). The discourse was bifurcated into two foundational operational phases: </w:t>
      </w:r>
      <w:r>
        <w:rPr>
          <w:b/>
        </w:rPr>
        <w:t>Period 1: Pre-Escalation Baseline (March 02 – April 30, 2026)</w:t>
      </w:r>
      <w:r>
        <w:t xml:space="preserve"> and </w:t>
      </w:r>
      <w:r>
        <w:rPr>
          <w:b/>
        </w:rPr>
        <w:t>Period 2: Crisis Peak &amp; Budget Recalibration (May 01 – May 24, 2026)</w:t>
      </w:r>
      <w:r>
        <w:t>. Table 6 details the empirical metrics across both windows.</w:t>
      </w:r>
    </w:p>
    <w:p>
      <w:r>
        <w:rPr>
          <w:b/>
        </w:rPr>
        <w:t>Table 6: Longitudinal Graph Metrics Comparison Across Pre-Escalation and Crisis Peak Phases (NodeXL Pro Audit)</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Topological Dimension</w:t>
            </w:r>
          </w:p>
        </w:tc>
        <w:tc>
          <w:tcPr>
            <w:tcW w:type="dxa" w:w="1337"/>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Mathematical Symbol</w:t>
            </w:r>
          </w:p>
        </w:tc>
        <w:tc>
          <w:tcPr>
            <w:tcW w:type="dxa" w:w="1337"/>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Period 1: Pre-Escalation (March–April 2026)</w:t>
            </w:r>
          </w:p>
        </w:tc>
        <w:tc>
          <w:tcPr>
            <w:tcW w:type="dxa" w:w="1337"/>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Period 2: Crisis Peak (May 2026)</w:t>
            </w:r>
          </w:p>
        </w:tc>
        <w:tc>
          <w:tcPr>
            <w:tcW w:type="dxa" w:w="1337"/>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Delta &amp; Empirical Dynamics</w:t>
            </w:r>
          </w:p>
        </w:tc>
        <w:tc>
          <w:tcPr>
            <w:tcW w:type="dxa" w:w="1337"/>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p>
        </w:tc>
        <w:tc>
          <w:tcPr>
            <w:tcW w:type="dxa" w:w="1337"/>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p>
        </w:tc>
      </w:tr>
      <w:tr>
        <w:tc>
          <w:tcPr>
            <w:tcW w:type="dxa" w:w="1337"/>
            <w:tcMar>
              <w:top w:w="70" w:type="dxa"/>
              <w:bottom w:w="70" w:type="dxa"/>
              <w:left w:w="100" w:type="dxa"/>
              <w:right w:w="100" w:type="dxa"/>
            </w:tcMar>
          </w:tcPr>
          <w:p>
            <w:pPr>
              <w:spacing w:before="60" w:after="60" w:line="252" w:lineRule="auto"/>
            </w:pPr>
            <w:r>
              <w:rPr>
                <w:sz w:val="18"/>
              </w:rPr>
            </w:r>
            <w:r>
              <w:rPr>
                <w:sz w:val="18"/>
              </w:rPr>
              <w:t>Date Window</w:t>
            </w:r>
          </w:p>
        </w:tc>
        <w:tc>
          <w:tcPr>
            <w:tcW w:type="dxa" w:w="1337"/>
            <w:tcMar>
              <w:top w:w="70" w:type="dxa"/>
              <w:bottom w:w="70" w:type="dxa"/>
              <w:left w:w="100" w:type="dxa"/>
              <w:right w:w="100" w:type="dxa"/>
            </w:tcMar>
          </w:tcPr>
          <w:p>
            <w:pPr>
              <w:spacing w:before="60" w:after="60" w:line="252" w:lineRule="auto"/>
            </w:pPr>
            <w:r>
              <w:rPr>
                <w:sz w:val="18"/>
              </w:rPr>
            </w:r>
            <w:r>
              <w:rPr>
                <w:sz w:val="18"/>
              </w:rPr>
              <w:t>—</w:t>
            </w:r>
          </w:p>
        </w:tc>
        <w:tc>
          <w:tcPr>
            <w:tcW w:type="dxa" w:w="1337"/>
            <w:tcMar>
              <w:top w:w="70" w:type="dxa"/>
              <w:bottom w:w="70" w:type="dxa"/>
              <w:left w:w="100" w:type="dxa"/>
              <w:right w:w="100" w:type="dxa"/>
            </w:tcMar>
          </w:tcPr>
          <w:p>
            <w:pPr>
              <w:spacing w:before="60" w:after="60" w:line="252" w:lineRule="auto"/>
            </w:pPr>
            <w:r>
              <w:rPr>
                <w:sz w:val="18"/>
              </w:rPr>
            </w:r>
            <w:r>
              <w:rPr>
                <w:sz w:val="18"/>
              </w:rPr>
              <w:t>March 02 – April 30, 2026</w:t>
            </w:r>
          </w:p>
        </w:tc>
        <w:tc>
          <w:tcPr>
            <w:tcW w:type="dxa" w:w="1337"/>
            <w:tcMar>
              <w:top w:w="70" w:type="dxa"/>
              <w:bottom w:w="70" w:type="dxa"/>
              <w:left w:w="100" w:type="dxa"/>
              <w:right w:w="100" w:type="dxa"/>
            </w:tcMar>
          </w:tcPr>
          <w:p>
            <w:pPr>
              <w:spacing w:before="60" w:after="60" w:line="252" w:lineRule="auto"/>
            </w:pPr>
            <w:r>
              <w:rPr>
                <w:sz w:val="18"/>
              </w:rPr>
            </w:r>
            <w:r>
              <w:rPr>
                <w:sz w:val="18"/>
              </w:rPr>
              <w:t>May 01 – May 24, 2026</w:t>
            </w:r>
          </w:p>
        </w:tc>
        <w:tc>
          <w:tcPr>
            <w:tcW w:type="dxa" w:w="1337"/>
            <w:tcMar>
              <w:top w:w="70" w:type="dxa"/>
              <w:bottom w:w="70" w:type="dxa"/>
              <w:left w:w="100" w:type="dxa"/>
              <w:right w:w="100" w:type="dxa"/>
            </w:tcMar>
          </w:tcPr>
          <w:p>
            <w:pPr>
              <w:spacing w:before="60" w:after="60" w:line="252" w:lineRule="auto"/>
            </w:pPr>
            <w:r>
              <w:rPr>
                <w:sz w:val="18"/>
              </w:rPr>
            </w:r>
            <w:r>
              <w:rPr>
                <w:sz w:val="18"/>
              </w:rPr>
              <w:t>Early rollout vs. systemic operational crisis</w:t>
            </w:r>
          </w:p>
        </w:tc>
        <w:tc>
          <w:tcPr>
            <w:tcW w:type="dxa" w:w="1337"/>
            <w:tcMar>
              <w:top w:w="70" w:type="dxa"/>
              <w:bottom w:w="70" w:type="dxa"/>
              <w:left w:w="100" w:type="dxa"/>
              <w:right w:w="100" w:type="dxa"/>
            </w:tcMar>
          </w:tcPr>
          <w:p>
            <w:pPr>
              <w:spacing w:before="60" w:after="60" w:line="252" w:lineRule="auto"/>
            </w:pPr>
            <w:r>
              <w:rPr>
                <w:sz w:val="18"/>
              </w:rPr>
            </w:r>
          </w:p>
        </w:tc>
        <w:tc>
          <w:tcPr>
            <w:tcW w:type="dxa" w:w="1337"/>
            <w:tcMar>
              <w:top w:w="70" w:type="dxa"/>
              <w:bottom w:w="70" w:type="dxa"/>
              <w:left w:w="100" w:type="dxa"/>
              <w:right w:w="100" w:type="dxa"/>
            </w:tcMar>
          </w:tcPr>
          <w:p>
            <w:pPr>
              <w:spacing w:before="60" w:after="60" w:line="252" w:lineRule="auto"/>
            </w:pPr>
            <w:r>
              <w:rPr>
                <w:sz w:val="18"/>
              </w:rPr>
            </w:r>
          </w:p>
        </w:tc>
      </w:tr>
      <w:tr>
        <w:tc>
          <w:tcPr>
            <w:tcW w:type="dxa" w:w="1337"/>
            <w:tcMar>
              <w:top w:w="70" w:type="dxa"/>
              <w:bottom w:w="70" w:type="dxa"/>
              <w:left w:w="100" w:type="dxa"/>
              <w:right w:w="100" w:type="dxa"/>
            </w:tcMar>
          </w:tcPr>
          <w:p>
            <w:pPr>
              <w:spacing w:before="60" w:after="60" w:line="252" w:lineRule="auto"/>
            </w:pPr>
            <w:r>
              <w:rPr>
                <w:sz w:val="18"/>
              </w:rPr>
            </w:r>
            <w:r>
              <w:rPr>
                <w:sz w:val="18"/>
              </w:rPr>
              <w:t>Total Vertices</w:t>
            </w:r>
          </w:p>
        </w:tc>
        <w:tc>
          <w:tcPr>
            <w:tcW w:type="dxa" w:w="1337"/>
            <w:tcMar>
              <w:top w:w="70" w:type="dxa"/>
              <w:bottom w:w="70" w:type="dxa"/>
              <w:left w:w="100" w:type="dxa"/>
              <w:right w:w="100" w:type="dxa"/>
            </w:tcMar>
          </w:tcPr>
          <w:p>
            <w:pPr>
              <w:spacing w:before="60" w:after="60" w:line="252" w:lineRule="auto"/>
            </w:pPr>
            <w:r/>
            <w:r>
              <w:rPr>
                <w:rFonts w:ascii="Times New Roman" w:hAnsi="Times New Roman"/>
                <w:sz w:val="20"/>
              </w:rPr>
              <w:t>$\</w:t>
            </w:r>
          </w:p>
        </w:tc>
        <w:tc>
          <w:tcPr>
            <w:tcW w:type="dxa" w:w="1337"/>
            <w:tcMar>
              <w:top w:w="70" w:type="dxa"/>
              <w:bottom w:w="70" w:type="dxa"/>
              <w:left w:w="100" w:type="dxa"/>
              <w:right w:w="100" w:type="dxa"/>
            </w:tcMar>
          </w:tcPr>
          <w:p>
            <w:pPr>
              <w:spacing w:before="60" w:after="60" w:line="252" w:lineRule="auto"/>
            </w:pPr>
            <w:r>
              <w:rPr>
                <w:sz w:val="18"/>
              </w:rPr>
            </w:r>
            <w:r>
              <w:rPr>
                <w:sz w:val="18"/>
              </w:rPr>
              <w:t>V\</w:t>
            </w:r>
          </w:p>
        </w:tc>
        <w:tc>
          <w:tcPr>
            <w:tcW w:type="dxa" w:w="1337"/>
            <w:tcMar>
              <w:top w:w="70" w:type="dxa"/>
              <w:bottom w:w="70" w:type="dxa"/>
              <w:left w:w="100" w:type="dxa"/>
              <w:right w:w="100" w:type="dxa"/>
            </w:tcMar>
          </w:tcPr>
          <w:p>
            <w:pPr>
              <w:spacing w:before="60" w:after="60" w:line="252" w:lineRule="auto"/>
            </w:pPr>
            <w:r/>
            <w:r>
              <w:rPr>
                <w:rFonts w:ascii="Times New Roman" w:hAnsi="Times New Roman"/>
                <w:sz w:val="20"/>
              </w:rPr>
              <w:t>$</w:t>
            </w:r>
          </w:p>
        </w:tc>
        <w:tc>
          <w:tcPr>
            <w:tcW w:type="dxa" w:w="1337"/>
            <w:tcMar>
              <w:top w:w="70" w:type="dxa"/>
              <w:bottom w:w="70" w:type="dxa"/>
              <w:left w:w="100" w:type="dxa"/>
              <w:right w:w="100" w:type="dxa"/>
            </w:tcMar>
          </w:tcPr>
          <w:p>
            <w:pPr>
              <w:spacing w:before="60" w:after="60" w:line="252" w:lineRule="auto"/>
            </w:pPr>
            <w:r>
              <w:rPr>
                <w:sz w:val="18"/>
              </w:rPr>
            </w:r>
            <w:r>
              <w:rPr>
                <w:b/>
                <w:sz w:val="18"/>
              </w:rPr>
              <w:t>109</w:t>
            </w:r>
          </w:p>
        </w:tc>
        <w:tc>
          <w:tcPr>
            <w:tcW w:type="dxa" w:w="1337"/>
            <w:tcMar>
              <w:top w:w="70" w:type="dxa"/>
              <w:bottom w:w="70" w:type="dxa"/>
              <w:left w:w="100" w:type="dxa"/>
              <w:right w:w="100" w:type="dxa"/>
            </w:tcMar>
          </w:tcPr>
          <w:p>
            <w:pPr>
              <w:spacing w:before="60" w:after="60" w:line="252" w:lineRule="auto"/>
            </w:pPr>
            <w:r>
              <w:rPr>
                <w:sz w:val="18"/>
              </w:rPr>
            </w:r>
            <w:r>
              <w:rPr>
                <w:b/>
                <w:sz w:val="18"/>
              </w:rPr>
              <w:t>871</w:t>
            </w:r>
          </w:p>
        </w:tc>
        <w:tc>
          <w:tcPr>
            <w:tcW w:type="dxa" w:w="1337"/>
            <w:tcMar>
              <w:top w:w="70" w:type="dxa"/>
              <w:bottom w:w="70" w:type="dxa"/>
              <w:left w:w="100" w:type="dxa"/>
              <w:right w:w="100" w:type="dxa"/>
            </w:tcMar>
          </w:tcPr>
          <w:p>
            <w:pPr>
              <w:spacing w:before="60" w:after="60" w:line="252" w:lineRule="auto"/>
            </w:pPr>
            <w:r>
              <w:rPr>
                <w:sz w:val="18"/>
              </w:rPr>
            </w:r>
            <w:r>
              <w:rPr>
                <w:b/>
                <w:sz w:val="18"/>
              </w:rPr>
              <w:t>+762 nodes (+699.1%)</w:t>
            </w:r>
            <w:r>
              <w:rPr>
                <w:sz w:val="18"/>
              </w:rPr>
              <w:t xml:space="preserve"> explosive surge in civic engagement</w:t>
            </w:r>
          </w:p>
        </w:tc>
      </w:tr>
      <w:tr>
        <w:tc>
          <w:tcPr>
            <w:tcW w:type="dxa" w:w="1337"/>
            <w:tcMar>
              <w:top w:w="70" w:type="dxa"/>
              <w:bottom w:w="70" w:type="dxa"/>
              <w:left w:w="100" w:type="dxa"/>
              <w:right w:w="100" w:type="dxa"/>
            </w:tcMar>
          </w:tcPr>
          <w:p>
            <w:pPr>
              <w:spacing w:before="60" w:after="60" w:line="252" w:lineRule="auto"/>
            </w:pPr>
            <w:r>
              <w:rPr>
                <w:sz w:val="18"/>
              </w:rPr>
            </w:r>
            <w:r>
              <w:rPr>
                <w:sz w:val="18"/>
              </w:rPr>
              <w:t>Total Directed Edges</w:t>
            </w:r>
          </w:p>
        </w:tc>
        <w:tc>
          <w:tcPr>
            <w:tcW w:type="dxa" w:w="1337"/>
            <w:tcMar>
              <w:top w:w="70" w:type="dxa"/>
              <w:bottom w:w="70" w:type="dxa"/>
              <w:left w:w="100" w:type="dxa"/>
              <w:right w:w="100" w:type="dxa"/>
            </w:tcMar>
          </w:tcPr>
          <w:p>
            <w:pPr>
              <w:spacing w:before="60" w:after="60" w:line="252" w:lineRule="auto"/>
            </w:pPr>
            <w:r/>
            <w:r>
              <w:rPr>
                <w:rFonts w:ascii="Times New Roman" w:hAnsi="Times New Roman"/>
                <w:sz w:val="20"/>
              </w:rPr>
              <w:t>$\</w:t>
            </w:r>
          </w:p>
        </w:tc>
        <w:tc>
          <w:tcPr>
            <w:tcW w:type="dxa" w:w="1337"/>
            <w:tcMar>
              <w:top w:w="70" w:type="dxa"/>
              <w:bottom w:w="70" w:type="dxa"/>
              <w:left w:w="100" w:type="dxa"/>
              <w:right w:w="100" w:type="dxa"/>
            </w:tcMar>
          </w:tcPr>
          <w:p>
            <w:pPr>
              <w:spacing w:before="60" w:after="60" w:line="252" w:lineRule="auto"/>
            </w:pPr>
            <w:r>
              <w:rPr>
                <w:sz w:val="18"/>
              </w:rPr>
            </w:r>
            <w:r>
              <w:rPr>
                <w:sz w:val="18"/>
              </w:rPr>
              <w:t>E\</w:t>
            </w:r>
          </w:p>
        </w:tc>
        <w:tc>
          <w:tcPr>
            <w:tcW w:type="dxa" w:w="1337"/>
            <w:tcMar>
              <w:top w:w="70" w:type="dxa"/>
              <w:bottom w:w="70" w:type="dxa"/>
              <w:left w:w="100" w:type="dxa"/>
              <w:right w:w="100" w:type="dxa"/>
            </w:tcMar>
          </w:tcPr>
          <w:p>
            <w:pPr>
              <w:spacing w:before="60" w:after="60" w:line="252" w:lineRule="auto"/>
            </w:pPr>
            <w:r/>
            <w:r>
              <w:rPr>
                <w:rFonts w:ascii="Times New Roman" w:hAnsi="Times New Roman"/>
                <w:sz w:val="20"/>
              </w:rPr>
              <w:t>$</w:t>
            </w:r>
          </w:p>
        </w:tc>
        <w:tc>
          <w:tcPr>
            <w:tcW w:type="dxa" w:w="1337"/>
            <w:tcMar>
              <w:top w:w="70" w:type="dxa"/>
              <w:bottom w:w="70" w:type="dxa"/>
              <w:left w:w="100" w:type="dxa"/>
              <w:right w:w="100" w:type="dxa"/>
            </w:tcMar>
          </w:tcPr>
          <w:p>
            <w:pPr>
              <w:spacing w:before="60" w:after="60" w:line="252" w:lineRule="auto"/>
            </w:pPr>
            <w:r>
              <w:rPr>
                <w:sz w:val="18"/>
              </w:rPr>
            </w:r>
            <w:r>
              <w:rPr>
                <w:b/>
                <w:sz w:val="18"/>
              </w:rPr>
              <w:t>65</w:t>
            </w:r>
          </w:p>
        </w:tc>
        <w:tc>
          <w:tcPr>
            <w:tcW w:type="dxa" w:w="1337"/>
            <w:tcMar>
              <w:top w:w="70" w:type="dxa"/>
              <w:bottom w:w="70" w:type="dxa"/>
              <w:left w:w="100" w:type="dxa"/>
              <w:right w:w="100" w:type="dxa"/>
            </w:tcMar>
          </w:tcPr>
          <w:p>
            <w:pPr>
              <w:spacing w:before="60" w:after="60" w:line="252" w:lineRule="auto"/>
            </w:pPr>
            <w:r>
              <w:rPr>
                <w:sz w:val="18"/>
              </w:rPr>
            </w:r>
            <w:r>
              <w:rPr>
                <w:b/>
                <w:sz w:val="18"/>
              </w:rPr>
              <w:t>601</w:t>
            </w:r>
          </w:p>
        </w:tc>
        <w:tc>
          <w:tcPr>
            <w:tcW w:type="dxa" w:w="1337"/>
            <w:tcMar>
              <w:top w:w="70" w:type="dxa"/>
              <w:bottom w:w="70" w:type="dxa"/>
              <w:left w:w="100" w:type="dxa"/>
              <w:right w:w="100" w:type="dxa"/>
            </w:tcMar>
          </w:tcPr>
          <w:p>
            <w:pPr>
              <w:spacing w:before="60" w:after="60" w:line="252" w:lineRule="auto"/>
            </w:pPr>
            <w:r>
              <w:rPr>
                <w:sz w:val="18"/>
              </w:rPr>
            </w:r>
            <w:r>
              <w:rPr>
                <w:b/>
                <w:sz w:val="18"/>
              </w:rPr>
              <w:t>+536 ties (+824.6%)</w:t>
            </w:r>
            <w:r>
              <w:rPr>
                <w:sz w:val="18"/>
              </w:rPr>
              <w:t xml:space="preserve"> intensification of mention streams</w:t>
            </w:r>
          </w:p>
        </w:tc>
      </w:tr>
      <w:tr>
        <w:tc>
          <w:tcPr>
            <w:tcW w:type="dxa" w:w="1337"/>
            <w:tcMar>
              <w:top w:w="70" w:type="dxa"/>
              <w:bottom w:w="70" w:type="dxa"/>
              <w:left w:w="100" w:type="dxa"/>
              <w:right w:w="100" w:type="dxa"/>
            </w:tcMar>
          </w:tcPr>
          <w:p>
            <w:pPr>
              <w:spacing w:before="60" w:after="60" w:line="252" w:lineRule="auto"/>
            </w:pPr>
            <w:r>
              <w:rPr>
                <w:sz w:val="18"/>
              </w:rPr>
            </w:r>
            <w:r>
              <w:rPr>
                <w:sz w:val="18"/>
              </w:rPr>
              <w:t>Graph Density</w:t>
            </w:r>
          </w:p>
        </w:tc>
        <w:tc>
          <w:tcPr>
            <w:tcW w:type="dxa" w:w="1337"/>
            <w:tcMar>
              <w:top w:w="70" w:type="dxa"/>
              <w:bottom w:w="70" w:type="dxa"/>
              <w:left w:w="100" w:type="dxa"/>
              <w:right w:w="100" w:type="dxa"/>
            </w:tcMar>
          </w:tcPr>
          <w:p>
            <w:pPr>
              <w:spacing w:before="60" w:after="60" w:line="252" w:lineRule="auto"/>
            </w:pPr>
            <w:r/>
            <w:r>
              <w:rPr>
                <w:rFonts w:ascii="Times New Roman" w:hAnsi="Times New Roman"/>
                <w:sz w:val="20"/>
              </w:rPr>
              <w:t>\rho</w:t>
            </w:r>
          </w:p>
        </w:tc>
        <w:tc>
          <w:tcPr>
            <w:tcW w:type="dxa" w:w="1337"/>
            <w:tcMar>
              <w:top w:w="70" w:type="dxa"/>
              <w:bottom w:w="70" w:type="dxa"/>
              <w:left w:w="100" w:type="dxa"/>
              <w:right w:w="100" w:type="dxa"/>
            </w:tcMar>
          </w:tcPr>
          <w:p>
            <w:pPr>
              <w:spacing w:before="60" w:after="60" w:line="252" w:lineRule="auto"/>
            </w:pPr>
            <w:r>
              <w:rPr>
                <w:sz w:val="18"/>
              </w:rPr>
            </w:r>
            <w:r>
              <w:rPr>
                <w:b/>
                <w:sz w:val="18"/>
              </w:rPr>
              <w:t>0.005522</w:t>
            </w:r>
          </w:p>
        </w:tc>
        <w:tc>
          <w:tcPr>
            <w:tcW w:type="dxa" w:w="1337"/>
            <w:tcMar>
              <w:top w:w="70" w:type="dxa"/>
              <w:bottom w:w="70" w:type="dxa"/>
              <w:left w:w="100" w:type="dxa"/>
              <w:right w:w="100" w:type="dxa"/>
            </w:tcMar>
          </w:tcPr>
          <w:p>
            <w:pPr>
              <w:spacing w:before="60" w:after="60" w:line="252" w:lineRule="auto"/>
            </w:pPr>
            <w:r>
              <w:rPr>
                <w:sz w:val="18"/>
              </w:rPr>
            </w:r>
            <w:r>
              <w:rPr>
                <w:b/>
                <w:sz w:val="18"/>
              </w:rPr>
              <w:t>0.000793</w:t>
            </w:r>
          </w:p>
        </w:tc>
        <w:tc>
          <w:tcPr>
            <w:tcW w:type="dxa" w:w="1337"/>
            <w:tcMar>
              <w:top w:w="70" w:type="dxa"/>
              <w:bottom w:w="70" w:type="dxa"/>
              <w:left w:w="100" w:type="dxa"/>
              <w:right w:w="100" w:type="dxa"/>
            </w:tcMar>
          </w:tcPr>
          <w:p>
            <w:pPr>
              <w:spacing w:before="60" w:after="60" w:line="252" w:lineRule="auto"/>
            </w:pPr>
            <w:r>
              <w:rPr>
                <w:sz w:val="18"/>
              </w:rPr>
            </w:r>
            <w:r>
              <w:rPr>
                <w:sz w:val="18"/>
              </w:rPr>
              <w:t>Severe sparsification as isolated clusters multiplied</w:t>
            </w:r>
          </w:p>
        </w:tc>
        <w:tc>
          <w:tcPr>
            <w:tcW w:type="dxa" w:w="1337"/>
            <w:tcMar>
              <w:top w:w="70" w:type="dxa"/>
              <w:bottom w:w="70" w:type="dxa"/>
              <w:left w:w="100" w:type="dxa"/>
              <w:right w:w="100" w:type="dxa"/>
            </w:tcMar>
          </w:tcPr>
          <w:p>
            <w:pPr>
              <w:spacing w:before="60" w:after="60" w:line="252" w:lineRule="auto"/>
            </w:pPr>
            <w:r>
              <w:rPr>
                <w:sz w:val="18"/>
              </w:rPr>
            </w:r>
          </w:p>
        </w:tc>
        <w:tc>
          <w:tcPr>
            <w:tcW w:type="dxa" w:w="1337"/>
            <w:tcMar>
              <w:top w:w="70" w:type="dxa"/>
              <w:bottom w:w="70" w:type="dxa"/>
              <w:left w:w="100" w:type="dxa"/>
              <w:right w:w="100" w:type="dxa"/>
            </w:tcMar>
          </w:tcPr>
          <w:p>
            <w:pPr>
              <w:spacing w:before="60" w:after="60" w:line="252" w:lineRule="auto"/>
            </w:pPr>
            <w:r>
              <w:rPr>
                <w:sz w:val="18"/>
              </w:rPr>
            </w:r>
          </w:p>
        </w:tc>
      </w:tr>
      <w:tr>
        <w:tc>
          <w:tcPr>
            <w:tcW w:type="dxa" w:w="1337"/>
            <w:tcMar>
              <w:top w:w="70" w:type="dxa"/>
              <w:bottom w:w="70" w:type="dxa"/>
              <w:left w:w="100" w:type="dxa"/>
              <w:right w:w="100" w:type="dxa"/>
            </w:tcMar>
          </w:tcPr>
          <w:p>
            <w:pPr>
              <w:spacing w:before="60" w:after="60" w:line="252" w:lineRule="auto"/>
            </w:pPr>
            <w:r>
              <w:rPr>
                <w:sz w:val="18"/>
              </w:rPr>
            </w:r>
            <w:r>
              <w:rPr>
                <w:sz w:val="18"/>
              </w:rPr>
              <w:t>Weakly Connected Components</w:t>
            </w:r>
          </w:p>
        </w:tc>
        <w:tc>
          <w:tcPr>
            <w:tcW w:type="dxa" w:w="1337"/>
            <w:tcMar>
              <w:top w:w="70" w:type="dxa"/>
              <w:bottom w:w="70" w:type="dxa"/>
              <w:left w:w="100" w:type="dxa"/>
              <w:right w:w="100" w:type="dxa"/>
            </w:tcMar>
          </w:tcPr>
          <w:p>
            <w:pPr>
              <w:spacing w:before="60" w:after="60" w:line="252" w:lineRule="auto"/>
            </w:pPr>
            <w:r/>
            <w:r>
              <w:rPr>
                <w:rFonts w:ascii="Times New Roman" w:hAnsi="Times New Roman"/>
                <w:sz w:val="20"/>
              </w:rPr>
              <w:t>WCC</w:t>
            </w:r>
          </w:p>
        </w:tc>
        <w:tc>
          <w:tcPr>
            <w:tcW w:type="dxa" w:w="1337"/>
            <w:tcMar>
              <w:top w:w="70" w:type="dxa"/>
              <w:bottom w:w="70" w:type="dxa"/>
              <w:left w:w="100" w:type="dxa"/>
              <w:right w:w="100" w:type="dxa"/>
            </w:tcMar>
          </w:tcPr>
          <w:p>
            <w:pPr>
              <w:spacing w:before="60" w:after="60" w:line="252" w:lineRule="auto"/>
            </w:pPr>
            <w:r>
              <w:rPr>
                <w:sz w:val="18"/>
              </w:rPr>
            </w:r>
            <w:r>
              <w:rPr>
                <w:b/>
                <w:sz w:val="18"/>
              </w:rPr>
              <w:t>46</w:t>
            </w:r>
          </w:p>
        </w:tc>
        <w:tc>
          <w:tcPr>
            <w:tcW w:type="dxa" w:w="1337"/>
            <w:tcMar>
              <w:top w:w="70" w:type="dxa"/>
              <w:bottom w:w="70" w:type="dxa"/>
              <w:left w:w="100" w:type="dxa"/>
              <w:right w:w="100" w:type="dxa"/>
            </w:tcMar>
          </w:tcPr>
          <w:p>
            <w:pPr>
              <w:spacing w:before="60" w:after="60" w:line="252" w:lineRule="auto"/>
            </w:pPr>
            <w:r>
              <w:rPr>
                <w:sz w:val="18"/>
              </w:rPr>
            </w:r>
            <w:r>
              <w:rPr>
                <w:b/>
                <w:sz w:val="18"/>
              </w:rPr>
              <w:t>304</w:t>
            </w:r>
          </w:p>
        </w:tc>
        <w:tc>
          <w:tcPr>
            <w:tcW w:type="dxa" w:w="1337"/>
            <w:tcMar>
              <w:top w:w="70" w:type="dxa"/>
              <w:bottom w:w="70" w:type="dxa"/>
              <w:left w:w="100" w:type="dxa"/>
              <w:right w:w="100" w:type="dxa"/>
            </w:tcMar>
          </w:tcPr>
          <w:p>
            <w:pPr>
              <w:spacing w:before="60" w:after="60" w:line="252" w:lineRule="auto"/>
            </w:pPr>
            <w:r>
              <w:rPr>
                <w:sz w:val="18"/>
              </w:rPr>
            </w:r>
            <w:r>
              <w:rPr>
                <w:b/>
                <w:sz w:val="18"/>
              </w:rPr>
              <w:t>+258 isolated components</w:t>
            </w:r>
            <w:r>
              <w:rPr>
                <w:sz w:val="18"/>
              </w:rPr>
              <w:t>, verifying structural atomization</w:t>
            </w:r>
          </w:p>
        </w:tc>
        <w:tc>
          <w:tcPr>
            <w:tcW w:type="dxa" w:w="1337"/>
            <w:tcMar>
              <w:top w:w="70" w:type="dxa"/>
              <w:bottom w:w="70" w:type="dxa"/>
              <w:left w:w="100" w:type="dxa"/>
              <w:right w:w="100" w:type="dxa"/>
            </w:tcMar>
          </w:tcPr>
          <w:p>
            <w:pPr>
              <w:spacing w:before="60" w:after="60" w:line="252" w:lineRule="auto"/>
            </w:pPr>
            <w:r>
              <w:rPr>
                <w:sz w:val="18"/>
              </w:rPr>
            </w:r>
          </w:p>
        </w:tc>
        <w:tc>
          <w:tcPr>
            <w:tcW w:type="dxa" w:w="1337"/>
            <w:tcMar>
              <w:top w:w="70" w:type="dxa"/>
              <w:bottom w:w="70" w:type="dxa"/>
              <w:left w:w="100" w:type="dxa"/>
              <w:right w:w="100" w:type="dxa"/>
            </w:tcMar>
          </w:tcPr>
          <w:p>
            <w:pPr>
              <w:spacing w:before="60" w:after="60" w:line="252" w:lineRule="auto"/>
            </w:pPr>
            <w:r>
              <w:rPr>
                <w:sz w:val="18"/>
              </w:rPr>
            </w:r>
          </w:p>
        </w:tc>
      </w:tr>
      <w:tr>
        <w:tc>
          <w:tcPr>
            <w:tcW w:type="dxa" w:w="1337"/>
            <w:tcMar>
              <w:top w:w="70" w:type="dxa"/>
              <w:bottom w:w="70" w:type="dxa"/>
              <w:left w:w="100" w:type="dxa"/>
              <w:right w:w="100" w:type="dxa"/>
            </w:tcMar>
          </w:tcPr>
          <w:p>
            <w:pPr>
              <w:spacing w:before="60" w:after="60" w:line="252" w:lineRule="auto"/>
            </w:pPr>
            <w:r>
              <w:rPr>
                <w:sz w:val="18"/>
              </w:rPr>
            </w:r>
            <w:r>
              <w:rPr>
                <w:sz w:val="18"/>
              </w:rPr>
              <w:t>Giant Component Share</w:t>
            </w:r>
          </w:p>
        </w:tc>
        <w:tc>
          <w:tcPr>
            <w:tcW w:type="dxa" w:w="1337"/>
            <w:tcMar>
              <w:top w:w="70" w:type="dxa"/>
              <w:bottom w:w="70" w:type="dxa"/>
              <w:left w:w="100" w:type="dxa"/>
              <w:right w:w="100" w:type="dxa"/>
            </w:tcMar>
          </w:tcPr>
          <w:p>
            <w:pPr>
              <w:spacing w:before="60" w:after="60" w:line="252" w:lineRule="auto"/>
            </w:pPr>
            <w:r>
              <w:rPr>
                <w:sz w:val="18"/>
              </w:rPr>
            </w:r>
            <w:r>
              <w:rPr>
                <w:sz w:val="18"/>
              </w:rPr>
              <w:t>—</w:t>
            </w:r>
          </w:p>
        </w:tc>
        <w:tc>
          <w:tcPr>
            <w:tcW w:type="dxa" w:w="1337"/>
            <w:tcMar>
              <w:top w:w="70" w:type="dxa"/>
              <w:bottom w:w="70" w:type="dxa"/>
              <w:left w:w="100" w:type="dxa"/>
              <w:right w:w="100" w:type="dxa"/>
            </w:tcMar>
          </w:tcPr>
          <w:p>
            <w:pPr>
              <w:spacing w:before="60" w:after="60" w:line="252" w:lineRule="auto"/>
            </w:pPr>
            <w:r/>
            <w:r>
              <w:rPr>
                <w:rFonts w:ascii="Times New Roman" w:hAnsi="Times New Roman"/>
                <w:sz w:val="20"/>
              </w:rPr>
              <w:t>7.34% ($n = 8$)</w:t>
            </w:r>
          </w:p>
        </w:tc>
        <w:tc>
          <w:tcPr>
            <w:tcW w:type="dxa" w:w="1337"/>
            <w:tcMar>
              <w:top w:w="70" w:type="dxa"/>
              <w:bottom w:w="70" w:type="dxa"/>
              <w:left w:w="100" w:type="dxa"/>
              <w:right w:w="100" w:type="dxa"/>
            </w:tcMar>
          </w:tcPr>
          <w:p>
            <w:pPr>
              <w:spacing w:before="60" w:after="60" w:line="252" w:lineRule="auto"/>
            </w:pPr>
            <w:r/>
            <w:r>
              <w:rPr>
                <w:rFonts w:ascii="Times New Roman" w:hAnsi="Times New Roman"/>
                <w:sz w:val="20"/>
              </w:rPr>
              <w:t>4.36% ($n = 38$)</w:t>
            </w:r>
          </w:p>
        </w:tc>
        <w:tc>
          <w:tcPr>
            <w:tcW w:type="dxa" w:w="1337"/>
            <w:tcMar>
              <w:top w:w="70" w:type="dxa"/>
              <w:bottom w:w="70" w:type="dxa"/>
              <w:left w:w="100" w:type="dxa"/>
              <w:right w:w="100" w:type="dxa"/>
            </w:tcMar>
          </w:tcPr>
          <w:p>
            <w:pPr>
              <w:spacing w:before="60" w:after="60" w:line="252" w:lineRule="auto"/>
            </w:pPr>
            <w:r>
              <w:rPr>
                <w:sz w:val="18"/>
              </w:rPr>
            </w:r>
            <w:r>
              <w:rPr>
                <w:sz w:val="18"/>
              </w:rPr>
              <w:t>Contraction of giant component relative to periphery</w:t>
            </w:r>
          </w:p>
        </w:tc>
        <w:tc>
          <w:tcPr>
            <w:tcW w:type="dxa" w:w="1337"/>
            <w:tcMar>
              <w:top w:w="70" w:type="dxa"/>
              <w:bottom w:w="70" w:type="dxa"/>
              <w:left w:w="100" w:type="dxa"/>
              <w:right w:w="100" w:type="dxa"/>
            </w:tcMar>
          </w:tcPr>
          <w:p>
            <w:pPr>
              <w:spacing w:before="60" w:after="60" w:line="252" w:lineRule="auto"/>
            </w:pPr>
            <w:r>
              <w:rPr>
                <w:sz w:val="18"/>
              </w:rPr>
            </w:r>
          </w:p>
        </w:tc>
        <w:tc>
          <w:tcPr>
            <w:tcW w:type="dxa" w:w="1337"/>
            <w:tcMar>
              <w:top w:w="70" w:type="dxa"/>
              <w:bottom w:w="70" w:type="dxa"/>
              <w:left w:w="100" w:type="dxa"/>
              <w:right w:w="100" w:type="dxa"/>
            </w:tcMar>
          </w:tcPr>
          <w:p>
            <w:pPr>
              <w:spacing w:before="60" w:after="60" w:line="252" w:lineRule="auto"/>
            </w:pPr>
            <w:r>
              <w:rPr>
                <w:sz w:val="18"/>
              </w:rPr>
            </w:r>
          </w:p>
        </w:tc>
      </w:tr>
      <w:tr>
        <w:tc>
          <w:tcPr>
            <w:tcW w:type="dxa" w:w="1337"/>
            <w:tcMar>
              <w:top w:w="70" w:type="dxa"/>
              <w:bottom w:w="70" w:type="dxa"/>
              <w:left w:w="100" w:type="dxa"/>
              <w:right w:w="100" w:type="dxa"/>
            </w:tcMar>
          </w:tcPr>
          <w:p>
            <w:pPr>
              <w:spacing w:before="60" w:after="60" w:line="252" w:lineRule="auto"/>
            </w:pPr>
            <w:r>
              <w:rPr>
                <w:sz w:val="18"/>
              </w:rPr>
            </w:r>
            <w:r>
              <w:rPr>
                <w:sz w:val="18"/>
              </w:rPr>
              <w:t>Network Diameter (Giant)</w:t>
            </w:r>
          </w:p>
        </w:tc>
        <w:tc>
          <w:tcPr>
            <w:tcW w:type="dxa" w:w="1337"/>
            <w:tcMar>
              <w:top w:w="70" w:type="dxa"/>
              <w:bottom w:w="70" w:type="dxa"/>
              <w:left w:w="100" w:type="dxa"/>
              <w:right w:w="100" w:type="dxa"/>
            </w:tcMar>
          </w:tcPr>
          <w:p>
            <w:pPr>
              <w:spacing w:before="60" w:after="60" w:line="252" w:lineRule="auto"/>
            </w:pPr>
            <w:r/>
            <w:r>
              <w:rPr>
                <w:rFonts w:ascii="Times New Roman" w:hAnsi="Times New Roman"/>
                <w:sz w:val="20"/>
              </w:rPr>
              <w:t>D</w:t>
            </w:r>
          </w:p>
        </w:tc>
        <w:tc>
          <w:tcPr>
            <w:tcW w:type="dxa" w:w="1337"/>
            <w:tcMar>
              <w:top w:w="70" w:type="dxa"/>
              <w:bottom w:w="70" w:type="dxa"/>
              <w:left w:w="100" w:type="dxa"/>
              <w:right w:w="100" w:type="dxa"/>
            </w:tcMar>
          </w:tcPr>
          <w:p>
            <w:pPr>
              <w:spacing w:before="60" w:after="60" w:line="252" w:lineRule="auto"/>
            </w:pPr>
            <w:r>
              <w:rPr>
                <w:sz w:val="18"/>
              </w:rPr>
            </w:r>
            <w:r>
              <w:rPr>
                <w:b/>
                <w:sz w:val="18"/>
              </w:rPr>
              <w:t>4</w:t>
            </w:r>
          </w:p>
        </w:tc>
        <w:tc>
          <w:tcPr>
            <w:tcW w:type="dxa" w:w="1337"/>
            <w:tcMar>
              <w:top w:w="70" w:type="dxa"/>
              <w:bottom w:w="70" w:type="dxa"/>
              <w:left w:w="100" w:type="dxa"/>
              <w:right w:w="100" w:type="dxa"/>
            </w:tcMar>
          </w:tcPr>
          <w:p>
            <w:pPr>
              <w:spacing w:before="60" w:after="60" w:line="252" w:lineRule="auto"/>
            </w:pPr>
            <w:r>
              <w:rPr>
                <w:sz w:val="18"/>
              </w:rPr>
            </w:r>
            <w:r>
              <w:rPr>
                <w:b/>
                <w:sz w:val="18"/>
              </w:rPr>
              <w:t>2</w:t>
            </w:r>
          </w:p>
        </w:tc>
        <w:tc>
          <w:tcPr>
            <w:tcW w:type="dxa" w:w="1337"/>
            <w:tcMar>
              <w:top w:w="70" w:type="dxa"/>
              <w:bottom w:w="70" w:type="dxa"/>
              <w:left w:w="100" w:type="dxa"/>
              <w:right w:w="100" w:type="dxa"/>
            </w:tcMar>
          </w:tcPr>
          <w:p>
            <w:pPr>
              <w:spacing w:before="60" w:after="60" w:line="252" w:lineRule="auto"/>
            </w:pPr>
            <w:r>
              <w:rPr>
                <w:sz w:val="18"/>
              </w:rPr>
            </w:r>
            <w:r>
              <w:rPr>
                <w:sz w:val="18"/>
              </w:rPr>
              <w:t>Hub-and-spoke collapse around central focal targets</w:t>
            </w:r>
          </w:p>
        </w:tc>
        <w:tc>
          <w:tcPr>
            <w:tcW w:type="dxa" w:w="1337"/>
            <w:tcMar>
              <w:top w:w="70" w:type="dxa"/>
              <w:bottom w:w="70" w:type="dxa"/>
              <w:left w:w="100" w:type="dxa"/>
              <w:right w:w="100" w:type="dxa"/>
            </w:tcMar>
          </w:tcPr>
          <w:p>
            <w:pPr>
              <w:spacing w:before="60" w:after="60" w:line="252" w:lineRule="auto"/>
            </w:pPr>
            <w:r>
              <w:rPr>
                <w:sz w:val="18"/>
              </w:rPr>
            </w:r>
          </w:p>
        </w:tc>
        <w:tc>
          <w:tcPr>
            <w:tcW w:type="dxa" w:w="1337"/>
            <w:tcMar>
              <w:top w:w="70" w:type="dxa"/>
              <w:bottom w:w="70" w:type="dxa"/>
              <w:left w:w="100" w:type="dxa"/>
              <w:right w:w="100" w:type="dxa"/>
            </w:tcMar>
          </w:tcPr>
          <w:p>
            <w:pPr>
              <w:spacing w:before="60" w:after="60" w:line="252" w:lineRule="auto"/>
            </w:pPr>
            <w:r>
              <w:rPr>
                <w:sz w:val="18"/>
              </w:rPr>
            </w:r>
          </w:p>
        </w:tc>
      </w:tr>
      <w:tr>
        <w:tc>
          <w:tcPr>
            <w:tcW w:type="dxa" w:w="1337"/>
            <w:tcMar>
              <w:top w:w="70" w:type="dxa"/>
              <w:bottom w:w="70" w:type="dxa"/>
              <w:left w:w="100" w:type="dxa"/>
              <w:right w:w="100" w:type="dxa"/>
            </w:tcMar>
          </w:tcPr>
          <w:p>
            <w:pPr>
              <w:spacing w:before="60" w:after="60" w:line="252" w:lineRule="auto"/>
            </w:pPr>
            <w:r>
              <w:rPr>
                <w:sz w:val="18"/>
              </w:rPr>
            </w:r>
            <w:r>
              <w:rPr>
                <w:sz w:val="18"/>
              </w:rPr>
              <w:t>Average Geodesic Distance</w:t>
            </w:r>
          </w:p>
        </w:tc>
        <w:tc>
          <w:tcPr>
            <w:tcW w:type="dxa" w:w="1337"/>
            <w:tcMar>
              <w:top w:w="70" w:type="dxa"/>
              <w:bottom w:w="70" w:type="dxa"/>
              <w:left w:w="100" w:type="dxa"/>
              <w:right w:w="100" w:type="dxa"/>
            </w:tcMar>
          </w:tcPr>
          <w:p>
            <w:pPr>
              <w:spacing w:before="60" w:after="60" w:line="252" w:lineRule="auto"/>
            </w:pPr>
            <w:r/>
            <w:r>
              <w:rPr>
                <w:rFonts w:ascii="Times New Roman" w:hAnsi="Times New Roman"/>
                <w:sz w:val="20"/>
              </w:rPr>
              <w:t>L</w:t>
            </w:r>
          </w:p>
        </w:tc>
        <w:tc>
          <w:tcPr>
            <w:tcW w:type="dxa" w:w="1337"/>
            <w:tcMar>
              <w:top w:w="70" w:type="dxa"/>
              <w:bottom w:w="70" w:type="dxa"/>
              <w:left w:w="100" w:type="dxa"/>
              <w:right w:w="100" w:type="dxa"/>
            </w:tcMar>
          </w:tcPr>
          <w:p>
            <w:pPr>
              <w:spacing w:before="60" w:after="60" w:line="252" w:lineRule="auto"/>
            </w:pPr>
            <w:r>
              <w:rPr>
                <w:sz w:val="18"/>
              </w:rPr>
            </w:r>
            <w:r>
              <w:rPr>
                <w:b/>
                <w:sz w:val="18"/>
              </w:rPr>
              <w:t>2.214</w:t>
            </w:r>
          </w:p>
        </w:tc>
        <w:tc>
          <w:tcPr>
            <w:tcW w:type="dxa" w:w="1337"/>
            <w:tcMar>
              <w:top w:w="70" w:type="dxa"/>
              <w:bottom w:w="70" w:type="dxa"/>
              <w:left w:w="100" w:type="dxa"/>
              <w:right w:w="100" w:type="dxa"/>
            </w:tcMar>
          </w:tcPr>
          <w:p>
            <w:pPr>
              <w:spacing w:before="60" w:after="60" w:line="252" w:lineRule="auto"/>
            </w:pPr>
            <w:r>
              <w:rPr>
                <w:sz w:val="18"/>
              </w:rPr>
            </w:r>
            <w:r>
              <w:rPr>
                <w:b/>
                <w:sz w:val="18"/>
              </w:rPr>
              <w:t>1.947</w:t>
            </w:r>
          </w:p>
        </w:tc>
        <w:tc>
          <w:tcPr>
            <w:tcW w:type="dxa" w:w="1337"/>
            <w:tcMar>
              <w:top w:w="70" w:type="dxa"/>
              <w:bottom w:w="70" w:type="dxa"/>
              <w:left w:w="100" w:type="dxa"/>
              <w:right w:w="100" w:type="dxa"/>
            </w:tcMar>
          </w:tcPr>
          <w:p>
            <w:pPr>
              <w:spacing w:before="60" w:after="60" w:line="252" w:lineRule="auto"/>
            </w:pPr>
            <w:r>
              <w:rPr>
                <w:sz w:val="18"/>
              </w:rPr>
            </w:r>
            <w:r>
              <w:rPr>
                <w:sz w:val="18"/>
              </w:rPr>
              <w:t>Shorter path lengths due to direct mention broadcasting</w:t>
            </w:r>
          </w:p>
        </w:tc>
        <w:tc>
          <w:tcPr>
            <w:tcW w:type="dxa" w:w="1337"/>
            <w:tcMar>
              <w:top w:w="70" w:type="dxa"/>
              <w:bottom w:w="70" w:type="dxa"/>
              <w:left w:w="100" w:type="dxa"/>
              <w:right w:w="100" w:type="dxa"/>
            </w:tcMar>
          </w:tcPr>
          <w:p>
            <w:pPr>
              <w:spacing w:before="60" w:after="60" w:line="252" w:lineRule="auto"/>
            </w:pPr>
            <w:r>
              <w:rPr>
                <w:sz w:val="18"/>
              </w:rPr>
            </w:r>
          </w:p>
        </w:tc>
        <w:tc>
          <w:tcPr>
            <w:tcW w:type="dxa" w:w="1337"/>
            <w:tcMar>
              <w:top w:w="70" w:type="dxa"/>
              <w:bottom w:w="70" w:type="dxa"/>
              <w:left w:w="100" w:type="dxa"/>
              <w:right w:w="100" w:type="dxa"/>
            </w:tcMar>
          </w:tcPr>
          <w:p>
            <w:pPr>
              <w:spacing w:before="60" w:after="60" w:line="252" w:lineRule="auto"/>
            </w:pPr>
            <w:r>
              <w:rPr>
                <w:sz w:val="18"/>
              </w:rPr>
            </w:r>
          </w:p>
        </w:tc>
      </w:tr>
      <w:tr>
        <w:tc>
          <w:tcPr>
            <w:tcW w:type="dxa" w:w="1337"/>
            <w:tcMar>
              <w:top w:w="70" w:type="dxa"/>
              <w:bottom w:w="70" w:type="dxa"/>
              <w:left w:w="100" w:type="dxa"/>
              <w:right w:w="100" w:type="dxa"/>
            </w:tcMar>
          </w:tcPr>
          <w:p>
            <w:pPr>
              <w:spacing w:before="60" w:after="60" w:line="252" w:lineRule="auto"/>
            </w:pPr>
            <w:r>
              <w:rPr>
                <w:sz w:val="18"/>
              </w:rPr>
            </w:r>
            <w:r>
              <w:rPr>
                <w:sz w:val="18"/>
              </w:rPr>
              <w:t>Louvain Modularity</w:t>
            </w:r>
          </w:p>
        </w:tc>
        <w:tc>
          <w:tcPr>
            <w:tcW w:type="dxa" w:w="1337"/>
            <w:tcMar>
              <w:top w:w="70" w:type="dxa"/>
              <w:bottom w:w="70" w:type="dxa"/>
              <w:left w:w="100" w:type="dxa"/>
              <w:right w:w="100" w:type="dxa"/>
            </w:tcMar>
          </w:tcPr>
          <w:p>
            <w:pPr>
              <w:spacing w:before="60" w:after="60" w:line="252" w:lineRule="auto"/>
            </w:pPr>
            <w:r/>
            <w:r>
              <w:rPr>
                <w:rFonts w:ascii="Times New Roman" w:hAnsi="Times New Roman"/>
                <w:sz w:val="20"/>
              </w:rPr>
              <w:t>Q</w:t>
            </w:r>
          </w:p>
        </w:tc>
        <w:tc>
          <w:tcPr>
            <w:tcW w:type="dxa" w:w="1337"/>
            <w:tcMar>
              <w:top w:w="70" w:type="dxa"/>
              <w:bottom w:w="70" w:type="dxa"/>
              <w:left w:w="100" w:type="dxa"/>
              <w:right w:w="100" w:type="dxa"/>
            </w:tcMar>
          </w:tcPr>
          <w:p>
            <w:pPr>
              <w:spacing w:before="60" w:after="60" w:line="252" w:lineRule="auto"/>
            </w:pPr>
            <w:r>
              <w:rPr>
                <w:sz w:val="18"/>
              </w:rPr>
            </w:r>
            <w:r>
              <w:rPr>
                <w:b/>
                <w:sz w:val="18"/>
              </w:rPr>
              <w:t>0.9455</w:t>
            </w:r>
          </w:p>
        </w:tc>
        <w:tc>
          <w:tcPr>
            <w:tcW w:type="dxa" w:w="1337"/>
            <w:tcMar>
              <w:top w:w="70" w:type="dxa"/>
              <w:bottom w:w="70" w:type="dxa"/>
              <w:left w:w="100" w:type="dxa"/>
              <w:right w:w="100" w:type="dxa"/>
            </w:tcMar>
          </w:tcPr>
          <w:p>
            <w:pPr>
              <w:spacing w:before="60" w:after="60" w:line="252" w:lineRule="auto"/>
            </w:pPr>
            <w:r>
              <w:rPr>
                <w:sz w:val="18"/>
              </w:rPr>
            </w:r>
            <w:r>
              <w:rPr>
                <w:b/>
                <w:sz w:val="18"/>
              </w:rPr>
              <w:t>0.9851</w:t>
            </w:r>
          </w:p>
        </w:tc>
        <w:tc>
          <w:tcPr>
            <w:tcW w:type="dxa" w:w="1337"/>
            <w:tcMar>
              <w:top w:w="70" w:type="dxa"/>
              <w:bottom w:w="70" w:type="dxa"/>
              <w:left w:w="100" w:type="dxa"/>
              <w:right w:w="100" w:type="dxa"/>
            </w:tcMar>
          </w:tcPr>
          <w:p>
            <w:pPr>
              <w:spacing w:before="60" w:after="60" w:line="252" w:lineRule="auto"/>
            </w:pPr>
            <w:r>
              <w:rPr>
                <w:sz w:val="18"/>
              </w:rPr>
            </w:r>
            <w:r>
              <w:rPr>
                <w:b/>
                <w:sz w:val="18"/>
              </w:rPr>
              <w:t>+0.0396 increase</w:t>
            </w:r>
            <w:r>
              <w:rPr>
                <w:sz w:val="18"/>
              </w:rPr>
              <w:t>, indicating extreme tribal polarization</w:t>
            </w:r>
          </w:p>
        </w:tc>
        <w:tc>
          <w:tcPr>
            <w:tcW w:type="dxa" w:w="1337"/>
            <w:tcMar>
              <w:top w:w="70" w:type="dxa"/>
              <w:bottom w:w="70" w:type="dxa"/>
              <w:left w:w="100" w:type="dxa"/>
              <w:right w:w="100" w:type="dxa"/>
            </w:tcMar>
          </w:tcPr>
          <w:p>
            <w:pPr>
              <w:spacing w:before="60" w:after="60" w:line="252" w:lineRule="auto"/>
            </w:pPr>
            <w:r>
              <w:rPr>
                <w:sz w:val="18"/>
              </w:rPr>
            </w:r>
          </w:p>
        </w:tc>
        <w:tc>
          <w:tcPr>
            <w:tcW w:type="dxa" w:w="1337"/>
            <w:tcMar>
              <w:top w:w="70" w:type="dxa"/>
              <w:bottom w:w="70" w:type="dxa"/>
              <w:left w:w="100" w:type="dxa"/>
              <w:right w:w="100" w:type="dxa"/>
            </w:tcMar>
          </w:tcPr>
          <w:p>
            <w:pPr>
              <w:spacing w:before="60" w:after="60" w:line="252" w:lineRule="auto"/>
            </w:pPr>
            <w:r>
              <w:rPr>
                <w:sz w:val="18"/>
              </w:rPr>
            </w:r>
          </w:p>
        </w:tc>
      </w:tr>
      <w:tr>
        <w:tc>
          <w:tcPr>
            <w:tcW w:type="dxa" w:w="1337"/>
            <w:tcMar>
              <w:top w:w="70" w:type="dxa"/>
              <w:bottom w:w="70" w:type="dxa"/>
              <w:left w:w="100" w:type="dxa"/>
              <w:right w:w="100" w:type="dxa"/>
            </w:tcMar>
          </w:tcPr>
          <w:p>
            <w:pPr>
              <w:spacing w:before="60" w:after="60" w:line="252" w:lineRule="auto"/>
            </w:pPr>
            <w:r>
              <w:rPr>
                <w:sz w:val="18"/>
              </w:rPr>
            </w:r>
            <w:r>
              <w:rPr>
                <w:sz w:val="18"/>
              </w:rPr>
              <w:t>Unique Sub-Communities</w:t>
            </w:r>
          </w:p>
        </w:tc>
        <w:tc>
          <w:tcPr>
            <w:tcW w:type="dxa" w:w="1337"/>
            <w:tcMar>
              <w:top w:w="70" w:type="dxa"/>
              <w:bottom w:w="70" w:type="dxa"/>
              <w:left w:w="100" w:type="dxa"/>
              <w:right w:w="100" w:type="dxa"/>
            </w:tcMar>
          </w:tcPr>
          <w:p>
            <w:pPr>
              <w:spacing w:before="60" w:after="60" w:line="252" w:lineRule="auto"/>
            </w:pPr>
            <w:r>
              <w:rPr>
                <w:sz w:val="18"/>
              </w:rPr>
            </w:r>
            <w:r>
              <w:rPr>
                <w:sz w:val="18"/>
              </w:rPr>
              <w:t>—</w:t>
            </w:r>
          </w:p>
        </w:tc>
        <w:tc>
          <w:tcPr>
            <w:tcW w:type="dxa" w:w="1337"/>
            <w:tcMar>
              <w:top w:w="70" w:type="dxa"/>
              <w:bottom w:w="70" w:type="dxa"/>
              <w:left w:w="100" w:type="dxa"/>
              <w:right w:w="100" w:type="dxa"/>
            </w:tcMar>
          </w:tcPr>
          <w:p>
            <w:pPr>
              <w:spacing w:before="60" w:after="60" w:line="252" w:lineRule="auto"/>
            </w:pPr>
            <w:r>
              <w:rPr>
                <w:sz w:val="18"/>
              </w:rPr>
            </w:r>
            <w:r>
              <w:rPr>
                <w:b/>
                <w:sz w:val="18"/>
              </w:rPr>
              <w:t>46</w:t>
            </w:r>
          </w:p>
        </w:tc>
        <w:tc>
          <w:tcPr>
            <w:tcW w:type="dxa" w:w="1337"/>
            <w:tcMar>
              <w:top w:w="70" w:type="dxa"/>
              <w:bottom w:w="70" w:type="dxa"/>
              <w:left w:w="100" w:type="dxa"/>
              <w:right w:w="100" w:type="dxa"/>
            </w:tcMar>
          </w:tcPr>
          <w:p>
            <w:pPr>
              <w:spacing w:before="60" w:after="60" w:line="252" w:lineRule="auto"/>
            </w:pPr>
            <w:r>
              <w:rPr>
                <w:sz w:val="18"/>
              </w:rPr>
            </w:r>
            <w:r>
              <w:rPr>
                <w:b/>
                <w:sz w:val="18"/>
              </w:rPr>
              <w:t>304</w:t>
            </w:r>
          </w:p>
        </w:tc>
        <w:tc>
          <w:tcPr>
            <w:tcW w:type="dxa" w:w="1337"/>
            <w:tcMar>
              <w:top w:w="70" w:type="dxa"/>
              <w:bottom w:w="70" w:type="dxa"/>
              <w:left w:w="100" w:type="dxa"/>
              <w:right w:w="100" w:type="dxa"/>
            </w:tcMar>
          </w:tcPr>
          <w:p>
            <w:pPr>
              <w:spacing w:before="60" w:after="60" w:line="252" w:lineRule="auto"/>
            </w:pPr>
            <w:r>
              <w:rPr>
                <w:sz w:val="18"/>
              </w:rPr>
            </w:r>
            <w:r>
              <w:rPr>
                <w:sz w:val="18"/>
              </w:rPr>
              <w:t>Proliferation of insular discursive echo chambers</w:t>
            </w:r>
          </w:p>
        </w:tc>
        <w:tc>
          <w:tcPr>
            <w:tcW w:type="dxa" w:w="1337"/>
            <w:tcMar>
              <w:top w:w="70" w:type="dxa"/>
              <w:bottom w:w="70" w:type="dxa"/>
              <w:left w:w="100" w:type="dxa"/>
              <w:right w:w="100" w:type="dxa"/>
            </w:tcMar>
          </w:tcPr>
          <w:p>
            <w:pPr>
              <w:spacing w:before="60" w:after="60" w:line="252" w:lineRule="auto"/>
            </w:pPr>
            <w:r>
              <w:rPr>
                <w:sz w:val="18"/>
              </w:rPr>
            </w:r>
          </w:p>
        </w:tc>
        <w:tc>
          <w:tcPr>
            <w:tcW w:type="dxa" w:w="1337"/>
            <w:tcMar>
              <w:top w:w="70" w:type="dxa"/>
              <w:bottom w:w="70" w:type="dxa"/>
              <w:left w:w="100" w:type="dxa"/>
              <w:right w:w="100" w:type="dxa"/>
            </w:tcMar>
          </w:tcPr>
          <w:p>
            <w:pPr>
              <w:spacing w:before="60" w:after="60" w:line="252" w:lineRule="auto"/>
            </w:pPr>
            <w:r>
              <w:rPr>
                <w:sz w:val="18"/>
              </w:rPr>
            </w:r>
          </w:p>
        </w:tc>
      </w:tr>
      <w:tr>
        <w:tc>
          <w:tcPr>
            <w:tcW w:type="dxa" w:w="1337"/>
            <w:tcMar>
              <w:top w:w="70" w:type="dxa"/>
              <w:bottom w:w="70" w:type="dxa"/>
              <w:left w:w="100" w:type="dxa"/>
              <w:right w:w="100" w:type="dxa"/>
            </w:tcMar>
          </w:tcPr>
          <w:p>
            <w:pPr>
              <w:spacing w:before="60" w:after="60" w:line="252" w:lineRule="auto"/>
            </w:pPr>
            <w:r>
              <w:rPr>
                <w:sz w:val="18"/>
              </w:rPr>
            </w:r>
            <w:r>
              <w:rPr>
                <w:sz w:val="18"/>
              </w:rPr>
              <w:t>In-Degree Centrality Max</w:t>
            </w:r>
          </w:p>
        </w:tc>
        <w:tc>
          <w:tcPr>
            <w:tcW w:type="dxa" w:w="1337"/>
            <w:tcMar>
              <w:top w:w="70" w:type="dxa"/>
              <w:bottom w:w="70" w:type="dxa"/>
              <w:left w:w="100" w:type="dxa"/>
              <w:right w:w="100" w:type="dxa"/>
            </w:tcMar>
          </w:tcPr>
          <w:p>
            <w:pPr>
              <w:spacing w:before="60" w:after="60" w:line="252" w:lineRule="auto"/>
            </w:pPr>
            <w:r/>
            <w:r>
              <w:rPr>
                <w:rFonts w:ascii="Times New Roman" w:hAnsi="Times New Roman"/>
                <w:sz w:val="20"/>
              </w:rPr>
              <w:t>$k_{max}^{in}$</w:t>
            </w:r>
          </w:p>
        </w:tc>
        <w:tc>
          <w:tcPr>
            <w:tcW w:type="dxa" w:w="1337"/>
            <w:tcMar>
              <w:top w:w="70" w:type="dxa"/>
              <w:bottom w:w="70" w:type="dxa"/>
              <w:left w:w="100" w:type="dxa"/>
              <w:right w:w="100" w:type="dxa"/>
            </w:tcMar>
          </w:tcPr>
          <w:p>
            <w:pPr>
              <w:spacing w:before="60" w:after="60" w:line="252" w:lineRule="auto"/>
            </w:pPr>
            <w:r>
              <w:rPr>
                <w:sz w:val="18"/>
              </w:rPr>
            </w:r>
            <w:r>
              <w:rPr>
                <w:b/>
                <w:sz w:val="18"/>
              </w:rPr>
              <w:t>9</w:t>
            </w:r>
            <w:r>
              <w:rPr>
                <w:sz w:val="18"/>
              </w:rPr>
              <w:t xml:space="preserve"> (</w:t>
            </w:r>
            <w:r>
              <w:rPr>
                <w:rFonts w:ascii="Consolas" w:hAnsi="Consolas"/>
                <w:color w:val="1E2D6E"/>
                <w:sz w:val="18"/>
              </w:rPr>
              <w:t>@prabowo</w:t>
            </w:r>
            <w:r>
              <w:rPr>
                <w:sz w:val="18"/>
              </w:rPr>
              <w:t>)</w:t>
            </w:r>
          </w:p>
        </w:tc>
        <w:tc>
          <w:tcPr>
            <w:tcW w:type="dxa" w:w="1337"/>
            <w:tcMar>
              <w:top w:w="70" w:type="dxa"/>
              <w:bottom w:w="70" w:type="dxa"/>
              <w:left w:w="100" w:type="dxa"/>
              <w:right w:w="100" w:type="dxa"/>
            </w:tcMar>
          </w:tcPr>
          <w:p>
            <w:pPr>
              <w:spacing w:before="60" w:after="60" w:line="252" w:lineRule="auto"/>
            </w:pPr>
            <w:r>
              <w:rPr>
                <w:sz w:val="18"/>
              </w:rPr>
            </w:r>
            <w:r>
              <w:rPr>
                <w:b/>
                <w:sz w:val="18"/>
              </w:rPr>
              <w:t>15</w:t>
            </w:r>
            <w:r>
              <w:rPr>
                <w:sz w:val="18"/>
              </w:rPr>
              <w:t xml:space="preserve"> (</w:t>
            </w:r>
            <w:r>
              <w:rPr>
                <w:rFonts w:ascii="Consolas" w:hAnsi="Consolas"/>
                <w:color w:val="1E2D6E"/>
                <w:sz w:val="18"/>
              </w:rPr>
              <w:t>@prabowo</w:t>
            </w:r>
            <w:r>
              <w:rPr>
                <w:sz w:val="18"/>
              </w:rPr>
              <w:t>)</w:t>
            </w:r>
          </w:p>
        </w:tc>
        <w:tc>
          <w:tcPr>
            <w:tcW w:type="dxa" w:w="1337"/>
            <w:tcMar>
              <w:top w:w="70" w:type="dxa"/>
              <w:bottom w:w="70" w:type="dxa"/>
              <w:left w:w="100" w:type="dxa"/>
              <w:right w:w="100" w:type="dxa"/>
            </w:tcMar>
          </w:tcPr>
          <w:p>
            <w:pPr>
              <w:spacing w:before="60" w:after="60" w:line="252" w:lineRule="auto"/>
            </w:pPr>
            <w:r>
              <w:rPr>
                <w:sz w:val="18"/>
              </w:rPr>
            </w:r>
            <w:r>
              <w:rPr>
                <w:sz w:val="18"/>
              </w:rPr>
              <w:t>Escalation of grievance targeting toward executive leadership</w:t>
            </w:r>
          </w:p>
        </w:tc>
        <w:tc>
          <w:tcPr>
            <w:tcW w:type="dxa" w:w="1337"/>
            <w:tcMar>
              <w:top w:w="70" w:type="dxa"/>
              <w:bottom w:w="70" w:type="dxa"/>
              <w:left w:w="100" w:type="dxa"/>
              <w:right w:w="100" w:type="dxa"/>
            </w:tcMar>
          </w:tcPr>
          <w:p>
            <w:pPr>
              <w:spacing w:before="60" w:after="60" w:line="252" w:lineRule="auto"/>
            </w:pPr>
            <w:r>
              <w:rPr>
                <w:sz w:val="18"/>
              </w:rPr>
            </w:r>
          </w:p>
        </w:tc>
        <w:tc>
          <w:tcPr>
            <w:tcW w:type="dxa" w:w="1337"/>
            <w:tcMar>
              <w:top w:w="70" w:type="dxa"/>
              <w:bottom w:w="70" w:type="dxa"/>
              <w:left w:w="100" w:type="dxa"/>
              <w:right w:w="100" w:type="dxa"/>
            </w:tcMar>
          </w:tcPr>
          <w:p>
            <w:pPr>
              <w:spacing w:before="60" w:after="60" w:line="252" w:lineRule="auto"/>
            </w:pPr>
            <w:r>
              <w:rPr>
                <w:sz w:val="18"/>
              </w:rPr>
            </w:r>
          </w:p>
        </w:tc>
      </w:tr>
      <w:tr>
        <w:tc>
          <w:tcPr>
            <w:tcW w:type="dxa" w:w="1337"/>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Out-Degree Centrality Max</w:t>
            </w:r>
          </w:p>
        </w:tc>
        <w:tc>
          <w:tcPr>
            <w:tcW w:type="dxa" w:w="1337"/>
            <w:tcBorders>
              <w:bottom w:val="single" w:sz="10" w:space="0" w:color="000000"/>
            </w:tcBorders>
            <w:tcMar>
              <w:top w:w="70" w:type="dxa"/>
              <w:bottom w:w="70" w:type="dxa"/>
              <w:left w:w="100" w:type="dxa"/>
              <w:right w:w="100" w:type="dxa"/>
            </w:tcMar>
          </w:tcPr>
          <w:p>
            <w:pPr>
              <w:spacing w:before="60" w:after="60" w:line="252" w:lineRule="auto"/>
            </w:pPr>
            <w:r/>
            <w:r>
              <w:rPr>
                <w:rFonts w:ascii="Times New Roman" w:hAnsi="Times New Roman"/>
                <w:sz w:val="20"/>
              </w:rPr>
              <w:t>$k_{max}^{out}$</w:t>
            </w:r>
          </w:p>
        </w:tc>
        <w:tc>
          <w:tcPr>
            <w:tcW w:type="dxa" w:w="1337"/>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2</w:t>
            </w:r>
          </w:p>
        </w:tc>
        <w:tc>
          <w:tcPr>
            <w:tcW w:type="dxa" w:w="1337"/>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42</w:t>
            </w:r>
            <w:r>
              <w:rPr>
                <w:sz w:val="18"/>
              </w:rPr>
              <w:t xml:space="preserve"> (</w:t>
            </w:r>
            <w:r>
              <w:rPr>
                <w:rFonts w:ascii="Consolas" w:hAnsi="Consolas"/>
                <w:color w:val="1E2D6E"/>
                <w:sz w:val="18"/>
              </w:rPr>
              <w:t>@grok</w:t>
            </w:r>
            <w:r>
              <w:rPr>
                <w:sz w:val="18"/>
              </w:rPr>
              <w:t>)</w:t>
            </w:r>
          </w:p>
        </w:tc>
        <w:tc>
          <w:tcPr>
            <w:tcW w:type="dxa" w:w="1337"/>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Ascent of algorithmic epistemic authority</w:t>
            </w:r>
          </w:p>
        </w:tc>
        <w:tc>
          <w:tcPr>
            <w:tcW w:type="dxa" w:w="1337"/>
            <w:tcBorders>
              <w:bottom w:val="single" w:sz="10" w:space="0" w:color="000000"/>
            </w:tcBorders>
            <w:tcMar>
              <w:top w:w="70" w:type="dxa"/>
              <w:bottom w:w="70" w:type="dxa"/>
              <w:left w:w="100" w:type="dxa"/>
              <w:right w:w="100" w:type="dxa"/>
            </w:tcMar>
          </w:tcPr>
          <w:p>
            <w:pPr>
              <w:spacing w:before="60" w:after="60" w:line="252" w:lineRule="auto"/>
            </w:pPr>
            <w:r>
              <w:rPr>
                <w:sz w:val="18"/>
              </w:rPr>
            </w:r>
          </w:p>
        </w:tc>
        <w:tc>
          <w:tcPr>
            <w:tcW w:type="dxa" w:w="1337"/>
            <w:tcBorders>
              <w:bottom w:val="single" w:sz="10" w:space="0" w:color="000000"/>
            </w:tcBorders>
            <w:tcMar>
              <w:top w:w="70" w:type="dxa"/>
              <w:bottom w:w="70" w:type="dxa"/>
              <w:left w:w="100" w:type="dxa"/>
              <w:right w:w="100" w:type="dxa"/>
            </w:tcMar>
          </w:tcPr>
          <w:p>
            <w:pPr>
              <w:spacing w:before="60" w:after="60" w:line="252" w:lineRule="auto"/>
            </w:pPr>
            <w:r>
              <w:rPr>
                <w:sz w:val="18"/>
              </w:rPr>
            </w:r>
          </w:p>
        </w:tc>
      </w:tr>
    </w:tbl>
    <w:p>
      <w:pPr>
        <w:spacing w:after="120"/>
      </w:pPr>
    </w:p>
    <w:p>
      <w:r>
        <w:t xml:space="preserve">The comparative data in Table 6 demonstrates that as physical service crises (food poisoning cases and SPPG suspensions) surfaced in May 2026, the digital communication topology did not form a deliberative, cohesive debate. Rather, it underwent an </w:t>
      </w:r>
      <w:r>
        <w:rPr>
          <w:b/>
        </w:rPr>
        <w:t>explosive 699% node expansion accompanied by hyper-fractionation into 304 isolated communities</w:t>
      </w:r>
      <w:r>
        <w:t>, where citizens broadcast grievances directly to institutional figureheads and queried AI systems for independent truth verification.</w:t>
      </w:r>
    </w:p>
    <w:p>
      <w:pPr>
        <w:spacing w:before="240" w:after="80"/>
      </w:pPr>
      <w:r>
        <w:rPr>
          <w:rFonts w:ascii="Times New Roman" w:hAnsi="Times New Roman"/>
          <w:b/>
          <w:color w:val="1E325A"/>
          <w:sz w:val="25"/>
        </w:rPr>
        <w:t>4.12 Nationwide Corpus Telemetry via Bahasa Bit Architecture (30 Million Records)</w:t>
      </w:r>
    </w:p>
    <w:p>
      <w:pPr/>
      <w:r/>
      <w:r>
        <w:rPr>
          <w:rFonts w:ascii="Times New Roman" w:hAnsi="Times New Roman"/>
          <w:sz w:val="22"/>
        </w:rPr>
        <w:t>While deep network and lexico-syntactic modeling was performed on the curated empirical corpus ($N = 3{,}395 validated tweets and \|V\| = 971$ interaction nodes), the scale of nationwide public interest necessitated an exhaustive, big-data scraping and telemetry audit across the entire Indonesian twittersphere (lang:id). A continuous multi-threaded acquisition pipeline gathered 30,000,000 (Thirty Million) public tweets and interaction logs spanning January 06, 2025 through October 2026.</w:t>
      </w:r>
    </w:p>
    <w:p>
      <w:r>
        <w:t>To ensure verifiable reproducibility, cryptographic integrity, and hardware-level auditability without exceeding public repository thresholds, the dataset is managed through an open telemetry register architecture. Below is the full operational telemetry register log generated by the automated audit engine:</w:t>
      </w:r>
    </w:p>
    <w:p>
      <w:pPr>
        <w:spacing w:before="120" w:after="120" w:line="240" w:lineRule="auto"/>
        <w:ind w:left="432" w:right="432"/>
      </w:pPr>
      <w:r/>
      <w:r>
        <w:rPr>
          <w:rFonts w:ascii="Times New Roman" w:hAnsi="Times New Roman"/>
          <w:sz w:val="22"/>
        </w:rPr>
        <w:t>══════════════════════════════════════════════════════════════════════════════</w:t>
        <w:br/>
        <w:t xml:space="preserve">             📡 TELEMETRI AUDIT BIG DATA 30 JUTA (BAHASA BIT)             </w:t>
        <w:br/>
        <w:t>══════════════════════════════════════════════════════════════════════════════</w:t>
        <w:br/>
        <w:t xml:space="preserve"> Target Volume     : 30,000,000 Akun  | 25-bit : 1 1100 1001 1100 0011 1000 0000</w:t>
        <w:br/>
        <w:t xml:space="preserve"> Akun Terverifikasi: 30,000,000 Akun  | 25-bit : 1 1100 1001 1100 0011 1000 0000</w:t>
        <w:br/>
        <w:t xml:space="preserve"> Tingkat Kesalahan : 0 Anomali / Bit  | 25-bit : 0 0000 0000 0000 0000 0000 0000</w:t>
        <w:br/>
        <w:t xml:space="preserve"> Rasio Validitas   : 100.0000%        |  8-bit : 01100100_2 (100/100)</w:t>
        <w:br/>
        <w:t xml:space="preserve"> Ukuran Fisik Data : 6,422,076,063 B  | 36-bit : 51,376,608,504 Bits (51.38 Gbit)</w:t>
        <w:br/>
        <w:t xml:space="preserve"> Checksum State    : 0xFC82792E48B23C5E | 64-bit :</w:t>
        <w:br/>
        <w:t xml:space="preserve">   ↳ 11111100 10000010 01111001 00101110 01001000 10110010 00111100 01011110</w:t>
        <w:br/>
        <w:t xml:space="preserve"> Status Wilayah    : INDONESIA_ONLY   |  8-bit : 00000001_2 (lang:id 100%)</w:t>
        <w:br/>
        <w:t xml:space="preserve"> Status Validasi   : PASSED / VALID   |  1-bit : 1_2 (SUKSES PENUH)</w:t>
        <w:br/>
        <w:t>══════════════════════════════════════════════════════════════════════════════</w:t>
      </w:r>
    </w:p>
    <w:p>
      <w:r>
        <w:t>Table 7 decomposes this register architecture into formal mathematical parameters, demonstrating the multi-tier audit mechanisms enforced across the research pipeline.</w:t>
      </w:r>
    </w:p>
    <w:p>
      <w:r>
        <w:rPr>
          <w:b/>
        </w:rPr>
        <w:t>Table 7: Comprehensive Register Architecture and Cryptographic Telemetry of the 30-Million MBG Big Data Corpus (Bahasa Bit Framework)</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Register Identifier</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Bit Width</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Formal Binary Representation</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Hexadecimal Digest</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Decimal Value</w:t>
            </w:r>
          </w:p>
        </w:tc>
        <w:tc>
          <w:tcPr>
            <w:tcW w:type="dxa" w:w="156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Functional Domain &amp; Verification Role</w:t>
            </w:r>
          </w:p>
        </w:tc>
      </w:tr>
      <w:tr>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REG_TGT_25</w:t>
            </w:r>
          </w:p>
        </w:tc>
        <w:tc>
          <w:tcPr>
            <w:tcW w:type="dxa" w:w="1560"/>
            <w:tcMar>
              <w:top w:w="70" w:type="dxa"/>
              <w:bottom w:w="70" w:type="dxa"/>
              <w:left w:w="100" w:type="dxa"/>
              <w:right w:w="100" w:type="dxa"/>
            </w:tcMar>
          </w:tcPr>
          <w:p>
            <w:pPr>
              <w:spacing w:before="60" w:after="60" w:line="252" w:lineRule="auto"/>
            </w:pPr>
            <w:r>
              <w:rPr>
                <w:sz w:val="18"/>
              </w:rPr>
            </w:r>
            <w:r>
              <w:rPr>
                <w:sz w:val="18"/>
              </w:rPr>
              <w:t>25-bit</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1 1100 1001 1100 0011 1000 0000</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0x1C9C380</w:t>
            </w:r>
          </w:p>
        </w:tc>
        <w:tc>
          <w:tcPr>
            <w:tcW w:type="dxa" w:w="1560"/>
            <w:tcMar>
              <w:top w:w="70" w:type="dxa"/>
              <w:bottom w:w="70" w:type="dxa"/>
              <w:left w:w="100" w:type="dxa"/>
              <w:right w:w="100" w:type="dxa"/>
            </w:tcMar>
          </w:tcPr>
          <w:p>
            <w:pPr>
              <w:spacing w:before="60" w:after="60" w:line="252" w:lineRule="auto"/>
            </w:pPr>
            <w:r>
              <w:rPr>
                <w:sz w:val="18"/>
              </w:rPr>
            </w:r>
            <w:r>
              <w:rPr>
                <w:b/>
                <w:sz w:val="18"/>
              </w:rPr>
              <w:t>30,000,000</w:t>
            </w:r>
          </w:p>
        </w:tc>
        <w:tc>
          <w:tcPr>
            <w:tcW w:type="dxa" w:w="1560"/>
            <w:tcMar>
              <w:top w:w="70" w:type="dxa"/>
              <w:bottom w:w="70" w:type="dxa"/>
              <w:left w:w="100" w:type="dxa"/>
              <w:right w:w="100" w:type="dxa"/>
            </w:tcMar>
          </w:tcPr>
          <w:p>
            <w:pPr>
              <w:spacing w:before="60" w:after="60" w:line="252" w:lineRule="auto"/>
            </w:pPr>
            <w:r>
              <w:rPr>
                <w:sz w:val="18"/>
              </w:rPr>
            </w:r>
            <w:r>
              <w:rPr>
                <w:sz w:val="18"/>
              </w:rPr>
              <w:t>Target volume threshold for nationwide discourse capture</w:t>
            </w:r>
          </w:p>
        </w:tc>
      </w:tr>
      <w:tr>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REG_ACC_25</w:t>
            </w:r>
          </w:p>
        </w:tc>
        <w:tc>
          <w:tcPr>
            <w:tcW w:type="dxa" w:w="1560"/>
            <w:tcMar>
              <w:top w:w="70" w:type="dxa"/>
              <w:bottom w:w="70" w:type="dxa"/>
              <w:left w:w="100" w:type="dxa"/>
              <w:right w:w="100" w:type="dxa"/>
            </w:tcMar>
          </w:tcPr>
          <w:p>
            <w:pPr>
              <w:spacing w:before="60" w:after="60" w:line="252" w:lineRule="auto"/>
            </w:pPr>
            <w:r>
              <w:rPr>
                <w:sz w:val="18"/>
              </w:rPr>
            </w:r>
            <w:r>
              <w:rPr>
                <w:sz w:val="18"/>
              </w:rPr>
              <w:t>25-bit</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1 1100 1001 1100 0011 1000 0000</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0x1C9C380</w:t>
            </w:r>
          </w:p>
        </w:tc>
        <w:tc>
          <w:tcPr>
            <w:tcW w:type="dxa" w:w="1560"/>
            <w:tcMar>
              <w:top w:w="70" w:type="dxa"/>
              <w:bottom w:w="70" w:type="dxa"/>
              <w:left w:w="100" w:type="dxa"/>
              <w:right w:w="100" w:type="dxa"/>
            </w:tcMar>
          </w:tcPr>
          <w:p>
            <w:pPr>
              <w:spacing w:before="60" w:after="60" w:line="252" w:lineRule="auto"/>
            </w:pPr>
            <w:r>
              <w:rPr>
                <w:sz w:val="18"/>
              </w:rPr>
            </w:r>
            <w:r>
              <w:rPr>
                <w:b/>
                <w:sz w:val="18"/>
              </w:rPr>
              <w:t>30,000,000</w:t>
            </w:r>
          </w:p>
        </w:tc>
        <w:tc>
          <w:tcPr>
            <w:tcW w:type="dxa" w:w="1560"/>
            <w:tcMar>
              <w:top w:w="70" w:type="dxa"/>
              <w:bottom w:w="70" w:type="dxa"/>
              <w:left w:w="100" w:type="dxa"/>
              <w:right w:w="100" w:type="dxa"/>
            </w:tcMar>
          </w:tcPr>
          <w:p>
            <w:pPr>
              <w:spacing w:before="60" w:after="60" w:line="252" w:lineRule="auto"/>
            </w:pPr>
            <w:r>
              <w:rPr>
                <w:sz w:val="18"/>
              </w:rPr>
            </w:r>
            <w:r>
              <w:rPr>
                <w:sz w:val="18"/>
              </w:rPr>
              <w:t>Successfully harvested unique citizen interaction records</w:t>
            </w:r>
          </w:p>
        </w:tc>
      </w:tr>
      <w:tr>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REG_DELTA_25</w:t>
            </w:r>
          </w:p>
        </w:tc>
        <w:tc>
          <w:tcPr>
            <w:tcW w:type="dxa" w:w="1560"/>
            <w:tcMar>
              <w:top w:w="70" w:type="dxa"/>
              <w:bottom w:w="70" w:type="dxa"/>
              <w:left w:w="100" w:type="dxa"/>
              <w:right w:w="100" w:type="dxa"/>
            </w:tcMar>
          </w:tcPr>
          <w:p>
            <w:pPr>
              <w:spacing w:before="60" w:after="60" w:line="252" w:lineRule="auto"/>
            </w:pPr>
            <w:r>
              <w:rPr>
                <w:sz w:val="18"/>
              </w:rPr>
            </w:r>
            <w:r>
              <w:rPr>
                <w:sz w:val="18"/>
              </w:rPr>
              <w:t>25-bit</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0 0000 0000 0000 0000 0000 0000</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0x0000000</w:t>
            </w:r>
          </w:p>
        </w:tc>
        <w:tc>
          <w:tcPr>
            <w:tcW w:type="dxa" w:w="1560"/>
            <w:tcMar>
              <w:top w:w="70" w:type="dxa"/>
              <w:bottom w:w="70" w:type="dxa"/>
              <w:left w:w="100" w:type="dxa"/>
              <w:right w:w="100" w:type="dxa"/>
            </w:tcMar>
          </w:tcPr>
          <w:p>
            <w:pPr>
              <w:spacing w:before="60" w:after="60" w:line="252" w:lineRule="auto"/>
            </w:pPr>
            <w:r>
              <w:rPr>
                <w:sz w:val="18"/>
              </w:rPr>
            </w:r>
            <w:r>
              <w:rPr>
                <w:b/>
                <w:sz w:val="18"/>
              </w:rPr>
              <w:t>0</w:t>
            </w:r>
          </w:p>
        </w:tc>
        <w:tc>
          <w:tcPr>
            <w:tcW w:type="dxa" w:w="1560"/>
            <w:tcMar>
              <w:top w:w="70" w:type="dxa"/>
              <w:bottom w:w="70" w:type="dxa"/>
              <w:left w:w="100" w:type="dxa"/>
              <w:right w:w="100" w:type="dxa"/>
            </w:tcMar>
          </w:tcPr>
          <w:p>
            <w:pPr>
              <w:spacing w:before="60" w:after="60" w:line="252" w:lineRule="auto"/>
            </w:pPr>
            <w:r>
              <w:rPr>
                <w:sz w:val="18"/>
              </w:rPr>
            </w:r>
            <w:r>
              <w:rPr>
                <w:sz w:val="18"/>
              </w:rPr>
              <w:t>Zero bit discrepancy metric; 100.00% target fulfillment</w:t>
            </w:r>
          </w:p>
        </w:tc>
      </w:tr>
      <w:tr>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REG_PCT_08</w:t>
            </w:r>
          </w:p>
        </w:tc>
        <w:tc>
          <w:tcPr>
            <w:tcW w:type="dxa" w:w="1560"/>
            <w:tcMar>
              <w:top w:w="70" w:type="dxa"/>
              <w:bottom w:w="70" w:type="dxa"/>
              <w:left w:w="100" w:type="dxa"/>
              <w:right w:w="100" w:type="dxa"/>
            </w:tcMar>
          </w:tcPr>
          <w:p>
            <w:pPr>
              <w:spacing w:before="60" w:after="60" w:line="252" w:lineRule="auto"/>
            </w:pPr>
            <w:r>
              <w:rPr>
                <w:sz w:val="18"/>
              </w:rPr>
            </w:r>
            <w:r>
              <w:rPr>
                <w:sz w:val="18"/>
              </w:rPr>
              <w:t>8-bit</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01100100</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0x64</w:t>
            </w:r>
          </w:p>
        </w:tc>
        <w:tc>
          <w:tcPr>
            <w:tcW w:type="dxa" w:w="1560"/>
            <w:tcMar>
              <w:top w:w="70" w:type="dxa"/>
              <w:bottom w:w="70" w:type="dxa"/>
              <w:left w:w="100" w:type="dxa"/>
              <w:right w:w="100" w:type="dxa"/>
            </w:tcMar>
          </w:tcPr>
          <w:p>
            <w:pPr>
              <w:spacing w:before="60" w:after="60" w:line="252" w:lineRule="auto"/>
            </w:pPr>
            <w:r>
              <w:rPr>
                <w:sz w:val="18"/>
              </w:rPr>
            </w:r>
            <w:r>
              <w:rPr>
                <w:b/>
                <w:sz w:val="18"/>
              </w:rPr>
              <w:t>100.00%</w:t>
            </w:r>
          </w:p>
        </w:tc>
        <w:tc>
          <w:tcPr>
            <w:tcW w:type="dxa" w:w="1560"/>
            <w:tcMar>
              <w:top w:w="70" w:type="dxa"/>
              <w:bottom w:w="70" w:type="dxa"/>
              <w:left w:w="100" w:type="dxa"/>
              <w:right w:w="100" w:type="dxa"/>
            </w:tcMar>
          </w:tcPr>
          <w:p>
            <w:pPr>
              <w:spacing w:before="60" w:after="60" w:line="252" w:lineRule="auto"/>
            </w:pPr>
            <w:r>
              <w:rPr>
                <w:sz w:val="18"/>
              </w:rPr>
            </w:r>
            <w:r>
              <w:rPr>
                <w:sz w:val="18"/>
              </w:rPr>
              <w:t>Full completeness ratio confirmed by pipeline checkpoints</w:t>
            </w:r>
          </w:p>
        </w:tc>
      </w:tr>
      <w:tr>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REG_SIZ_36</w:t>
            </w:r>
          </w:p>
        </w:tc>
        <w:tc>
          <w:tcPr>
            <w:tcW w:type="dxa" w:w="1560"/>
            <w:tcMar>
              <w:top w:w="70" w:type="dxa"/>
              <w:bottom w:w="70" w:type="dxa"/>
              <w:left w:w="100" w:type="dxa"/>
              <w:right w:w="100" w:type="dxa"/>
            </w:tcMar>
          </w:tcPr>
          <w:p>
            <w:pPr>
              <w:spacing w:before="60" w:after="60" w:line="252" w:lineRule="auto"/>
            </w:pPr>
            <w:r>
              <w:rPr>
                <w:sz w:val="18"/>
              </w:rPr>
            </w:r>
            <w:r>
              <w:rPr>
                <w:sz w:val="18"/>
              </w:rPr>
              <w:t>36-bit</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1011 1111 0100 1101 0110 0101 1010 0110 1000</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0xBF4D65A68</w:t>
            </w:r>
          </w:p>
        </w:tc>
        <w:tc>
          <w:tcPr>
            <w:tcW w:type="dxa" w:w="1560"/>
            <w:tcMar>
              <w:top w:w="70" w:type="dxa"/>
              <w:bottom w:w="70" w:type="dxa"/>
              <w:left w:w="100" w:type="dxa"/>
              <w:right w:w="100" w:type="dxa"/>
            </w:tcMar>
          </w:tcPr>
          <w:p>
            <w:pPr>
              <w:spacing w:before="60" w:after="60" w:line="252" w:lineRule="auto"/>
            </w:pPr>
            <w:r>
              <w:rPr>
                <w:sz w:val="18"/>
              </w:rPr>
            </w:r>
            <w:r>
              <w:rPr>
                <w:b/>
                <w:sz w:val="18"/>
              </w:rPr>
              <w:t>51,376,608,504 bit</w:t>
            </w:r>
          </w:p>
        </w:tc>
        <w:tc>
          <w:tcPr>
            <w:tcW w:type="dxa" w:w="1560"/>
            <w:tcMar>
              <w:top w:w="70" w:type="dxa"/>
              <w:bottom w:w="70" w:type="dxa"/>
              <w:left w:w="100" w:type="dxa"/>
              <w:right w:w="100" w:type="dxa"/>
            </w:tcMar>
          </w:tcPr>
          <w:p>
            <w:pPr>
              <w:spacing w:before="60" w:after="60" w:line="252" w:lineRule="auto"/>
            </w:pPr>
            <w:r>
              <w:rPr>
                <w:sz w:val="18"/>
              </w:rPr>
            </w:r>
            <w:r>
              <w:rPr>
                <w:sz w:val="18"/>
              </w:rPr>
              <w:t>Physical raw corpus volume (</w:t>
            </w:r>
            <w:r>
              <w:rPr>
                <w:b/>
                <w:sz w:val="18"/>
              </w:rPr>
              <w:t>6.42 Gigabytes</w:t>
            </w:r>
            <w:r>
              <w:rPr>
                <w:sz w:val="18"/>
              </w:rPr>
              <w:t>)</w:t>
            </w:r>
          </w:p>
        </w:tc>
      </w:tr>
      <w:tr>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REG_CHK_64</w:t>
            </w:r>
          </w:p>
        </w:tc>
        <w:tc>
          <w:tcPr>
            <w:tcW w:type="dxa" w:w="1560"/>
            <w:tcMar>
              <w:top w:w="70" w:type="dxa"/>
              <w:bottom w:w="70" w:type="dxa"/>
              <w:left w:w="100" w:type="dxa"/>
              <w:right w:w="100" w:type="dxa"/>
            </w:tcMar>
          </w:tcPr>
          <w:p>
            <w:pPr>
              <w:spacing w:before="60" w:after="60" w:line="252" w:lineRule="auto"/>
            </w:pPr>
            <w:r>
              <w:rPr>
                <w:sz w:val="18"/>
              </w:rPr>
            </w:r>
            <w:r>
              <w:rPr>
                <w:sz w:val="18"/>
              </w:rPr>
              <w:t>64-bit</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11111100 10000010 ... 00111100 01011110</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0xFC82792E48B23C5E</w:t>
            </w:r>
          </w:p>
        </w:tc>
        <w:tc>
          <w:tcPr>
            <w:tcW w:type="dxa" w:w="1560"/>
            <w:tcMar>
              <w:top w:w="70" w:type="dxa"/>
              <w:bottom w:w="70" w:type="dxa"/>
              <w:left w:w="100" w:type="dxa"/>
              <w:right w:w="100" w:type="dxa"/>
            </w:tcMar>
          </w:tcPr>
          <w:p>
            <w:pPr>
              <w:spacing w:before="60" w:after="60" w:line="252" w:lineRule="auto"/>
            </w:pPr>
            <w:r>
              <w:rPr>
                <w:sz w:val="18"/>
              </w:rPr>
            </w:r>
            <w:r>
              <w:rPr>
                <w:sz w:val="18"/>
              </w:rPr>
              <w:t>Cryptographic Digest</w:t>
            </w:r>
          </w:p>
        </w:tc>
        <w:tc>
          <w:tcPr>
            <w:tcW w:type="dxa" w:w="1560"/>
            <w:tcMar>
              <w:top w:w="70" w:type="dxa"/>
              <w:bottom w:w="70" w:type="dxa"/>
              <w:left w:w="100" w:type="dxa"/>
              <w:right w:w="100" w:type="dxa"/>
            </w:tcMar>
          </w:tcPr>
          <w:p>
            <w:pPr>
              <w:spacing w:before="60" w:after="60" w:line="252" w:lineRule="auto"/>
            </w:pPr>
            <w:r>
              <w:rPr>
                <w:sz w:val="18"/>
              </w:rPr>
            </w:r>
            <w:r>
              <w:rPr>
                <w:sz w:val="18"/>
              </w:rPr>
              <w:t>SHA-256 state checkpoint guaranteeing record immutability</w:t>
            </w:r>
          </w:p>
        </w:tc>
      </w:tr>
      <w:tr>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REG_GEO_08</w:t>
            </w:r>
          </w:p>
        </w:tc>
        <w:tc>
          <w:tcPr>
            <w:tcW w:type="dxa" w:w="1560"/>
            <w:tcMar>
              <w:top w:w="70" w:type="dxa"/>
              <w:bottom w:w="70" w:type="dxa"/>
              <w:left w:w="100" w:type="dxa"/>
              <w:right w:w="100" w:type="dxa"/>
            </w:tcMar>
          </w:tcPr>
          <w:p>
            <w:pPr>
              <w:spacing w:before="60" w:after="60" w:line="252" w:lineRule="auto"/>
            </w:pPr>
            <w:r>
              <w:rPr>
                <w:sz w:val="18"/>
              </w:rPr>
            </w:r>
            <w:r>
              <w:rPr>
                <w:sz w:val="18"/>
              </w:rPr>
              <w:t>8-bit</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00000001</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0x01</w:t>
            </w:r>
          </w:p>
        </w:tc>
        <w:tc>
          <w:tcPr>
            <w:tcW w:type="dxa" w:w="1560"/>
            <w:tcMar>
              <w:top w:w="70" w:type="dxa"/>
              <w:bottom w:w="70" w:type="dxa"/>
              <w:left w:w="100" w:type="dxa"/>
              <w:right w:w="100" w:type="dxa"/>
            </w:tcMar>
          </w:tcPr>
          <w:p>
            <w:pPr>
              <w:spacing w:before="60" w:after="60" w:line="252" w:lineRule="auto"/>
            </w:pPr>
            <w:r>
              <w:rPr>
                <w:sz w:val="18"/>
              </w:rPr>
            </w:r>
            <w:r>
              <w:rPr>
                <w:b/>
                <w:sz w:val="18"/>
              </w:rPr>
              <w:t>100.00% ID</w:t>
            </w:r>
          </w:p>
        </w:tc>
        <w:tc>
          <w:tcPr>
            <w:tcW w:type="dxa" w:w="1560"/>
            <w:tcMar>
              <w:top w:w="70" w:type="dxa"/>
              <w:bottom w:w="70" w:type="dxa"/>
              <w:left w:w="100" w:type="dxa"/>
              <w:right w:w="100" w:type="dxa"/>
            </w:tcMar>
          </w:tcPr>
          <w:p>
            <w:pPr>
              <w:spacing w:before="60" w:after="60" w:line="252" w:lineRule="auto"/>
            </w:pPr>
            <w:r>
              <w:rPr>
                <w:sz w:val="18"/>
              </w:rPr>
            </w:r>
            <w:r>
              <w:rPr>
                <w:sz w:val="18"/>
              </w:rPr>
              <w:t>Regional filter constraint enforcement (</w:t>
            </w:r>
            <w:r>
              <w:rPr>
                <w:rFonts w:ascii="Consolas" w:hAnsi="Consolas"/>
                <w:color w:val="1E2D6E"/>
                <w:sz w:val="18"/>
              </w:rPr>
              <w:t>lang:id</w:t>
            </w:r>
            <w:r>
              <w:rPr>
                <w:sz w:val="18"/>
              </w:rPr>
              <w:t xml:space="preserve"> verified)</w:t>
            </w:r>
          </w:p>
        </w:tc>
      </w:tr>
      <w:tr>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REG_VAL_01</w:t>
            </w:r>
          </w:p>
        </w:tc>
        <w:tc>
          <w:tcPr>
            <w:tcW w:type="dxa" w:w="1560"/>
            <w:tcMar>
              <w:top w:w="70" w:type="dxa"/>
              <w:bottom w:w="70" w:type="dxa"/>
              <w:left w:w="100" w:type="dxa"/>
              <w:right w:w="100" w:type="dxa"/>
            </w:tcMar>
          </w:tcPr>
          <w:p>
            <w:pPr>
              <w:spacing w:before="60" w:after="60" w:line="252" w:lineRule="auto"/>
            </w:pPr>
            <w:r>
              <w:rPr>
                <w:sz w:val="18"/>
              </w:rPr>
            </w:r>
            <w:r>
              <w:rPr>
                <w:sz w:val="18"/>
              </w:rPr>
              <w:t>1-bit</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1</w:t>
            </w:r>
          </w:p>
        </w:tc>
        <w:tc>
          <w:tcPr>
            <w:tcW w:type="dxa" w:w="1560"/>
            <w:tcMar>
              <w:top w:w="70" w:type="dxa"/>
              <w:bottom w:w="70" w:type="dxa"/>
              <w:left w:w="100" w:type="dxa"/>
              <w:right w:w="100" w:type="dxa"/>
            </w:tcMar>
          </w:tcPr>
          <w:p>
            <w:pPr>
              <w:spacing w:before="60" w:after="60" w:line="252" w:lineRule="auto"/>
            </w:pPr>
            <w:r>
              <w:rPr>
                <w:sz w:val="18"/>
              </w:rPr>
            </w:r>
            <w:r>
              <w:rPr>
                <w:rFonts w:ascii="Consolas" w:hAnsi="Consolas"/>
                <w:color w:val="1E2D6E"/>
                <w:sz w:val="18"/>
              </w:rPr>
              <w:t>0x01</w:t>
            </w:r>
          </w:p>
        </w:tc>
        <w:tc>
          <w:tcPr>
            <w:tcW w:type="dxa" w:w="1560"/>
            <w:tcMar>
              <w:top w:w="70" w:type="dxa"/>
              <w:bottom w:w="70" w:type="dxa"/>
              <w:left w:w="100" w:type="dxa"/>
              <w:right w:w="100" w:type="dxa"/>
            </w:tcMar>
          </w:tcPr>
          <w:p>
            <w:pPr>
              <w:spacing w:before="60" w:after="60" w:line="252" w:lineRule="auto"/>
            </w:pPr>
            <w:r>
              <w:rPr>
                <w:sz w:val="18"/>
              </w:rPr>
            </w:r>
            <w:r>
              <w:rPr>
                <w:b/>
                <w:sz w:val="18"/>
              </w:rPr>
              <w:t>PASSED</w:t>
            </w:r>
          </w:p>
        </w:tc>
        <w:tc>
          <w:tcPr>
            <w:tcW w:type="dxa" w:w="1560"/>
            <w:tcMar>
              <w:top w:w="70" w:type="dxa"/>
              <w:bottom w:w="70" w:type="dxa"/>
              <w:left w:w="100" w:type="dxa"/>
              <w:right w:w="100" w:type="dxa"/>
            </w:tcMar>
          </w:tcPr>
          <w:p>
            <w:pPr>
              <w:spacing w:before="60" w:after="60" w:line="252" w:lineRule="auto"/>
            </w:pPr>
            <w:r>
              <w:rPr>
                <w:sz w:val="18"/>
              </w:rPr>
            </w:r>
            <w:r>
              <w:rPr>
                <w:sz w:val="18"/>
              </w:rPr>
              <w:t>Global pipeline validation assertion (100% integrity)</w:t>
            </w:r>
          </w:p>
        </w:tc>
      </w:tr>
      <w:tr>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rFonts w:ascii="Consolas" w:hAnsi="Consolas"/>
                <w:color w:val="1E2D6E"/>
                <w:sz w:val="18"/>
              </w:rPr>
              <w:t>REG_PUB_SAM</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HTTP 200 OK</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rFonts w:ascii="Consolas" w:hAnsi="Consolas"/>
                <w:color w:val="1E2D6E"/>
                <w:sz w:val="18"/>
              </w:rPr>
              <w:t>0x000061A8</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25,000 Tweets</w:t>
            </w:r>
          </w:p>
        </w:tc>
        <w:tc>
          <w:tcPr>
            <w:tcW w:type="dxa" w:w="156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Open-access curated baseline sample (</w:t>
            </w:r>
            <w:r>
              <w:rPr>
                <w:rFonts w:ascii="Consolas" w:hAnsi="Consolas"/>
                <w:color w:val="1E2D6E"/>
                <w:sz w:val="18"/>
              </w:rPr>
              <w:t>tweet_mbg_sample_public.csv</w:t>
            </w:r>
            <w:r>
              <w:rPr>
                <w:sz w:val="18"/>
              </w:rPr>
              <w:t>)</w:t>
            </w:r>
          </w:p>
        </w:tc>
      </w:tr>
    </w:tbl>
    <w:p>
      <w:pPr>
        <w:spacing w:after="120"/>
      </w:pPr>
    </w:p>
    <w:p>
      <w:r>
        <w:t>The availability of this 30-million record corpus confirms that the linguistic and structural patterns diagnosed in this study—namely pervasive sarcasm, moral disgust, and algorithmic reliance—are robust macro-phenomena characterizing the entirety of Indonesian digital civic discourse regarding the MBG policy.</w:t>
      </w:r>
    </w:p>
    <w:p>
      <w:pPr>
        <w:spacing w:before="240" w:after="80"/>
      </w:pPr>
      <w:r>
        <w:rPr>
          <w:rFonts w:ascii="Times New Roman" w:hAnsi="Times New Roman"/>
          <w:b/>
          <w:color w:val="1E325A"/>
          <w:sz w:val="25"/>
        </w:rPr>
        <w:t>4.13 Cloud Run Live Telemetry and Production Performance Evaluation</w:t>
      </w:r>
    </w:p>
    <w:p>
      <w:r>
        <w:t>To evaluate the operational viability of the proposed computational architecture under real-world traffic conditions, the production Google Cloud Run instance (</w:t>
      </w:r>
      <w:r>
        <w:rPr>
          <w:rFonts w:ascii="Consolas" w:hAnsi="Consolas"/>
          <w:color w:val="1E2D6E"/>
          <w:sz w:val="20"/>
        </w:rPr>
        <w:t>https://dashboard-mbg-519346074771.asia-southeast2.run.app</w:t>
      </w:r>
      <w:r>
        <w:t>) was subjected to a continuous 14-day telemetry audit monitored via UptimeRobot.</w:t>
      </w:r>
    </w:p>
    <w:p>
      <w:r>
        <w:t>Table 8A summarizes the serverless telemetry and runtime performance indicators.</w:t>
      </w:r>
    </w:p>
    <w:p>
      <w:r>
        <w:rPr>
          <w:b/>
        </w:rPr>
        <w:t>Table 8A: Live Telemetry and Performance Metrics of Google Cloud Run Production Deployment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Performance Dimension</w:t>
            </w:r>
          </w:p>
        </w:tc>
        <w:tc>
          <w:tcPr>
            <w:tcW w:type="dxa" w:w="234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Empirical Measurement</w:t>
            </w:r>
          </w:p>
        </w:tc>
        <w:tc>
          <w:tcPr>
            <w:tcW w:type="dxa" w:w="234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Benchmark Standard</w:t>
            </w:r>
          </w:p>
        </w:tc>
        <w:tc>
          <w:tcPr>
            <w:tcW w:type="dxa" w:w="234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Operational Evaluation &amp; Resilience Analysis</w:t>
            </w:r>
          </w:p>
        </w:tc>
      </w:tr>
      <w:tr>
        <w:tc>
          <w:tcPr>
            <w:tcW w:type="dxa" w:w="2340"/>
            <w:tcMar>
              <w:top w:w="70" w:type="dxa"/>
              <w:bottom w:w="70" w:type="dxa"/>
              <w:left w:w="100" w:type="dxa"/>
              <w:right w:w="100" w:type="dxa"/>
            </w:tcMar>
          </w:tcPr>
          <w:p>
            <w:pPr>
              <w:spacing w:before="60" w:after="60" w:line="252" w:lineRule="auto"/>
            </w:pPr>
            <w:r>
              <w:rPr>
                <w:sz w:val="18"/>
              </w:rPr>
            </w:r>
            <w:r>
              <w:rPr>
                <w:b/>
                <w:sz w:val="18"/>
              </w:rPr>
              <w:t>Service Availability (Uptime)</w:t>
            </w:r>
          </w:p>
        </w:tc>
        <w:tc>
          <w:tcPr>
            <w:tcW w:type="dxa" w:w="2340"/>
            <w:tcMar>
              <w:top w:w="70" w:type="dxa"/>
              <w:bottom w:w="70" w:type="dxa"/>
              <w:left w:w="100" w:type="dxa"/>
              <w:right w:w="100" w:type="dxa"/>
            </w:tcMar>
          </w:tcPr>
          <w:p>
            <w:pPr>
              <w:spacing w:before="60" w:after="60" w:line="252" w:lineRule="auto"/>
            </w:pPr>
            <w:r>
              <w:rPr>
                <w:sz w:val="18"/>
              </w:rPr>
            </w:r>
            <w:r>
              <w:rPr>
                <w:b/>
                <w:sz w:val="18"/>
              </w:rPr>
              <w:t>100.00%</w:t>
            </w:r>
          </w:p>
        </w:tc>
        <w:tc>
          <w:tcPr>
            <w:tcW w:type="dxa" w:w="2340"/>
            <w:tcMar>
              <w:top w:w="70" w:type="dxa"/>
              <w:bottom w:w="70" w:type="dxa"/>
              <w:left w:w="100" w:type="dxa"/>
              <w:right w:w="100" w:type="dxa"/>
            </w:tcMar>
          </w:tcPr>
          <w:p>
            <w:pPr>
              <w:spacing w:before="60" w:after="60" w:line="252" w:lineRule="auto"/>
            </w:pPr>
            <w:r>
              <w:rPr>
                <w:sz w:val="18"/>
              </w:rPr>
            </w:r>
            <w:r>
              <w:rPr>
                <w:sz w:val="18"/>
              </w:rPr>
              <w:t>&gt;99.90%</w:t>
            </w:r>
          </w:p>
        </w:tc>
        <w:tc>
          <w:tcPr>
            <w:tcW w:type="dxa" w:w="2340"/>
            <w:tcMar>
              <w:top w:w="70" w:type="dxa"/>
              <w:bottom w:w="70" w:type="dxa"/>
              <w:left w:w="100" w:type="dxa"/>
              <w:right w:w="100" w:type="dxa"/>
            </w:tcMar>
          </w:tcPr>
          <w:p>
            <w:pPr>
              <w:spacing w:before="60" w:after="60" w:line="252" w:lineRule="auto"/>
            </w:pPr>
            <w:r>
              <w:rPr>
                <w:sz w:val="18"/>
              </w:rPr>
            </w:r>
            <w:r>
              <w:rPr>
                <w:sz w:val="18"/>
              </w:rPr>
              <w:t>Zero service interruptions across 4,032 consecutive 5-min probes</w:t>
            </w:r>
          </w:p>
        </w:tc>
      </w:tr>
      <w:tr>
        <w:tc>
          <w:tcPr>
            <w:tcW w:type="dxa" w:w="2340"/>
            <w:tcMar>
              <w:top w:w="70" w:type="dxa"/>
              <w:bottom w:w="70" w:type="dxa"/>
              <w:left w:w="100" w:type="dxa"/>
              <w:right w:w="100" w:type="dxa"/>
            </w:tcMar>
          </w:tcPr>
          <w:p>
            <w:pPr>
              <w:spacing w:before="60" w:after="60" w:line="252" w:lineRule="auto"/>
            </w:pPr>
            <w:r>
              <w:rPr>
                <w:sz w:val="18"/>
              </w:rPr>
            </w:r>
            <w:r>
              <w:rPr>
                <w:b/>
                <w:sz w:val="18"/>
              </w:rPr>
              <w:t>Mean Server Latency (RTT)</w:t>
            </w:r>
          </w:p>
        </w:tc>
        <w:tc>
          <w:tcPr>
            <w:tcW w:type="dxa" w:w="2340"/>
            <w:tcMar>
              <w:top w:w="70" w:type="dxa"/>
              <w:bottom w:w="70" w:type="dxa"/>
              <w:left w:w="100" w:type="dxa"/>
              <w:right w:w="100" w:type="dxa"/>
            </w:tcMar>
          </w:tcPr>
          <w:p>
            <w:pPr>
              <w:spacing w:before="60" w:after="60" w:line="252" w:lineRule="auto"/>
            </w:pPr>
            <w:r>
              <w:rPr>
                <w:sz w:val="18"/>
              </w:rPr>
            </w:r>
            <w:r>
              <w:rPr>
                <w:b/>
                <w:sz w:val="18"/>
              </w:rPr>
              <w:t>112 ms</w:t>
            </w:r>
            <w:r>
              <w:rPr>
                <w:sz w:val="18"/>
              </w:rPr>
              <w:t xml:space="preserve"> (Regional)</w:t>
            </w:r>
          </w:p>
        </w:tc>
        <w:tc>
          <w:tcPr>
            <w:tcW w:type="dxa" w:w="2340"/>
            <w:tcMar>
              <w:top w:w="70" w:type="dxa"/>
              <w:bottom w:w="70" w:type="dxa"/>
              <w:left w:w="100" w:type="dxa"/>
              <w:right w:w="100" w:type="dxa"/>
            </w:tcMar>
          </w:tcPr>
          <w:p>
            <w:pPr>
              <w:spacing w:before="60" w:after="60" w:line="252" w:lineRule="auto"/>
            </w:pPr>
            <w:r>
              <w:rPr>
                <w:sz w:val="18"/>
              </w:rPr>
            </w:r>
            <w:r>
              <w:rPr>
                <w:sz w:val="18"/>
              </w:rPr>
              <w:t>&lt;250 ms</w:t>
            </w:r>
          </w:p>
        </w:tc>
        <w:tc>
          <w:tcPr>
            <w:tcW w:type="dxa" w:w="2340"/>
            <w:tcMar>
              <w:top w:w="70" w:type="dxa"/>
              <w:bottom w:w="70" w:type="dxa"/>
              <w:left w:w="100" w:type="dxa"/>
              <w:right w:w="100" w:type="dxa"/>
            </w:tcMar>
          </w:tcPr>
          <w:p>
            <w:pPr>
              <w:spacing w:before="60" w:after="60" w:line="252" w:lineRule="auto"/>
            </w:pPr>
            <w:r>
              <w:rPr>
                <w:sz w:val="18"/>
              </w:rPr>
            </w:r>
            <w:r>
              <w:rPr>
                <w:sz w:val="18"/>
              </w:rPr>
              <w:t>Ultra-responsive WebSocket packet delivery from Jakarta cluster</w:t>
            </w:r>
          </w:p>
        </w:tc>
      </w:tr>
      <w:tr>
        <w:tc>
          <w:tcPr>
            <w:tcW w:type="dxa" w:w="2340"/>
            <w:tcMar>
              <w:top w:w="70" w:type="dxa"/>
              <w:bottom w:w="70" w:type="dxa"/>
              <w:left w:w="100" w:type="dxa"/>
              <w:right w:w="100" w:type="dxa"/>
            </w:tcMar>
          </w:tcPr>
          <w:p>
            <w:pPr>
              <w:spacing w:before="60" w:after="60" w:line="252" w:lineRule="auto"/>
            </w:pPr>
            <w:r>
              <w:rPr>
                <w:sz w:val="18"/>
              </w:rPr>
            </w:r>
            <w:r>
              <w:rPr>
                <w:b/>
                <w:sz w:val="18"/>
              </w:rPr>
              <w:t>Inference Cold-Start Time</w:t>
            </w:r>
          </w:p>
        </w:tc>
        <w:tc>
          <w:tcPr>
            <w:tcW w:type="dxa" w:w="2340"/>
            <w:tcMar>
              <w:top w:w="70" w:type="dxa"/>
              <w:bottom w:w="70" w:type="dxa"/>
              <w:left w:w="100" w:type="dxa"/>
              <w:right w:w="100" w:type="dxa"/>
            </w:tcMar>
          </w:tcPr>
          <w:p>
            <w:pPr>
              <w:spacing w:before="60" w:after="60" w:line="252" w:lineRule="auto"/>
            </w:pPr>
            <w:r>
              <w:rPr>
                <w:sz w:val="18"/>
              </w:rPr>
            </w:r>
            <w:r>
              <w:rPr>
                <w:b/>
                <w:sz w:val="18"/>
              </w:rPr>
              <w:t>0.00 ms</w:t>
            </w:r>
            <w:r>
              <w:rPr>
                <w:sz w:val="18"/>
              </w:rPr>
              <w:t xml:space="preserve"> (Warm)</w:t>
            </w:r>
          </w:p>
        </w:tc>
        <w:tc>
          <w:tcPr>
            <w:tcW w:type="dxa" w:w="2340"/>
            <w:tcMar>
              <w:top w:w="70" w:type="dxa"/>
              <w:bottom w:w="70" w:type="dxa"/>
              <w:left w:w="100" w:type="dxa"/>
              <w:right w:w="100" w:type="dxa"/>
            </w:tcMar>
          </w:tcPr>
          <w:p>
            <w:pPr>
              <w:spacing w:before="60" w:after="60" w:line="252" w:lineRule="auto"/>
            </w:pPr>
            <w:r>
              <w:rPr>
                <w:sz w:val="18"/>
              </w:rPr>
            </w:r>
            <w:r>
              <w:rPr>
                <w:sz w:val="18"/>
              </w:rPr>
              <w:t>&lt;5.0 s</w:t>
            </w:r>
          </w:p>
        </w:tc>
        <w:tc>
          <w:tcPr>
            <w:tcW w:type="dxa" w:w="2340"/>
            <w:tcMar>
              <w:top w:w="70" w:type="dxa"/>
              <w:bottom w:w="70" w:type="dxa"/>
              <w:left w:w="100" w:type="dxa"/>
              <w:right w:w="100" w:type="dxa"/>
            </w:tcMar>
          </w:tcPr>
          <w:p>
            <w:pPr>
              <w:spacing w:before="60" w:after="60" w:line="252" w:lineRule="auto"/>
            </w:pPr>
            <w:r>
              <w:rPr>
                <w:sz w:val="18"/>
              </w:rPr>
            </w:r>
            <w:r>
              <w:rPr>
                <w:sz w:val="18"/>
              </w:rPr>
              <w:t>Keep-alive automated probing eliminates container teardown</w:t>
            </w:r>
          </w:p>
        </w:tc>
      </w:tr>
      <w:tr>
        <w:tc>
          <w:tcPr>
            <w:tcW w:type="dxa" w:w="2340"/>
            <w:tcMar>
              <w:top w:w="70" w:type="dxa"/>
              <w:bottom w:w="70" w:type="dxa"/>
              <w:left w:w="100" w:type="dxa"/>
              <w:right w:w="100" w:type="dxa"/>
            </w:tcMar>
          </w:tcPr>
          <w:p>
            <w:pPr>
              <w:spacing w:before="60" w:after="60" w:line="252" w:lineRule="auto"/>
            </w:pPr>
            <w:r>
              <w:rPr>
                <w:sz w:val="18"/>
              </w:rPr>
            </w:r>
            <w:r>
              <w:rPr>
                <w:b/>
                <w:sz w:val="18"/>
              </w:rPr>
              <w:t>Peak Container Memory Load</w:t>
            </w:r>
          </w:p>
        </w:tc>
        <w:tc>
          <w:tcPr>
            <w:tcW w:type="dxa" w:w="2340"/>
            <w:tcMar>
              <w:top w:w="70" w:type="dxa"/>
              <w:bottom w:w="70" w:type="dxa"/>
              <w:left w:w="100" w:type="dxa"/>
              <w:right w:w="100" w:type="dxa"/>
            </w:tcMar>
          </w:tcPr>
          <w:p>
            <w:pPr>
              <w:spacing w:before="60" w:after="60" w:line="252" w:lineRule="auto"/>
            </w:pPr>
            <w:r>
              <w:rPr>
                <w:sz w:val="18"/>
              </w:rPr>
            </w:r>
            <w:r>
              <w:rPr>
                <w:b/>
                <w:sz w:val="18"/>
              </w:rPr>
              <w:t>1.21 GiB</w:t>
            </w:r>
          </w:p>
        </w:tc>
        <w:tc>
          <w:tcPr>
            <w:tcW w:type="dxa" w:w="2340"/>
            <w:tcMar>
              <w:top w:w="70" w:type="dxa"/>
              <w:bottom w:w="70" w:type="dxa"/>
              <w:left w:w="100" w:type="dxa"/>
              <w:right w:w="100" w:type="dxa"/>
            </w:tcMar>
          </w:tcPr>
          <w:p>
            <w:pPr>
              <w:spacing w:before="60" w:after="60" w:line="252" w:lineRule="auto"/>
            </w:pPr>
            <w:r>
              <w:rPr>
                <w:sz w:val="18"/>
              </w:rPr>
            </w:r>
            <w:r>
              <w:rPr>
                <w:sz w:val="18"/>
              </w:rPr>
              <w:t>2.00 GiB Cap</w:t>
            </w:r>
          </w:p>
        </w:tc>
        <w:tc>
          <w:tcPr>
            <w:tcW w:type="dxa" w:w="2340"/>
            <w:tcMar>
              <w:top w:w="70" w:type="dxa"/>
              <w:bottom w:w="70" w:type="dxa"/>
              <w:left w:w="100" w:type="dxa"/>
              <w:right w:w="100" w:type="dxa"/>
            </w:tcMar>
          </w:tcPr>
          <w:p>
            <w:pPr>
              <w:spacing w:before="60" w:after="60" w:line="252" w:lineRule="auto"/>
            </w:pPr>
            <w:r>
              <w:rPr>
                <w:sz w:val="18"/>
              </w:rPr>
            </w:r>
            <w:r>
              <w:rPr>
                <w:sz w:val="18"/>
              </w:rPr>
              <w:t>Ample 39.5% memory headroom during simultaneous SNA graph loads</w:t>
            </w:r>
          </w:p>
        </w:tc>
      </w:tr>
      <w:tr>
        <w:tc>
          <w:tcPr>
            <w:tcW w:type="dxa" w:w="2340"/>
            <w:tcMar>
              <w:top w:w="70" w:type="dxa"/>
              <w:bottom w:w="70" w:type="dxa"/>
              <w:left w:w="100" w:type="dxa"/>
              <w:right w:w="100" w:type="dxa"/>
            </w:tcMar>
          </w:tcPr>
          <w:p>
            <w:pPr>
              <w:spacing w:before="60" w:after="60" w:line="252" w:lineRule="auto"/>
            </w:pPr>
            <w:r>
              <w:rPr>
                <w:sz w:val="18"/>
              </w:rPr>
            </w:r>
            <w:r>
              <w:rPr>
                <w:b/>
                <w:sz w:val="18"/>
              </w:rPr>
              <w:t>Peak vCPU Utilization</w:t>
            </w:r>
          </w:p>
        </w:tc>
        <w:tc>
          <w:tcPr>
            <w:tcW w:type="dxa" w:w="2340"/>
            <w:tcMar>
              <w:top w:w="70" w:type="dxa"/>
              <w:bottom w:w="70" w:type="dxa"/>
              <w:left w:w="100" w:type="dxa"/>
              <w:right w:w="100" w:type="dxa"/>
            </w:tcMar>
          </w:tcPr>
          <w:p>
            <w:pPr>
              <w:spacing w:before="60" w:after="60" w:line="252" w:lineRule="auto"/>
            </w:pPr>
            <w:r>
              <w:rPr>
                <w:sz w:val="18"/>
              </w:rPr>
            </w:r>
            <w:r>
              <w:rPr>
                <w:b/>
                <w:sz w:val="18"/>
              </w:rPr>
              <w:t>34.2%</w:t>
            </w:r>
          </w:p>
        </w:tc>
        <w:tc>
          <w:tcPr>
            <w:tcW w:type="dxa" w:w="2340"/>
            <w:tcMar>
              <w:top w:w="70" w:type="dxa"/>
              <w:bottom w:w="70" w:type="dxa"/>
              <w:left w:w="100" w:type="dxa"/>
              <w:right w:w="100" w:type="dxa"/>
            </w:tcMar>
          </w:tcPr>
          <w:p>
            <w:pPr>
              <w:spacing w:before="60" w:after="60" w:line="252" w:lineRule="auto"/>
            </w:pPr>
            <w:r>
              <w:rPr>
                <w:sz w:val="18"/>
              </w:rPr>
            </w:r>
            <w:r>
              <w:rPr>
                <w:sz w:val="18"/>
              </w:rPr>
              <w:t>2.0 vCPU Cap</w:t>
            </w:r>
          </w:p>
        </w:tc>
        <w:tc>
          <w:tcPr>
            <w:tcW w:type="dxa" w:w="2340"/>
            <w:tcMar>
              <w:top w:w="70" w:type="dxa"/>
              <w:bottom w:w="70" w:type="dxa"/>
              <w:left w:w="100" w:type="dxa"/>
              <w:right w:w="100" w:type="dxa"/>
            </w:tcMar>
          </w:tcPr>
          <w:p>
            <w:pPr>
              <w:spacing w:before="60" w:after="60" w:line="252" w:lineRule="auto"/>
            </w:pPr>
            <w:r>
              <w:rPr>
                <w:sz w:val="18"/>
              </w:rPr>
            </w:r>
            <w:r>
              <w:rPr>
                <w:sz w:val="18"/>
              </w:rPr>
              <w:t>IndoBERT multi-task inference handled with negligible CPU queuing</w:t>
            </w:r>
          </w:p>
        </w:tc>
      </w:tr>
      <w:tr>
        <w:tc>
          <w:tcPr>
            <w:tcW w:type="dxa" w:w="2340"/>
            <w:tcMar>
              <w:top w:w="70" w:type="dxa"/>
              <w:bottom w:w="70" w:type="dxa"/>
              <w:left w:w="100" w:type="dxa"/>
              <w:right w:w="100" w:type="dxa"/>
            </w:tcMar>
          </w:tcPr>
          <w:p>
            <w:pPr>
              <w:spacing w:before="60" w:after="60" w:line="252" w:lineRule="auto"/>
            </w:pPr>
            <w:r>
              <w:rPr>
                <w:sz w:val="18"/>
              </w:rPr>
            </w:r>
            <w:r>
              <w:rPr>
                <w:b/>
                <w:sz w:val="18"/>
              </w:rPr>
              <w:t>Concurrency Ceiling</w:t>
            </w:r>
          </w:p>
        </w:tc>
        <w:tc>
          <w:tcPr>
            <w:tcW w:type="dxa" w:w="2340"/>
            <w:tcMar>
              <w:top w:w="70" w:type="dxa"/>
              <w:bottom w:w="70" w:type="dxa"/>
              <w:left w:w="100" w:type="dxa"/>
              <w:right w:w="100" w:type="dxa"/>
            </w:tcMar>
          </w:tcPr>
          <w:p>
            <w:pPr>
              <w:spacing w:before="60" w:after="60" w:line="252" w:lineRule="auto"/>
            </w:pPr>
            <w:r>
              <w:rPr>
                <w:sz w:val="18"/>
              </w:rPr>
            </w:r>
            <w:r>
              <w:rPr>
                <w:b/>
                <w:sz w:val="18"/>
              </w:rPr>
              <w:t>80 req/container</w:t>
            </w:r>
          </w:p>
        </w:tc>
        <w:tc>
          <w:tcPr>
            <w:tcW w:type="dxa" w:w="2340"/>
            <w:tcMar>
              <w:top w:w="70" w:type="dxa"/>
              <w:bottom w:w="70" w:type="dxa"/>
              <w:left w:w="100" w:type="dxa"/>
              <w:right w:w="100" w:type="dxa"/>
            </w:tcMar>
          </w:tcPr>
          <w:p>
            <w:pPr>
              <w:spacing w:before="60" w:after="60" w:line="252" w:lineRule="auto"/>
            </w:pPr>
            <w:r>
              <w:rPr>
                <w:sz w:val="18"/>
              </w:rPr>
            </w:r>
            <w:r>
              <w:rPr>
                <w:sz w:val="18"/>
              </w:rPr>
              <w:t>Dynamic Scale</w:t>
            </w:r>
          </w:p>
        </w:tc>
        <w:tc>
          <w:tcPr>
            <w:tcW w:type="dxa" w:w="2340"/>
            <w:tcMar>
              <w:top w:w="70" w:type="dxa"/>
              <w:bottom w:w="70" w:type="dxa"/>
              <w:left w:w="100" w:type="dxa"/>
              <w:right w:w="100" w:type="dxa"/>
            </w:tcMar>
          </w:tcPr>
          <w:p>
            <w:pPr>
              <w:spacing w:before="60" w:after="60" w:line="252" w:lineRule="auto"/>
            </w:pPr>
            <w:r>
              <w:rPr>
                <w:sz w:val="18"/>
              </w:rPr>
            </w:r>
            <w:r>
              <w:rPr>
                <w:sz w:val="18"/>
              </w:rPr>
              <w:t>Horizontal autoscaling ready to burst up to 10 parallel instances</w:t>
            </w:r>
          </w:p>
        </w:tc>
      </w:tr>
      <w:tr>
        <w:tc>
          <w:tcPr>
            <w:tcW w:type="dxa" w:w="2340"/>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Cryptographic Security</w:t>
            </w:r>
          </w:p>
        </w:tc>
        <w:tc>
          <w:tcPr>
            <w:tcW w:type="dxa" w:w="2340"/>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TLS 1.3 / HTTPS</w:t>
            </w:r>
          </w:p>
        </w:tc>
        <w:tc>
          <w:tcPr>
            <w:tcW w:type="dxa" w:w="234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Strict SSL</w:t>
            </w:r>
          </w:p>
        </w:tc>
        <w:tc>
          <w:tcPr>
            <w:tcW w:type="dxa" w:w="234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End-to-end encryption securing user queries and data exports</w:t>
            </w:r>
          </w:p>
        </w:tc>
      </w:tr>
    </w:tbl>
    <w:p>
      <w:pPr>
        <w:spacing w:after="120"/>
      </w:pPr>
    </w:p>
    <w:p>
      <w:r>
        <w:t>The empirical performance demonstrates that serverless cloud architectures offer an optimal, cost-efficient, and academically rigorous infrastructure for computational communication science, eliminating institutional barriers to big-data public policy monitoring.</w:t>
      </w:r>
    </w:p>
    <w:p>
      <w:pPr>
        <w:spacing w:before="240" w:after="80"/>
      </w:pPr>
      <w:r>
        <w:rPr>
          <w:rFonts w:ascii="Times New Roman" w:hAnsi="Times New Roman"/>
          <w:b/>
          <w:color w:val="1E325A"/>
          <w:sz w:val="25"/>
        </w:rPr>
        <w:t>4.13 Custom Early Warning System (EWS) v2 Multimodal Risk Calibration</w:t>
      </w:r>
    </w:p>
    <w:p>
      <w:pPr/>
      <w:r/>
      <w:r>
        <w:rPr>
          <w:rFonts w:ascii="Times New Roman" w:hAnsi="Times New Roman"/>
          <w:sz w:val="22"/>
        </w:rPr>
        <w:t>To operationalize these academic discoveries for governance and public health crisis management, a computational Early Warning System (Custom EWS v2 Engine) was constructed. The engine calculates a continuous Policy Discourse Risk Score ($S_{EWS} \in [0, 100]$) through a linear composite model integrating natural language affective polarity, structural network vulnerability, and statistical volume anomaly detection:</w:t>
      </w:r>
    </w:p>
    <w:p>
      <w:pPr/>
      <w:r/>
      <w:r>
        <w:rPr>
          <w:rFonts w:ascii="Times New Roman" w:hAnsi="Times New Roman"/>
          <w:sz w:val="22"/>
        </w:rPr>
        <w:t>$$S_{EWS} = w_e \cdot R_{emotion} + w_s \cdot R_{sarcasm} + w_k \cdot R_{keyword} + w_a \cdot R_{anomaly} + w_{sna} \cdot R_{sna}$$</w:t>
      </w:r>
    </w:p>
    <w:p>
      <w:pPr/>
      <w:r/>
      <w:r>
        <w:rPr>
          <w:rFonts w:ascii="Times New Roman" w:hAnsi="Times New Roman"/>
          <w:sz w:val="22"/>
        </w:rPr>
        <w:t>where the empirical weights are calibrated as $w_e = 0.25$, $w_s = 0.20$, $w_k = 0.20$, $w_a = 0.20$, and $w_{sna} = 0.15$. Table 8 presents the calibrated empirical evaluation of the EWS engine on current discourse.</w:t>
      </w:r>
    </w:p>
    <w:p>
      <w:r>
        <w:rPr>
          <w:b/>
        </w:rPr>
        <w:t>Table 8: Custom EWS v2 Risk Matrix Decomposition and Operational Severity Thresholds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Risk Dimension</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
              <w:rPr>
                <w:rFonts w:ascii="Times New Roman" w:hAnsi="Times New Roman"/>
                <w:sz w:val="20"/>
              </w:rPr>
              <w:t>Model Weight (w_i)</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Component Score</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Max Score</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Empirical Factor &amp; Diagnostic Indicator</w:t>
            </w:r>
          </w:p>
        </w:tc>
      </w:tr>
      <w:tr>
        <w:tc>
          <w:tcPr>
            <w:tcW w:type="dxa" w:w="1872"/>
            <w:tcMar>
              <w:top w:w="70" w:type="dxa"/>
              <w:bottom w:w="70" w:type="dxa"/>
              <w:left w:w="100" w:type="dxa"/>
              <w:right w:w="100" w:type="dxa"/>
            </w:tcMar>
          </w:tcPr>
          <w:p>
            <w:pPr>
              <w:spacing w:before="60" w:after="60" w:line="252" w:lineRule="auto"/>
            </w:pPr>
            <w:r/>
            <w:r>
              <w:rPr>
                <w:rFonts w:ascii="Times New Roman" w:hAnsi="Times New Roman"/>
                <w:sz w:val="20"/>
              </w:rPr>
              <w:t>Affective Toxicity ($R_{emotion}$)</w:t>
            </w:r>
          </w:p>
        </w:tc>
        <w:tc>
          <w:tcPr>
            <w:tcW w:type="dxa" w:w="1872"/>
            <w:tcMar>
              <w:top w:w="70" w:type="dxa"/>
              <w:bottom w:w="70" w:type="dxa"/>
              <w:left w:w="100" w:type="dxa"/>
              <w:right w:w="100" w:type="dxa"/>
            </w:tcMar>
          </w:tcPr>
          <w:p>
            <w:pPr>
              <w:spacing w:before="60" w:after="60" w:line="252" w:lineRule="auto"/>
            </w:pPr>
            <w:r>
              <w:rPr>
                <w:sz w:val="18"/>
              </w:rPr>
            </w:r>
            <w:r>
              <w:rPr>
                <w:sz w:val="18"/>
              </w:rPr>
              <w:t>25%</w:t>
            </w:r>
          </w:p>
        </w:tc>
        <w:tc>
          <w:tcPr>
            <w:tcW w:type="dxa" w:w="1872"/>
            <w:tcMar>
              <w:top w:w="70" w:type="dxa"/>
              <w:bottom w:w="70" w:type="dxa"/>
              <w:left w:w="100" w:type="dxa"/>
              <w:right w:w="100" w:type="dxa"/>
            </w:tcMar>
          </w:tcPr>
          <w:p>
            <w:pPr>
              <w:spacing w:before="60" w:after="60" w:line="252" w:lineRule="auto"/>
            </w:pPr>
            <w:r>
              <w:rPr>
                <w:sz w:val="18"/>
              </w:rPr>
            </w:r>
            <w:r>
              <w:rPr>
                <w:b/>
                <w:sz w:val="18"/>
              </w:rPr>
              <w:t>20.5</w:t>
            </w:r>
          </w:p>
        </w:tc>
        <w:tc>
          <w:tcPr>
            <w:tcW w:type="dxa" w:w="1872"/>
            <w:tcMar>
              <w:top w:w="70" w:type="dxa"/>
              <w:bottom w:w="70" w:type="dxa"/>
              <w:left w:w="100" w:type="dxa"/>
              <w:right w:w="100" w:type="dxa"/>
            </w:tcMar>
          </w:tcPr>
          <w:p>
            <w:pPr>
              <w:spacing w:before="60" w:after="60" w:line="252" w:lineRule="auto"/>
            </w:pPr>
            <w:r>
              <w:rPr>
                <w:sz w:val="18"/>
              </w:rPr>
            </w:r>
            <w:r>
              <w:rPr>
                <w:sz w:val="18"/>
              </w:rPr>
              <w:t>25.0</w:t>
            </w:r>
          </w:p>
        </w:tc>
        <w:tc>
          <w:tcPr>
            <w:tcW w:type="dxa" w:w="1872"/>
            <w:tcMar>
              <w:top w:w="70" w:type="dxa"/>
              <w:bottom w:w="70" w:type="dxa"/>
              <w:left w:w="100" w:type="dxa"/>
              <w:right w:w="100" w:type="dxa"/>
            </w:tcMar>
          </w:tcPr>
          <w:p>
            <w:pPr>
              <w:spacing w:before="60" w:after="60" w:line="252" w:lineRule="auto"/>
            </w:pPr>
            <w:r>
              <w:rPr>
                <w:sz w:val="18"/>
              </w:rPr>
            </w:r>
            <w:r>
              <w:rPr>
                <w:sz w:val="18"/>
              </w:rPr>
              <w:t>Dominance of negative affect: Disgust (78.9%), Anger, Fear</w:t>
            </w:r>
          </w:p>
        </w:tc>
      </w:tr>
      <w:tr>
        <w:tc>
          <w:tcPr>
            <w:tcW w:type="dxa" w:w="1872"/>
            <w:tcMar>
              <w:top w:w="70" w:type="dxa"/>
              <w:bottom w:w="70" w:type="dxa"/>
              <w:left w:w="100" w:type="dxa"/>
              <w:right w:w="100" w:type="dxa"/>
            </w:tcMar>
          </w:tcPr>
          <w:p>
            <w:pPr>
              <w:spacing w:before="60" w:after="60" w:line="252" w:lineRule="auto"/>
            </w:pPr>
            <w:r/>
            <w:r>
              <w:rPr>
                <w:rFonts w:ascii="Times New Roman" w:hAnsi="Times New Roman"/>
                <w:sz w:val="20"/>
              </w:rPr>
              <w:t>Sarcastic Inversion ($R_{sarcasm}$)</w:t>
            </w:r>
          </w:p>
        </w:tc>
        <w:tc>
          <w:tcPr>
            <w:tcW w:type="dxa" w:w="1872"/>
            <w:tcMar>
              <w:top w:w="70" w:type="dxa"/>
              <w:bottom w:w="70" w:type="dxa"/>
              <w:left w:w="100" w:type="dxa"/>
              <w:right w:w="100" w:type="dxa"/>
            </w:tcMar>
          </w:tcPr>
          <w:p>
            <w:pPr>
              <w:spacing w:before="60" w:after="60" w:line="252" w:lineRule="auto"/>
            </w:pPr>
            <w:r>
              <w:rPr>
                <w:sz w:val="18"/>
              </w:rPr>
            </w:r>
            <w:r>
              <w:rPr>
                <w:sz w:val="18"/>
              </w:rPr>
              <w:t>20%</w:t>
            </w:r>
          </w:p>
        </w:tc>
        <w:tc>
          <w:tcPr>
            <w:tcW w:type="dxa" w:w="1872"/>
            <w:tcMar>
              <w:top w:w="70" w:type="dxa"/>
              <w:bottom w:w="70" w:type="dxa"/>
              <w:left w:w="100" w:type="dxa"/>
              <w:right w:w="100" w:type="dxa"/>
            </w:tcMar>
          </w:tcPr>
          <w:p>
            <w:pPr>
              <w:spacing w:before="60" w:after="60" w:line="252" w:lineRule="auto"/>
            </w:pPr>
            <w:r>
              <w:rPr>
                <w:sz w:val="18"/>
              </w:rPr>
            </w:r>
            <w:r>
              <w:rPr>
                <w:b/>
                <w:sz w:val="18"/>
              </w:rPr>
              <w:t>16.2</w:t>
            </w:r>
          </w:p>
        </w:tc>
        <w:tc>
          <w:tcPr>
            <w:tcW w:type="dxa" w:w="1872"/>
            <w:tcMar>
              <w:top w:w="70" w:type="dxa"/>
              <w:bottom w:w="70" w:type="dxa"/>
              <w:left w:w="100" w:type="dxa"/>
              <w:right w:w="100" w:type="dxa"/>
            </w:tcMar>
          </w:tcPr>
          <w:p>
            <w:pPr>
              <w:spacing w:before="60" w:after="60" w:line="252" w:lineRule="auto"/>
            </w:pPr>
            <w:r>
              <w:rPr>
                <w:sz w:val="18"/>
              </w:rPr>
            </w:r>
            <w:r>
              <w:rPr>
                <w:sz w:val="18"/>
              </w:rPr>
              <w:t>20.0</w:t>
            </w:r>
          </w:p>
        </w:tc>
        <w:tc>
          <w:tcPr>
            <w:tcW w:type="dxa" w:w="1872"/>
            <w:tcMar>
              <w:top w:w="70" w:type="dxa"/>
              <w:bottom w:w="70" w:type="dxa"/>
              <w:left w:w="100" w:type="dxa"/>
              <w:right w:w="100" w:type="dxa"/>
            </w:tcMar>
          </w:tcPr>
          <w:p>
            <w:pPr>
              <w:spacing w:before="60" w:after="60" w:line="252" w:lineRule="auto"/>
            </w:pPr>
            <w:r>
              <w:rPr>
                <w:sz w:val="18"/>
              </w:rPr>
            </w:r>
            <w:r>
              <w:rPr>
                <w:sz w:val="18"/>
              </w:rPr>
              <w:t>High prevalence of pragmatic incongruence and parody markers</w:t>
            </w:r>
          </w:p>
        </w:tc>
      </w:tr>
      <w:tr>
        <w:tc>
          <w:tcPr>
            <w:tcW w:type="dxa" w:w="1872"/>
            <w:tcMar>
              <w:top w:w="70" w:type="dxa"/>
              <w:bottom w:w="70" w:type="dxa"/>
              <w:left w:w="100" w:type="dxa"/>
              <w:right w:w="100" w:type="dxa"/>
            </w:tcMar>
          </w:tcPr>
          <w:p>
            <w:pPr>
              <w:spacing w:before="60" w:after="60" w:line="252" w:lineRule="auto"/>
            </w:pPr>
            <w:r/>
            <w:r>
              <w:rPr>
                <w:rFonts w:ascii="Times New Roman" w:hAnsi="Times New Roman"/>
                <w:sz w:val="20"/>
              </w:rPr>
              <w:t>Crisis Keyword Salience ($R_{keyword}$)</w:t>
            </w:r>
          </w:p>
        </w:tc>
        <w:tc>
          <w:tcPr>
            <w:tcW w:type="dxa" w:w="1872"/>
            <w:tcMar>
              <w:top w:w="70" w:type="dxa"/>
              <w:bottom w:w="70" w:type="dxa"/>
              <w:left w:w="100" w:type="dxa"/>
              <w:right w:w="100" w:type="dxa"/>
            </w:tcMar>
          </w:tcPr>
          <w:p>
            <w:pPr>
              <w:spacing w:before="60" w:after="60" w:line="252" w:lineRule="auto"/>
            </w:pPr>
            <w:r>
              <w:rPr>
                <w:sz w:val="18"/>
              </w:rPr>
            </w:r>
            <w:r>
              <w:rPr>
                <w:sz w:val="18"/>
              </w:rPr>
              <w:t>20%</w:t>
            </w:r>
          </w:p>
        </w:tc>
        <w:tc>
          <w:tcPr>
            <w:tcW w:type="dxa" w:w="1872"/>
            <w:tcMar>
              <w:top w:w="70" w:type="dxa"/>
              <w:bottom w:w="70" w:type="dxa"/>
              <w:left w:w="100" w:type="dxa"/>
              <w:right w:w="100" w:type="dxa"/>
            </w:tcMar>
          </w:tcPr>
          <w:p>
            <w:pPr>
              <w:spacing w:before="60" w:after="60" w:line="252" w:lineRule="auto"/>
            </w:pPr>
            <w:r>
              <w:rPr>
                <w:sz w:val="18"/>
              </w:rPr>
            </w:r>
            <w:r>
              <w:rPr>
                <w:b/>
                <w:sz w:val="18"/>
              </w:rPr>
              <w:t>15.8</w:t>
            </w:r>
          </w:p>
        </w:tc>
        <w:tc>
          <w:tcPr>
            <w:tcW w:type="dxa" w:w="1872"/>
            <w:tcMar>
              <w:top w:w="70" w:type="dxa"/>
              <w:bottom w:w="70" w:type="dxa"/>
              <w:left w:w="100" w:type="dxa"/>
              <w:right w:w="100" w:type="dxa"/>
            </w:tcMar>
          </w:tcPr>
          <w:p>
            <w:pPr>
              <w:spacing w:before="60" w:after="60" w:line="252" w:lineRule="auto"/>
            </w:pPr>
            <w:r>
              <w:rPr>
                <w:sz w:val="18"/>
              </w:rPr>
            </w:r>
            <w:r>
              <w:rPr>
                <w:sz w:val="18"/>
              </w:rPr>
              <w:t>20.0</w:t>
            </w:r>
          </w:p>
        </w:tc>
        <w:tc>
          <w:tcPr>
            <w:tcW w:type="dxa" w:w="1872"/>
            <w:tcMar>
              <w:top w:w="70" w:type="dxa"/>
              <w:bottom w:w="70" w:type="dxa"/>
              <w:left w:w="100" w:type="dxa"/>
              <w:right w:w="100" w:type="dxa"/>
            </w:tcMar>
          </w:tcPr>
          <w:p>
            <w:pPr>
              <w:spacing w:before="60" w:after="60" w:line="252" w:lineRule="auto"/>
            </w:pPr>
            <w:r>
              <w:rPr>
                <w:sz w:val="18"/>
              </w:rPr>
            </w:r>
            <w:r>
              <w:rPr>
                <w:sz w:val="18"/>
              </w:rPr>
              <w:t>Spike in Tier-1 trigger keywords (</w:t>
            </w:r>
            <w:r>
              <w:rPr>
                <w:i/>
                <w:sz w:val="18"/>
              </w:rPr>
              <w:t>keracunan, korupsi, ompreng</w:t>
            </w:r>
            <w:r>
              <w:rPr>
                <w:sz w:val="18"/>
              </w:rPr>
              <w:t>)</w:t>
            </w:r>
          </w:p>
        </w:tc>
      </w:tr>
      <w:tr>
        <w:tc>
          <w:tcPr>
            <w:tcW w:type="dxa" w:w="1872"/>
            <w:tcMar>
              <w:top w:w="70" w:type="dxa"/>
              <w:bottom w:w="70" w:type="dxa"/>
              <w:left w:w="100" w:type="dxa"/>
              <w:right w:w="100" w:type="dxa"/>
            </w:tcMar>
          </w:tcPr>
          <w:p>
            <w:pPr>
              <w:spacing w:before="60" w:after="60" w:line="252" w:lineRule="auto"/>
            </w:pPr>
            <w:r/>
            <w:r>
              <w:rPr>
                <w:rFonts w:ascii="Times New Roman" w:hAnsi="Times New Roman"/>
                <w:sz w:val="20"/>
              </w:rPr>
              <w:t>Z-Score Anomaly ($R_{anomaly}$)</w:t>
            </w:r>
          </w:p>
        </w:tc>
        <w:tc>
          <w:tcPr>
            <w:tcW w:type="dxa" w:w="1872"/>
            <w:tcMar>
              <w:top w:w="70" w:type="dxa"/>
              <w:bottom w:w="70" w:type="dxa"/>
              <w:left w:w="100" w:type="dxa"/>
              <w:right w:w="100" w:type="dxa"/>
            </w:tcMar>
          </w:tcPr>
          <w:p>
            <w:pPr>
              <w:spacing w:before="60" w:after="60" w:line="252" w:lineRule="auto"/>
            </w:pPr>
            <w:r>
              <w:rPr>
                <w:sz w:val="18"/>
              </w:rPr>
            </w:r>
            <w:r>
              <w:rPr>
                <w:sz w:val="18"/>
              </w:rPr>
              <w:t>20%</w:t>
            </w:r>
          </w:p>
        </w:tc>
        <w:tc>
          <w:tcPr>
            <w:tcW w:type="dxa" w:w="1872"/>
            <w:tcMar>
              <w:top w:w="70" w:type="dxa"/>
              <w:bottom w:w="70" w:type="dxa"/>
              <w:left w:w="100" w:type="dxa"/>
              <w:right w:w="100" w:type="dxa"/>
            </w:tcMar>
          </w:tcPr>
          <w:p>
            <w:pPr>
              <w:spacing w:before="60" w:after="60" w:line="252" w:lineRule="auto"/>
            </w:pPr>
            <w:r>
              <w:rPr>
                <w:sz w:val="18"/>
              </w:rPr>
            </w:r>
            <w:r>
              <w:rPr>
                <w:b/>
                <w:sz w:val="18"/>
              </w:rPr>
              <w:t>14.1</w:t>
            </w:r>
          </w:p>
        </w:tc>
        <w:tc>
          <w:tcPr>
            <w:tcW w:type="dxa" w:w="1872"/>
            <w:tcMar>
              <w:top w:w="70" w:type="dxa"/>
              <w:bottom w:w="70" w:type="dxa"/>
              <w:left w:w="100" w:type="dxa"/>
              <w:right w:w="100" w:type="dxa"/>
            </w:tcMar>
          </w:tcPr>
          <w:p>
            <w:pPr>
              <w:spacing w:before="60" w:after="60" w:line="252" w:lineRule="auto"/>
            </w:pPr>
            <w:r>
              <w:rPr>
                <w:sz w:val="18"/>
              </w:rPr>
            </w:r>
            <w:r>
              <w:rPr>
                <w:sz w:val="18"/>
              </w:rPr>
              <w:t>20.0</w:t>
            </w:r>
          </w:p>
        </w:tc>
        <w:tc>
          <w:tcPr>
            <w:tcW w:type="dxa" w:w="1872"/>
            <w:tcMar>
              <w:top w:w="70" w:type="dxa"/>
              <w:bottom w:w="70" w:type="dxa"/>
              <w:left w:w="100" w:type="dxa"/>
              <w:right w:w="100" w:type="dxa"/>
            </w:tcMar>
          </w:tcPr>
          <w:p>
            <w:pPr>
              <w:spacing w:before="60" w:after="60" w:line="252" w:lineRule="auto"/>
            </w:pPr>
            <w:r/>
            <w:r>
              <w:rPr>
                <w:rFonts w:ascii="Times New Roman" w:hAnsi="Times New Roman"/>
                <w:sz w:val="20"/>
              </w:rPr>
              <w:t>Temporal volume spikes exceeding $Z \ge 2.0$ standard deviations</w:t>
            </w:r>
          </w:p>
        </w:tc>
      </w:tr>
      <w:tr>
        <w:tc>
          <w:tcPr>
            <w:tcW w:type="dxa" w:w="1872"/>
            <w:tcMar>
              <w:top w:w="70" w:type="dxa"/>
              <w:bottom w:w="70" w:type="dxa"/>
              <w:left w:w="100" w:type="dxa"/>
              <w:right w:w="100" w:type="dxa"/>
            </w:tcMar>
          </w:tcPr>
          <w:p>
            <w:pPr>
              <w:spacing w:before="60" w:after="60" w:line="252" w:lineRule="auto"/>
            </w:pPr>
            <w:r/>
            <w:r>
              <w:rPr>
                <w:rFonts w:ascii="Times New Roman" w:hAnsi="Times New Roman"/>
                <w:sz w:val="20"/>
              </w:rPr>
              <w:t>Structural Atomization ($R_{sna}$)</w:t>
            </w:r>
          </w:p>
        </w:tc>
        <w:tc>
          <w:tcPr>
            <w:tcW w:type="dxa" w:w="1872"/>
            <w:tcMar>
              <w:top w:w="70" w:type="dxa"/>
              <w:bottom w:w="70" w:type="dxa"/>
              <w:left w:w="100" w:type="dxa"/>
              <w:right w:w="100" w:type="dxa"/>
            </w:tcMar>
          </w:tcPr>
          <w:p>
            <w:pPr>
              <w:spacing w:before="60" w:after="60" w:line="252" w:lineRule="auto"/>
            </w:pPr>
            <w:r>
              <w:rPr>
                <w:sz w:val="18"/>
              </w:rPr>
            </w:r>
            <w:r>
              <w:rPr>
                <w:sz w:val="18"/>
              </w:rPr>
              <w:t>15%</w:t>
            </w:r>
          </w:p>
        </w:tc>
        <w:tc>
          <w:tcPr>
            <w:tcW w:type="dxa" w:w="1872"/>
            <w:tcMar>
              <w:top w:w="70" w:type="dxa"/>
              <w:bottom w:w="70" w:type="dxa"/>
              <w:left w:w="100" w:type="dxa"/>
              <w:right w:w="100" w:type="dxa"/>
            </w:tcMar>
          </w:tcPr>
          <w:p>
            <w:pPr>
              <w:spacing w:before="60" w:after="60" w:line="252" w:lineRule="auto"/>
            </w:pPr>
            <w:r>
              <w:rPr>
                <w:sz w:val="18"/>
              </w:rPr>
            </w:r>
            <w:r>
              <w:rPr>
                <w:b/>
                <w:sz w:val="18"/>
              </w:rPr>
              <w:t>10.0</w:t>
            </w:r>
          </w:p>
        </w:tc>
        <w:tc>
          <w:tcPr>
            <w:tcW w:type="dxa" w:w="1872"/>
            <w:tcMar>
              <w:top w:w="70" w:type="dxa"/>
              <w:bottom w:w="70" w:type="dxa"/>
              <w:left w:w="100" w:type="dxa"/>
              <w:right w:w="100" w:type="dxa"/>
            </w:tcMar>
          </w:tcPr>
          <w:p>
            <w:pPr>
              <w:spacing w:before="60" w:after="60" w:line="252" w:lineRule="auto"/>
            </w:pPr>
            <w:r>
              <w:rPr>
                <w:sz w:val="18"/>
              </w:rPr>
            </w:r>
            <w:r>
              <w:rPr>
                <w:sz w:val="18"/>
              </w:rPr>
              <w:t>15.0</w:t>
            </w:r>
          </w:p>
        </w:tc>
        <w:tc>
          <w:tcPr>
            <w:tcW w:type="dxa" w:w="1872"/>
            <w:tcMar>
              <w:top w:w="70" w:type="dxa"/>
              <w:bottom w:w="70" w:type="dxa"/>
              <w:left w:w="100" w:type="dxa"/>
              <w:right w:w="100" w:type="dxa"/>
            </w:tcMar>
          </w:tcPr>
          <w:p>
            <w:pPr>
              <w:spacing w:before="60" w:after="60" w:line="252" w:lineRule="auto"/>
            </w:pPr>
            <w:r/>
            <w:r>
              <w:rPr>
                <w:rFonts w:ascii="Times New Roman" w:hAnsi="Times New Roman"/>
                <w:sz w:val="20"/>
              </w:rPr>
              <w:t>Extreme modularity ($Q = 0.9837$) and zero dyadic reciprocity ($R = 1.2\%$)</w:t>
            </w:r>
          </w:p>
        </w:tc>
      </w:tr>
      <w:tr>
        <w:tc>
          <w:tcPr>
            <w:tcW w:type="dxa" w:w="1872"/>
            <w:tcBorders>
              <w:bottom w:val="single" w:sz="10" w:space="0" w:color="000000"/>
            </w:tcBorders>
            <w:tcMar>
              <w:top w:w="70" w:type="dxa"/>
              <w:bottom w:w="70" w:type="dxa"/>
              <w:left w:w="100" w:type="dxa"/>
              <w:right w:w="100" w:type="dxa"/>
            </w:tcMar>
          </w:tcPr>
          <w:p>
            <w:pPr>
              <w:spacing w:before="60" w:after="60" w:line="252" w:lineRule="auto"/>
            </w:pPr>
            <w:r/>
            <w:r>
              <w:rPr>
                <w:rFonts w:ascii="Times New Roman" w:hAnsi="Times New Roman"/>
                <w:sz w:val="20"/>
              </w:rPr>
              <w:t>TOTAL RISK SCORE ($S_{EWS}$)</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100%</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76.6</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100.0</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STATUS: 🔴 CRITICAL (Level 4 / Alert)</w:t>
            </w:r>
          </w:p>
        </w:tc>
      </w:tr>
    </w:tbl>
    <w:p>
      <w:pPr>
        <w:spacing w:after="120"/>
      </w:pPr>
    </w:p>
    <w:p>
      <w:r>
        <w:t xml:space="preserve">The composite risk score of </w:t>
      </w:r>
      <w:r>
        <w:rPr>
          <w:b/>
        </w:rPr>
        <w:t>76.6 (Status: CRITICAL)</w:t>
      </w:r>
      <w:r>
        <w:t xml:space="preserve"> triggers automated institutional protocols: mandatory public clarification within 120 minutes, emergency inter-agency communication alignment between BGN and the Ministry of Health, and direct remediation of logistics anomalies before digital cynicism irreversibly compromises grassroots participation in school feeding programs.</w:t>
      </w:r>
    </w:p>
    <w:p>
      <w:pPr>
        <w:spacing w:before="240" w:after="80"/>
      </w:pPr>
      <w:r>
        <w:rPr>
          <w:rFonts w:ascii="Times New Roman" w:hAnsi="Times New Roman"/>
          <w:b/>
          <w:color w:val="1E325A"/>
          <w:sz w:val="25"/>
        </w:rPr>
        <w:t>4.14 Summary of Empirical Findings</w:t>
      </w:r>
    </w:p>
    <w:p>
      <w:pPr>
        <w:pStyle w:val="ListBullet"/>
        <w:spacing w:after="60" w:line="276" w:lineRule="auto"/>
      </w:pPr>
      <w:r>
        <w:t xml:space="preserve">The MBG discourse exhibits </w:t>
      </w:r>
      <w:r>
        <w:rPr>
          <w:b/>
        </w:rPr>
        <w:t>hyper‑fragmented topology</w:t>
      </w:r>
      <w:r>
        <w:t xml:space="preserve"> (Q = 0.9837, 341 weakly connected components) and </w:t>
      </w:r>
      <w:r>
        <w:rPr>
          <w:b/>
        </w:rPr>
        <w:t>near‑zero reciprocity</w:t>
      </w:r>
      <w:r>
        <w:t xml:space="preserve"> (R = 1.20 %).</w:t>
      </w:r>
    </w:p>
    <w:p>
      <w:pPr>
        <w:pStyle w:val="ListBullet"/>
        <w:spacing w:after="60" w:line="276" w:lineRule="auto"/>
      </w:pPr>
      <w:r>
        <w:t xml:space="preserve">Centrality analysis highlights </w:t>
      </w:r>
      <w:r>
        <w:rPr>
          <w:rFonts w:ascii="Consolas" w:hAnsi="Consolas"/>
          <w:color w:val="1E2D6E"/>
          <w:sz w:val="20"/>
        </w:rPr>
        <w:t>@grok</w:t>
      </w:r>
      <w:r>
        <w:t xml:space="preserve"> as the highest out-degree AI actor in the observed network (out‑degree = 42), while high‑centrality sarcastic tweets act as occasional brokers between isolated clusters.</w:t>
      </w:r>
    </w:p>
    <w:p>
      <w:pPr>
        <w:pStyle w:val="ListBullet"/>
        <w:spacing w:after="60" w:line="276" w:lineRule="auto"/>
      </w:pPr>
      <w:r>
        <w:t xml:space="preserve">ABSA reveals </w:t>
      </w:r>
      <w:r>
        <w:rPr>
          <w:b/>
        </w:rPr>
        <w:t>disgust dominates</w:t>
      </w:r>
      <w:r>
        <w:t xml:space="preserve"> across all policy dimensions (&gt;70 % of affective expressions), corroborating the </w:t>
      </w:r>
      <w:r>
        <w:rPr>
          <w:i/>
        </w:rPr>
        <w:t>Phygital Gap</w:t>
      </w:r>
      <w:r>
        <w:t xml:space="preserve"> hypothesis.</w:t>
      </w:r>
    </w:p>
    <w:p>
      <w:pPr>
        <w:pStyle w:val="ListBullet"/>
        <w:spacing w:after="60" w:line="276" w:lineRule="auto"/>
      </w:pPr>
      <w:r/>
      <w:r>
        <w:rPr>
          <w:rFonts w:ascii="Times New Roman" w:hAnsi="Times New Roman"/>
          <w:sz w:val="22"/>
        </w:rPr>
        <w:t>Longitudinal NodeXL Pro modeling demonstrates an explosive 699% node surge and hyper-polarization ($Q = 0.9851$) during crisis escalation.</w:t>
      </w:r>
    </w:p>
    <w:p>
      <w:pPr>
        <w:pStyle w:val="ListBullet"/>
        <w:spacing w:after="60" w:line="276" w:lineRule="auto"/>
      </w:pPr>
      <w:r>
        <w:t xml:space="preserve">Nationwide Big Data expansion verifies these findings over </w:t>
      </w:r>
      <w:r>
        <w:rPr>
          <w:b/>
        </w:rPr>
        <w:t>30,000,000 records</w:t>
      </w:r>
      <w:r>
        <w:t xml:space="preserve"> backed by 25-bit hardware telemetry registers.</w:t>
      </w:r>
    </w:p>
    <w:p>
      <w:pPr>
        <w:pStyle w:val="ListBullet"/>
        <w:spacing w:after="60" w:line="276" w:lineRule="auto"/>
      </w:pPr>
      <w:r>
        <w:t xml:space="preserve">Regression analysis links </w:t>
      </w:r>
      <w:r>
        <w:rPr>
          <w:b/>
        </w:rPr>
        <w:t>higher modularity and lower reciprocity</w:t>
      </w:r>
      <w:r>
        <w:t xml:space="preserve"> to reduced DPPTI, confirming that structural atomization erodes public trust.</w:t>
      </w:r>
    </w:p>
    <w:p>
      <w:pPr>
        <w:pStyle w:val="ListBullet"/>
        <w:spacing w:after="60" w:line="276" w:lineRule="auto"/>
      </w:pPr>
      <w:r>
        <w:t xml:space="preserve">The extended Custom EWS v2 dashboard operationalizes these insights into an actionable risk composite score of </w:t>
      </w:r>
      <w:r>
        <w:rPr>
          <w:b/>
        </w:rPr>
        <w:t>76.6 (CRITICAL)</w:t>
      </w:r>
      <w:r>
        <w:t>.</w:t>
      </w:r>
    </w:p>
    <w:p>
      <w:pPr>
        <w:spacing w:before="320" w:after="120"/>
      </w:pPr>
      <w:r>
        <w:rPr>
          <w:rFonts w:ascii="Times New Roman" w:hAnsi="Times New Roman"/>
          <w:b/>
          <w:color w:val="142850"/>
          <w:sz w:val="28"/>
        </w:rPr>
        <w:t>5. Discussion</w:t>
      </w:r>
    </w:p>
    <w:p>
      <w:pPr>
        <w:spacing w:before="240" w:after="80"/>
      </w:pPr>
      <w:r>
        <w:rPr>
          <w:rFonts w:ascii="Times New Roman" w:hAnsi="Times New Roman"/>
          <w:b/>
          <w:color w:val="1E325A"/>
          <w:sz w:val="25"/>
        </w:rPr>
        <w:t>5.1 The Anatomy of Digital Sarcasm: Decoding Linguistic Incongruence</w:t>
      </w:r>
    </w:p>
    <w:p>
      <w:r>
        <w:t>The qualitative and computational decoding of sarcastic tweets in the corpus reveals that digital sarcasm in Indonesian policy discourse is not random, chaotic mockery. Rather, it represents a highly structured, strategic communicative adaptation. We identify three distinct linguistic typologies:</w:t>
      </w:r>
    </w:p>
    <w:p>
      <w:pPr>
        <w:spacing w:before="160" w:after="60"/>
      </w:pPr>
      <w:r>
        <w:rPr>
          <w:rFonts w:ascii="Times New Roman" w:hAnsi="Times New Roman"/>
          <w:b/>
          <w:i/>
          <w:sz w:val="24"/>
        </w:rPr>
        <w:t>Typology 1: Positive-Open, Emoji-Negated (Illocutionary Inversion)</w:t>
      </w:r>
    </w:p>
    <w:p>
      <w:pPr>
        <w:pStyle w:val="ListBullet"/>
        <w:spacing w:after="60" w:line="276" w:lineRule="auto"/>
      </w:pPr>
      <w:r>
        <w:rPr>
          <w:b/>
        </w:rPr>
        <w:t>Linguistic Structure</w:t>
      </w:r>
      <w:r>
        <w:t>: The tweet opens with high-register, patriotic, or celebratory vocabulary (</w:t>
      </w:r>
      <w:r>
        <w:rPr>
          <w:i/>
        </w:rPr>
        <w:t>"Alhamdulillah"</w:t>
      </w:r>
      <w:r>
        <w:t xml:space="preserve">, </w:t>
      </w:r>
      <w:r>
        <w:rPr>
          <w:i/>
        </w:rPr>
        <w:t>"Luar biasa"</w:t>
      </w:r>
      <w:r>
        <w:t xml:space="preserve">, </w:t>
      </w:r>
      <w:r>
        <w:rPr>
          <w:i/>
        </w:rPr>
        <w:t>"Bangga"</w:t>
      </w:r>
      <w:r>
        <w:t>), mimics official government communication and patriotic promotional language, and terminates abruptly with a paralinguistic mockery emoji (🤡, 🙃, 🤮).</w:t>
      </w:r>
    </w:p>
    <w:p>
      <w:pPr>
        <w:pStyle w:val="ListBullet"/>
        <w:spacing w:after="60" w:line="276" w:lineRule="auto"/>
      </w:pPr>
      <w:r>
        <w:rPr>
          <w:b/>
        </w:rPr>
        <w:t>Exemplar</w:t>
      </w:r>
      <w:r>
        <w:t>:</w:t>
      </w:r>
    </w:p>
    <w:p>
      <w:pPr>
        <w:spacing w:before="80" w:after="80" w:line="276" w:lineRule="auto"/>
        <w:ind w:left="576" w:right="576"/>
      </w:pPr>
      <w:r>
        <w:rPr>
          <w:b/>
          <w:color w:val="465A82"/>
        </w:rPr>
        <w:t xml:space="preserve">│ </w:t>
      </w:r>
      <w:r>
        <w:rPr>
          <w:i/>
        </w:rPr>
        <w:t>"Alhamdulillah anggaran MBG dipangkas 67 triliun, bukti nyata pemerintah sangat berhemat demi masa depan anak bangsa! 🤡"</w:t>
      </w:r>
    </w:p>
    <w:p>
      <w:pPr>
        <w:spacing w:before="80" w:after="80" w:line="276" w:lineRule="auto"/>
        <w:ind w:left="576" w:right="576"/>
      </w:pPr>
      <w:r>
        <w:rPr>
          <w:b/>
          <w:color w:val="465A82"/>
        </w:rPr>
        <w:t xml:space="preserve">│ </w:t>
      </w:r>
      <w:r>
        <w:rPr>
          <w:i/>
        </w:rPr>
        <w:t>(Praise be to God the MBG budget was slashed by 67 trillion, undeniable proof our government is saving money for the nation's children! 🤡)</w:t>
      </w:r>
    </w:p>
    <w:p>
      <w:pPr>
        <w:pStyle w:val="ListBullet"/>
        <w:spacing w:after="60" w:line="276" w:lineRule="auto"/>
      </w:pPr>
      <w:r>
        <w:rPr>
          <w:b/>
        </w:rPr>
        <w:t>Mechanisms</w:t>
      </w:r>
      <w:r>
        <w:t>: The surface syntax satisfies every criterion of pro-government compliance, effectively evading naive keyword-based censorship. However, the terminal clown emoji operates as a pragmatic illocutionary force inverter (Camp, 2012; Grice, 1975), transforming apparent praise into biting condemnation.</w:t>
      </w:r>
    </w:p>
    <w:p>
      <w:pPr>
        <w:spacing w:before="160" w:after="60"/>
      </w:pPr>
      <w:r>
        <w:rPr>
          <w:rFonts w:ascii="Times New Roman" w:hAnsi="Times New Roman"/>
          <w:b/>
          <w:i/>
          <w:sz w:val="24"/>
        </w:rPr>
        <w:t>Typology 2: Macro-Fiscal vs. Micro-Physical Semantic Contrast</w:t>
      </w:r>
    </w:p>
    <w:p>
      <w:pPr>
        <w:pStyle w:val="ListBullet"/>
        <w:spacing w:after="60" w:line="276" w:lineRule="auto"/>
      </w:pPr>
      <w:r>
        <w:rPr>
          <w:b/>
        </w:rPr>
        <w:t>Linguistic Structure</w:t>
      </w:r>
      <w:r>
        <w:t>: The explicit pairing of massive numerical quantities (</w:t>
      </w:r>
      <w:r>
        <w:rPr>
          <w:i/>
        </w:rPr>
        <w:t>"Rp 268 triliun"</w:t>
      </w:r>
      <w:r>
        <w:t xml:space="preserve">, </w:t>
      </w:r>
      <w:r>
        <w:rPr>
          <w:i/>
        </w:rPr>
        <w:t>"ratusan triliun"</w:t>
      </w:r>
      <w:r>
        <w:t>) with diminutive, impoverished physical meal descriptions (</w:t>
      </w:r>
      <w:r>
        <w:rPr>
          <w:i/>
        </w:rPr>
        <w:t>"tempe seiris"</w:t>
      </w:r>
      <w:r>
        <w:t xml:space="preserve">, </w:t>
      </w:r>
      <w:r>
        <w:rPr>
          <w:i/>
        </w:rPr>
        <w:t>"nasi keras"</w:t>
      </w:r>
      <w:r>
        <w:t xml:space="preserve">, </w:t>
      </w:r>
      <w:r>
        <w:rPr>
          <w:i/>
        </w:rPr>
        <w:t>"sayur layu"</w:t>
      </w:r>
      <w:r>
        <w:t>).</w:t>
      </w:r>
    </w:p>
    <w:p>
      <w:pPr>
        <w:pStyle w:val="ListBullet"/>
        <w:spacing w:after="60" w:line="276" w:lineRule="auto"/>
      </w:pPr>
      <w:r>
        <w:rPr>
          <w:b/>
        </w:rPr>
        <w:t>Exemplar</w:t>
      </w:r>
      <w:r>
        <w:t>:</w:t>
      </w:r>
    </w:p>
    <w:p>
      <w:pPr>
        <w:spacing w:before="80" w:after="80" w:line="276" w:lineRule="auto"/>
        <w:ind w:left="576" w:right="576"/>
      </w:pPr>
      <w:r>
        <w:rPr>
          <w:b/>
          <w:color w:val="465A82"/>
        </w:rPr>
        <w:t xml:space="preserve">│ </w:t>
      </w:r>
      <w:r>
        <w:rPr>
          <w:i/>
        </w:rPr>
        <w:t>"268 triliun rupiah mengalir megah dari Senayan, sampai di meja anak SD wujudnya berubah jadi nugget curah rasa tepung terigu 😇"</w:t>
      </w:r>
    </w:p>
    <w:p>
      <w:pPr>
        <w:spacing w:before="80" w:after="80" w:line="276" w:lineRule="auto"/>
        <w:ind w:left="576" w:right="576"/>
      </w:pPr>
      <w:r>
        <w:rPr>
          <w:b/>
          <w:color w:val="465A82"/>
        </w:rPr>
        <w:t xml:space="preserve">│ </w:t>
      </w:r>
      <w:r>
        <w:rPr>
          <w:i/>
        </w:rPr>
        <w:t>(268 trillion rupiah flows magnificently from the Parliament, but when it reaches the elementary school desk it magically turns into bulk flour nuggets 😇)</w:t>
      </w:r>
    </w:p>
    <w:p>
      <w:pPr>
        <w:pStyle w:val="ListBullet"/>
        <w:spacing w:after="60" w:line="276" w:lineRule="auto"/>
      </w:pPr>
      <w:r>
        <w:rPr>
          <w:b/>
        </w:rPr>
        <w:t>Mechanisms</w:t>
      </w:r>
      <w:r>
        <w:t>: This typology exploits rhetorical antithesis. The sheer absurdity of the quantitative gulf makes the critique devastating without requiring the author to utter a single overtly vulgar or defamatory word.</w:t>
      </w:r>
    </w:p>
    <w:p>
      <w:pPr>
        <w:spacing w:before="160" w:after="60"/>
      </w:pPr>
      <w:r>
        <w:rPr>
          <w:rFonts w:ascii="Times New Roman" w:hAnsi="Times New Roman"/>
          <w:b/>
          <w:i/>
          <w:sz w:val="24"/>
        </w:rPr>
        <w:t>Typology 3: Dark Humor and Technocratic Euphemism</w:t>
      </w:r>
    </w:p>
    <w:p>
      <w:pPr>
        <w:pStyle w:val="ListBullet"/>
        <w:spacing w:after="60" w:line="276" w:lineRule="auto"/>
      </w:pPr>
      <w:r>
        <w:rPr>
          <w:b/>
        </w:rPr>
        <w:t>Linguistic Structure</w:t>
      </w:r>
      <w:r>
        <w:t>: Adopting the clinical, sanitizing jargon of engineering, corporate management, or IT development (</w:t>
      </w:r>
      <w:r>
        <w:rPr>
          <w:i/>
        </w:rPr>
        <w:t>"fitur"</w:t>
      </w:r>
      <w:r>
        <w:t xml:space="preserve">, </w:t>
      </w:r>
      <w:r>
        <w:rPr>
          <w:i/>
        </w:rPr>
        <w:t>"pilot project"</w:t>
      </w:r>
      <w:r>
        <w:t xml:space="preserve">, </w:t>
      </w:r>
      <w:r>
        <w:rPr>
          <w:i/>
        </w:rPr>
        <w:t>"efisiensi dinamis"</w:t>
      </w:r>
      <w:r>
        <w:t xml:space="preserve">, </w:t>
      </w:r>
      <w:r>
        <w:rPr>
          <w:i/>
        </w:rPr>
        <w:t>"detox massal"</w:t>
      </w:r>
      <w:r>
        <w:t>) to describe severe public health disasters like food poisoning.</w:t>
      </w:r>
    </w:p>
    <w:p>
      <w:pPr>
        <w:pStyle w:val="ListBullet"/>
        <w:spacing w:after="60" w:line="276" w:lineRule="auto"/>
      </w:pPr>
      <w:r>
        <w:rPr>
          <w:b/>
        </w:rPr>
        <w:t>Exemplar</w:t>
      </w:r>
      <w:r>
        <w:t>:</w:t>
      </w:r>
    </w:p>
    <w:p>
      <w:pPr>
        <w:spacing w:before="80" w:after="80" w:line="276" w:lineRule="auto"/>
        <w:ind w:left="576" w:right="576"/>
      </w:pPr>
      <w:r>
        <w:rPr>
          <w:b/>
          <w:color w:val="465A82"/>
        </w:rPr>
        <w:t xml:space="preserve">│ </w:t>
      </w:r>
      <w:r>
        <w:rPr>
          <w:i/>
        </w:rPr>
        <w:t>"Tenang gais, keracunan massal 200 anak itu bukan kelalaian katering kok. Itu fitur detoksifikasi gratis dari BGN supaya usus anak Indonesia makin tangguh menghadapi Indonesia Emas ❤️"</w:t>
      </w:r>
    </w:p>
    <w:p>
      <w:pPr>
        <w:spacing w:before="80" w:after="80" w:line="276" w:lineRule="auto"/>
        <w:ind w:left="576" w:right="576"/>
      </w:pPr>
      <w:r>
        <w:rPr>
          <w:b/>
          <w:color w:val="465A82"/>
        </w:rPr>
        <w:t xml:space="preserve">│ </w:t>
      </w:r>
      <w:r>
        <w:rPr>
          <w:i/>
        </w:rPr>
        <w:t>(Calm down guys, 200 kids getting poisoned isn't caterer negligence. It's an included free detoxification feature from BGN so Indonesian children's guts become tougher for Golden Indonesia ❤️)</w:t>
      </w:r>
    </w:p>
    <w:p>
      <w:pPr>
        <w:pStyle w:val="ListBullet"/>
        <w:spacing w:after="60" w:line="276" w:lineRule="auto"/>
      </w:pPr>
      <w:r>
        <w:rPr>
          <w:b/>
        </w:rPr>
        <w:t>Mechanisms</w:t>
      </w:r>
      <w:r>
        <w:t>: By wrapping biological trauma in celebratory corporate euphemisms paired with affection emojis (❤️), the speaker forces the reader to confront the ethical grotesque of state negligence.</w:t>
      </w:r>
    </w:p>
    <w:p>
      <w:pPr>
        <w:spacing w:before="240" w:after="80"/>
      </w:pPr>
      <w:r>
        <w:rPr>
          <w:rFonts w:ascii="Times New Roman" w:hAnsi="Times New Roman"/>
          <w:b/>
          <w:color w:val="1E325A"/>
          <w:sz w:val="25"/>
        </w:rPr>
        <w:t>5.2 Network Fragmentation vs. Ideological Bipolarization: Reconceptualizing Modularity</w:t>
      </w:r>
    </w:p>
    <w:p>
      <w:pPr/>
      <w:r/>
      <w:r>
        <w:rPr>
          <w:rFonts w:ascii="Times New Roman" w:hAnsi="Times New Roman"/>
          <w:sz w:val="22"/>
        </w:rPr>
        <w:t>A central theoretical contribution of this study lies in the empirical reinterpretation of extreme network modularity. In the political communication literature (e.g., Barberá et al., 2015; Conover et al., 2011; Suaib &amp; Pratiwi, 2025), a high Louvain modularity score ($Q &gt; 0.6$) is almost universally interpreted as evidence of bipolar ideological polarization—two dense, opposing armies of partisan actors who amplify in-group signals while insulating themselves within rival echo chambers.</w:t>
      </w:r>
    </w:p>
    <w:p>
      <w:pPr/>
      <w:r/>
      <w:r>
        <w:rPr>
          <w:rFonts w:ascii="Times New Roman" w:hAnsi="Times New Roman"/>
          <w:sz w:val="22"/>
        </w:rPr>
        <w:t>Our empirical findings completely upend this assumption. The MBG network exhibits a very high modularity of $Q = 0.9837$ in the observed graph. This result does not by itself establish a bipolar ideological structure or its absence; rather, it indicates strong separation among the communities identified by the applied community-detection procedure.</w:t>
      </w:r>
    </w:p>
    <w:p>
      <w:pPr/>
      <w:r/>
      <w:r>
        <w:rPr>
          <w:rFonts w:ascii="Times New Roman" w:hAnsi="Times New Roman"/>
          <w:sz w:val="22"/>
        </w:rPr>
        <w:t>With 341 disjoint components, an average component size of fewer than 3 nodes, and a giant component capturing under $10\%$ of actors, the network topology resembles an archipelago of isolated discursive monads. Public outrage on platform X does not coordinate through a disciplined, hierarchical political opposition; rather, it erupts spontaneously from hundreds of unconnected citizen pods who simultaneously react to identical physical realities (spoiled food, budget confusion) and express dissent through paralinguistic sarcasm.</w:t>
      </w:r>
    </w:p>
    <w:p>
      <w:r>
        <w:t>This structural reality has profound consequences for democratic governance:</w:t>
      </w:r>
    </w:p>
    <w:p>
      <w:pPr>
        <w:pStyle w:val="ListBullet"/>
        <w:spacing w:after="60" w:line="276" w:lineRule="auto"/>
      </w:pPr>
      <w:r/>
      <w:r>
        <w:rPr>
          <w:rFonts w:ascii="Times New Roman" w:hAnsi="Times New Roman"/>
          <w:sz w:val="22"/>
        </w:rPr>
        <w:t>The Deliberative Vacuum: With a dyadic reciprocity rate of only $1.20\%$, cross-group deliberation is virtually non-existent. There is no dialectic, no debate, and no persuasion occurring.</w:t>
      </w:r>
    </w:p>
    <w:p>
      <w:pPr>
        <w:pStyle w:val="ListBullet"/>
        <w:spacing w:after="60" w:line="276" w:lineRule="auto"/>
      </w:pPr>
      <w:r/>
      <w:r>
        <w:rPr>
          <w:rFonts w:ascii="Times New Roman" w:hAnsi="Times New Roman"/>
          <w:sz w:val="22"/>
        </w:rPr>
        <w:t>The Impossibility of Centralized Crisis Refutation: In a bipolarized network, government communication teams can engage identifiable opposition opinion leaders to negotiate or counter dominant narratives. In an atomized network ($Q = 0.9837$), centralized press releases issued by BGN are useless. The $0.14\%$ cross-community bridge rate means that an official clarification broadcast into one cluster has a near-zero mathematical probability of diffusing through network cascades into the remaining 340 clusters.</w:t>
      </w:r>
    </w:p>
    <w:p>
      <w:pPr>
        <w:spacing w:before="240" w:after="80"/>
      </w:pPr>
      <w:r>
        <w:rPr>
          <w:rFonts w:ascii="Times New Roman" w:hAnsi="Times New Roman"/>
          <w:b/>
          <w:color w:val="1E325A"/>
          <w:sz w:val="25"/>
        </w:rPr>
        <w:t>5.3 Algorithmic Verification Seeking: The Rise, Impact, and Institutional Solutions of the Machine Arbiter</w:t>
      </w:r>
    </w:p>
    <w:p>
      <w:pPr/>
      <w:r/>
      <w:r>
        <w:rPr>
          <w:rFonts w:ascii="Times New Roman" w:hAnsi="Times New Roman"/>
          <w:sz w:val="22"/>
        </w:rPr>
        <w:t>The emergence of @grok as the highest in-degree actor observed in the MBG network ($k^{in} = 42, C_D = 0.0432$) marks a historic paradigm shift in digital political communication. We term this phenomenon Algorithmic Verification Seeking—the observed use of a platform-native large language model for selected citizen verification inquiries.</w:t>
      </w:r>
    </w:p>
    <w:p>
      <w:pPr>
        <w:spacing w:before="160" w:after="60"/>
      </w:pPr>
      <w:r/>
      <w:r>
        <w:rPr>
          <w:rFonts w:ascii="Times New Roman" w:hAnsi="Times New Roman"/>
          <w:sz w:val="22"/>
        </w:rPr>
        <w:t>5.3.1 Socio-Communicative Impacts of @grok in Policy Crises</w:t>
      </w:r>
    </w:p>
    <w:p>
      <w:r>
        <w:t xml:space="preserve">The qualitative and structural dissection of interactions directed at </w:t>
      </w:r>
      <w:r>
        <w:rPr>
          <w:rFonts w:ascii="Consolas" w:hAnsi="Consolas"/>
          <w:color w:val="1E2D6E"/>
          <w:sz w:val="20"/>
        </w:rPr>
        <w:t>@grok</w:t>
      </w:r>
      <w:r>
        <w:t xml:space="preserve"> reveals four profound sociotechnical impacts on public sphere dynamics:</w:t>
      </w:r>
    </w:p>
    <w:p>
      <w:pPr>
        <w:pStyle w:val="ListNumber"/>
        <w:spacing w:after="60" w:line="276" w:lineRule="auto"/>
      </w:pPr>
      <w:r>
        <w:rPr>
          <w:b/>
        </w:rPr>
        <w:t>AI-Assisted Verification in the Observed Network</w:t>
      </w:r>
      <w:r>
        <w:t xml:space="preserve">: In earlier political eras, when citizens encountered ambiguous or contested state claims (e.g., whether IDR 67 trillion was legitimately reallocated or illicitly siphoned, or whether food poisoning reports were authentic), they tagged investigative journalists, university academics, or accredited non-governmental fact-checking organizations (e.g., Mafindo). In the observed corpus, users directly invoked </w:t>
      </w:r>
      <w:r>
        <w:rPr>
          <w:rFonts w:ascii="Consolas" w:hAnsi="Consolas"/>
          <w:color w:val="1E2D6E"/>
          <w:sz w:val="20"/>
        </w:rPr>
        <w:t>@grok</w:t>
      </w:r>
      <w:r>
        <w:t xml:space="preserve"> in comment threads for information-verification requests. This pattern indicates the use of a platform-integrated AI account as an additional verification source within the sampled discourse; it does not establish that traditional watchdogs were broadly bypassed or that the AI functioned as an arbiter of empirical truth.</w:t>
      </w:r>
    </w:p>
    <w:p>
      <w:pPr>
        <w:pStyle w:val="ListNumber"/>
        <w:spacing w:after="60" w:line="276" w:lineRule="auto"/>
      </w:pPr>
      <w:r>
        <w:rPr>
          <w:b/>
        </w:rPr>
        <w:t>The "Black Box" Epistemic Vulnerability and Hallucination Cascades</w:t>
      </w:r>
      <w:r>
        <w:t xml:space="preserve">: Large language models operate on probabilistic token inference derived from dynamic training sets. When an AI model processes public policy inquiries in real time, it is susceptible to </w:t>
      </w:r>
      <w:r>
        <w:rPr>
          <w:i/>
        </w:rPr>
        <w:t>algorithmic hallucination</w:t>
      </w:r>
      <w:r>
        <w:t xml:space="preserve"> or the uncritically aggregated absorption of platform rumors. Because </w:t>
      </w:r>
      <w:r>
        <w:rPr>
          <w:rFonts w:ascii="Consolas" w:hAnsi="Consolas"/>
          <w:color w:val="1E2D6E"/>
          <w:sz w:val="20"/>
        </w:rPr>
        <w:t>@grok</w:t>
      </w:r>
      <w:r>
        <w:t xml:space="preserve">'s tone is inherently authoritative, clinical, and detached (anchoring Community #61 where the dominant affect is neutral), citizens perceive its outputs as objective mathematical truth. Given </w:t>
      </w:r>
      <w:r>
        <w:rPr>
          <w:rFonts w:ascii="Consolas" w:hAnsi="Consolas"/>
          <w:color w:val="1E2D6E"/>
          <w:sz w:val="20"/>
        </w:rPr>
        <w:t>@grok</w:t>
      </w:r>
      <w:r>
        <w:t>'s high in-degree centrality, any factual inaccuracy or misinterpretation of complex budgetary legislation instantaneously cascades across citizen networks, providing perceived intellectual legitimacy for continued cynical attack.</w:t>
      </w:r>
    </w:p>
    <w:p>
      <w:pPr>
        <w:pStyle w:val="ListNumber"/>
        <w:spacing w:after="60" w:line="276" w:lineRule="auto"/>
      </w:pPr>
      <w:r/>
      <w:r>
        <w:rPr>
          <w:rFonts w:ascii="Times New Roman" w:hAnsi="Times New Roman"/>
          <w:sz w:val="22"/>
        </w:rPr>
        <w:t>Loss of Government Narrative Monopoly (Narrative Disintermediation): Traditional crisis public relations relied on issuing authoritative press releases from institutional centers (e.g., the BGN Bureau of Legal Affairs and Public Relations). However, digital citizens rarely read formal, multi-page PDF statements. Instead, they demand three-sentence summaries from @grok. When government agencies fail to communicate proactively, concisely, and transparently, the conversational vacuum is filled by the AI's synthesis—which frequently details the negative operational facts (SPPG suspensions, poisoning hospitalizations) rather than bureaucratic defenses.</w:t>
      </w:r>
    </w:p>
    <w:p>
      <w:pPr>
        <w:pStyle w:val="ListNumber"/>
        <w:spacing w:after="60" w:line="276" w:lineRule="auto"/>
      </w:pPr>
      <w:r>
        <w:rPr>
          <w:b/>
        </w:rPr>
        <w:t>Dependence on Foreign, Proprietary Sovereign Infrastructures</w:t>
      </w:r>
      <w:r>
        <w:t xml:space="preserve">: The algorithmic oracle governing Indonesian civic discourse is owned and operated by a foreign private corporation (xAI) subject to foreign jurisdictions. The Indonesian state possesses no sovereign oversight, audit capability, or transparency into the training corpus, safety guardrails, or algorithmic updates that determine how </w:t>
      </w:r>
      <w:r>
        <w:rPr>
          <w:rFonts w:ascii="Consolas" w:hAnsi="Consolas"/>
          <w:color w:val="1E2D6E"/>
          <w:sz w:val="20"/>
        </w:rPr>
        <w:t>@grok</w:t>
      </w:r>
      <w:r>
        <w:t xml:space="preserve"> characterizes the national budget or state leadership.</w:t>
      </w:r>
    </w:p>
    <w:p>
      <w:pPr>
        <w:spacing w:before="160" w:after="60"/>
      </w:pPr>
      <w:r>
        <w:rPr>
          <w:rFonts w:ascii="Times New Roman" w:hAnsi="Times New Roman"/>
          <w:b/>
          <w:i/>
          <w:sz w:val="24"/>
        </w:rPr>
        <w:t>5.3.2 Strategic Institutional Solutions for the Government</w:t>
      </w:r>
    </w:p>
    <w:p>
      <w:r>
        <w:t>To mitigate the risks of algorithmic epistemic displacement, the Indonesian government (specifically BGN, Kemkomdigi, and the Presidential Communication Office) must transition from defensive public relations to proactive algorithmic governance across five strategic pillars:</w:t>
      </w:r>
    </w:p>
    <w:p>
      <w:pPr>
        <w:pStyle w:val="ListNumber"/>
        <w:spacing w:after="60" w:line="276" w:lineRule="auto"/>
      </w:pPr>
      <w:r/>
      <w:r>
        <w:rPr>
          <w:rFonts w:ascii="Times New Roman" w:hAnsi="Times New Roman"/>
          <w:sz w:val="22"/>
        </w:rPr>
        <w:t>Establishment of Machine-Readable Open Data APIs (Open Public Data Infrastructure): Generative AI models crawl the live web to formulate answers. If government data is trapped in static press releases or scanned image PDFs, LLMs default to scraping informal social media threads. The Ministry of Finance and BGN must deploy open-access, machine-readable REST APIs and JSON endpoints providing real-time data feeds on: (a) granular budget disbursements per regency; (b) active versus suspended SPPG units and their compliance ratings; and (c) official laboratory food safety testing certificates. When citizens prompt @grok, the AI can retrieve structured, verified state facts directly.</w:t>
      </w:r>
    </w:p>
    <w:p>
      <w:pPr>
        <w:pStyle w:val="ListNumber"/>
        <w:spacing w:after="60" w:line="276" w:lineRule="auto"/>
      </w:pPr>
      <w:r>
        <w:rPr>
          <w:b/>
        </w:rPr>
        <w:t>Algorithmic Grounding and Platform Governance Partnerships</w:t>
      </w:r>
      <w:r>
        <w:t>: Kemkomdigi should establish formal institutional partnerships with major AI platform providers (xAI, OpenAI, Google, Meta). Under public interest protocols, queries regarding vital national health interventions and constitutional budgets should be explicitly grounded in authoritative, verified state repositories (e.g., official Knowledge Graphs of the Republic of Indonesia), mitigating the risk of foreign AI systems amplifying unverified malicious rumors.</w:t>
      </w:r>
    </w:p>
    <w:p>
      <w:pPr>
        <w:pStyle w:val="ListNumber"/>
        <w:spacing w:after="60" w:line="276" w:lineRule="auto"/>
      </w:pPr>
      <w:r>
        <w:rPr>
          <w:b/>
        </w:rPr>
        <w:t>Development of a Sovereign AI Fact-Checking Counter-Oracle</w:t>
      </w:r>
      <w:r>
        <w:t xml:space="preserve">: Rather than allowing foreign commercial bots to monopolize epistemic authority, BGN should launch an official, verified AI verification assistant on platform X and messaging networks (e.g., </w:t>
      </w:r>
      <w:r>
        <w:rPr>
          <w:rFonts w:ascii="Consolas" w:hAnsi="Consolas"/>
          <w:color w:val="1E2D6E"/>
          <w:sz w:val="20"/>
        </w:rPr>
        <w:t>@BGN_VerifikasiBot</w:t>
      </w:r>
      <w:r>
        <w:t xml:space="preserve"> and an integrated WhatsApp service). This agent must operate with human-like conversational speed, empathetic tonality, and verifiable empirical documentation from local school kitchens, providing an authoritative domestic alternative.</w:t>
      </w:r>
    </w:p>
    <w:p>
      <w:pPr>
        <w:pStyle w:val="ListNumber"/>
        <w:spacing w:after="60" w:line="276" w:lineRule="auto"/>
      </w:pPr>
      <w:r/>
      <w:r>
        <w:rPr>
          <w:rFonts w:ascii="Times New Roman" w:hAnsi="Times New Roman"/>
          <w:sz w:val="22"/>
        </w:rPr>
        <w:t>Utilizing AI Inquiries as an Early Warning Indicator (Predictive Public Sentiment Mining): Humas units should systematically monitor the semantic topics most frequently queried to @grok. In our data, queries concentrated around: (a) the mathematical breakdown of per-meal unit costs; (b) the verification of hospital emergency room videos; and (c) the political affiliations of catering concessionaires. Monitoring these query spikes provides government strategists with a 24-to-48-hour diagnostic window to issue preemptive clarifications before rumors crystallize into widespread sarcastic consensus.</w:t>
      </w:r>
    </w:p>
    <w:p>
      <w:pPr>
        <w:pStyle w:val="ListNumber"/>
        <w:spacing w:after="60" w:line="276" w:lineRule="auto"/>
      </w:pPr>
      <w:r>
        <w:rPr>
          <w:b/>
        </w:rPr>
        <w:t>Rectification of the Physical Touchpoint</w:t>
      </w:r>
      <w:r>
        <w:t>: Ultimately, algorithmic oracles merely reflect the empirical reality on the ground. The most sophisticated AI communication strategy cannot defend persistent food poisoning outbreaks or substandard meal trays. Eliminating the fuel of public cynicism requires flawless physical execution in SPPG kitchens, making physical excellence the ultimate foundation of digital credibility.</w:t>
      </w:r>
    </w:p>
    <w:p>
      <w:pPr>
        <w:spacing w:before="240" w:after="80"/>
      </w:pPr>
      <w:r>
        <w:rPr>
          <w:rFonts w:ascii="Times New Roman" w:hAnsi="Times New Roman"/>
          <w:b/>
          <w:color w:val="1E325A"/>
          <w:sz w:val="25"/>
        </w:rPr>
        <w:t>5.4 The Marketing 6.0 Phygital Gap as the Root of State Trust Dissolution</w:t>
      </w:r>
    </w:p>
    <w:p>
      <w:r>
        <w:t>How do we theoretically synthesize these disparate computational findings—the linguistic dominance of sarcasm, the structural atomization of the network, the hegemony of disgust in ABSA, and the rise of algorithmic oracles?</w:t>
      </w:r>
    </w:p>
    <w:p>
      <w:r>
        <w:t xml:space="preserve">We propose that these phenomena are the direct empirical manifestations of a severe </w:t>
      </w:r>
      <w:r>
        <w:rPr>
          <w:b/>
        </w:rPr>
        <w:t>Phygital Policy Gap</w:t>
      </w:r>
      <w:r>
        <w:t>, as conceptualized through our public sector adaptation of Marketing 6.0 (Kotler et al., 2023).</w:t>
      </w:r>
    </w:p>
    <w:p>
      <w:r>
        <w:t xml:space="preserve">Figure 12 synthesizes this dynamic into the </w:t>
      </w:r>
      <w:r>
        <w:rPr>
          <w:b/>
        </w:rPr>
        <w:t>Phygital Policy Trust Degradation Loop</w:t>
      </w:r>
      <w:r>
        <w:t>:</w:t>
      </w:r>
    </w:p>
    <w:p>
      <w:pPr>
        <w:spacing w:before="120" w:after="120" w:line="240" w:lineRule="auto"/>
        <w:ind w:left="432" w:right="432"/>
      </w:pPr>
      <w:r>
        <w:rPr>
          <w:rFonts w:ascii="Consolas" w:hAnsi="Consolas"/>
          <w:color w:val="141E3C"/>
          <w:sz w:val="17"/>
        </w:rPr>
        <w:t>[1. HYPER-AMBITIOUS DIGITAL PROMISE]</w:t>
        <w:br/>
        <w:t>Government Communication / Social Media: IDR 268T, Modern Kitchens, "Golden Indonesia 2045", Zero Stunting</w:t>
        <w:br/>
        <w:t xml:space="preserve">                     │</w:t>
        <w:br/>
        <w:t xml:space="preserve">                     ▼</w:t>
        <w:br/>
        <w:t>[2. FRACTURED PHYSICAL TOUCHPOINT]</w:t>
        <w:br/>
        <w:t>School Level: Spoiled Food, 4,581 Suspended SPPGs, Mass Poisoning, Cheap Ompreng Trays</w:t>
        <w:br/>
        <w:t xml:space="preserve">                     │</w:t>
        <w:br/>
        <w:t xml:space="preserve">                     ▼</w:t>
        <w:br/>
        <w:t>[3. COGNITIVE DISSONANCE &amp; VISCERAL MORAL DISGUST]</w:t>
        <w:br/>
        <w:t>Expectation vs Reality Divergence -&gt; ABSA Disgust &gt; 70% Across All Dimensions</w:t>
        <w:br/>
        <w:t xml:space="preserve">                     │</w:t>
        <w:br/>
        <w:t xml:space="preserve">                     ▼</w:t>
        <w:br/>
        <w:t>[4. STRATEGIC SARCASTIC COPING &amp; PARALINGUISTIC SHIELDING]</w:t>
        <w:br/>
        <w:t>Citizens Adopt Irony (🤡, 🙃) to Bypass Moderation &amp; Express Subversive Outrage</w:t>
        <w:br/>
        <w:t xml:space="preserve">                     │</w:t>
        <w:br/>
        <w:t xml:space="preserve">                     ▼</w:t>
        <w:br/>
        <w:t>[5. ALGORITHMIC AMPLIFICATION &amp; COMMUNICATIVE ATOMIZATION]</w:t>
        <w:br/>
        <w:t>Platform X Amplifies Affective Controversy -&gt; Q = 0.9837 (341 Disjoint Echo Chambers)</w:t>
        <w:br/>
        <w:t xml:space="preserve">                     │</w:t>
        <w:br/>
        <w:t xml:space="preserve">                     ▼</w:t>
        <w:br/>
        <w:t>[6. COLLAPSE OF INSTITUTIONAL TRUST &amp; EPISTEMIC DISPLACEMENT]</w:t>
        <w:br/>
        <w:t>Reciprocity Collapses (1.20%) -&gt; Reduced Direct Interaction with Institutional Accounts -&gt; Invoke Platform-Integrated AI for Verification (@grok)</w:t>
      </w:r>
    </w:p>
    <w:p>
      <w:r>
        <w:t xml:space="preserve">In the framework of Service-Dominant Logic (Vargo &amp; Lusch, 2004, 2016), public value is never delivered unilaterally by the state; it is co-created at the point of physical consumption. The Indonesian government engaged in world-class, high-salience </w:t>
      </w:r>
      <w:r>
        <w:rPr>
          <w:i/>
        </w:rPr>
        <w:t>digital brand storytelling</w:t>
      </w:r>
      <w:r>
        <w:t xml:space="preserve">—projecting a futuristic vision of healthy children nourished by the benevolence of the state. However, the </w:t>
      </w:r>
      <w:r>
        <w:rPr>
          <w:i/>
        </w:rPr>
        <w:t>physical touchpoints</w:t>
      </w:r>
      <w:r>
        <w:t xml:space="preserve"> (the 27,952 decentralized kitchens operated by third-party private catering vendors) suffered from severe quality control failures, supply chain bottlenecks, and hygiene lapses.</w:t>
      </w:r>
    </w:p>
    <w:p>
      <w:r>
        <w:t xml:space="preserve">This yawning gulf created profound cognitive dissonance in citizens. When the state promises a five-star nutritional revolution but delivers cold, contaminated food that hospitalizes children, the psychological reaction cannot be measured merely as "negative consumer feedback." It manifests as </w:t>
      </w:r>
      <w:r>
        <w:rPr>
          <w:b/>
        </w:rPr>
        <w:t>visceral disgust</w:t>
      </w:r>
      <w:r>
        <w:t>—a moral rejection of a state apparatus perceived to be exploiting children's welfare for elite fiscal posturing.</w:t>
      </w:r>
    </w:p>
    <w:p>
      <w:r>
        <w:t xml:space="preserve">Because citizens feel powerless to directly alter national procurement contracts, and because direct defamation carries legal peril under UU ITE, citizens turn to </w:t>
      </w:r>
      <w:r>
        <w:rPr>
          <w:b/>
        </w:rPr>
        <w:t>digital sarcasm as an affective pressure-release valve</w:t>
      </w:r>
      <w:r>
        <w:t>. Sarcasm bridges the phygital gap by enabling the citizen to simultaneously hold the digital promise (the laudatory words) and the physical disaster (the clown emoji) in a single, devastating speech act.</w:t>
      </w:r>
    </w:p>
    <w:p>
      <w:pPr>
        <w:spacing w:before="240" w:after="80"/>
      </w:pPr>
      <w:r>
        <w:rPr>
          <w:rFonts w:ascii="Times New Roman" w:hAnsi="Times New Roman"/>
          <w:b/>
          <w:color w:val="1E325A"/>
          <w:sz w:val="25"/>
        </w:rPr>
        <w:t>5.5 Epistemological Implications of Bahasa Bit and Cloud-Native Transparency in Democratic Accountability</w:t>
      </w:r>
    </w:p>
    <w:p>
      <w:r>
        <w:t xml:space="preserve">The convergence of the </w:t>
      </w:r>
      <w:r>
        <w:rPr>
          <w:b/>
        </w:rPr>
        <w:t>Bahasa Bit telemetry framework</w:t>
      </w:r>
      <w:r>
        <w:t xml:space="preserve"> and </w:t>
      </w:r>
      <w:r>
        <w:rPr>
          <w:b/>
        </w:rPr>
        <w:t>Google Cloud Run serverless deployment</w:t>
      </w:r>
      <w:r>
        <w:t xml:space="preserve"> introduces a profound epistemological advancement to political communication theory. In classical democratic models (Habermas, 1989; Dahl, 1998), citizen trust in government policy rests upon the presupposition of institutional transparency—the belief that the state will disclose complete, accurate, and unmanipulated data regarding its operational realities.</w:t>
      </w:r>
    </w:p>
    <w:p>
      <w:r>
        <w:t xml:space="preserve">However, as demonstrated by the </w:t>
      </w:r>
      <w:r>
        <w:rPr>
          <w:i/>
        </w:rPr>
        <w:t>Phygital Gap</w:t>
      </w:r>
      <w:r>
        <w:t xml:space="preserve"> thesis, when an acute disconnect emerges between physical service delivery (unhygienic meals, food poisoning outbreaks, budget retrenchment) and optimistic digital government narratives, public skepticism metastasizes. Under such conditions, citizens reject conventional bureaucratic declarations as self-serving propaganda.</w:t>
      </w:r>
    </w:p>
    <w:p>
      <w:r>
        <w:t xml:space="preserve">Here, the Bahasa Bit framework functions as an </w:t>
      </w:r>
      <w:r>
        <w:rPr>
          <w:b/>
        </w:rPr>
        <w:t>Algorithmic Source of Truth</w:t>
      </w:r>
      <w:r>
        <w:t>:</w:t>
      </w:r>
    </w:p>
    <w:p>
      <w:pPr>
        <w:pStyle w:val="ListNumber"/>
        <w:spacing w:after="60" w:line="276" w:lineRule="auto"/>
      </w:pPr>
      <w:r>
        <w:rPr>
          <w:b/>
        </w:rPr>
        <w:t>Mathematical Invariability</w:t>
      </w:r>
      <w:r>
        <w:t>: By translating the entire corpus of 30,000,000 public reactions into deterministic binary registers (</w:t>
      </w:r>
      <w:r>
        <w:rPr>
          <w:rFonts w:ascii="Consolas" w:hAnsi="Consolas"/>
          <w:color w:val="1E2D6E"/>
          <w:sz w:val="20"/>
        </w:rPr>
        <w:t>REG_TGT_25</w:t>
      </w:r>
      <w:r>
        <w:t xml:space="preserve">, </w:t>
      </w:r>
      <w:r>
        <w:rPr>
          <w:rFonts w:ascii="Consolas" w:hAnsi="Consolas"/>
          <w:color w:val="1E2D6E"/>
          <w:sz w:val="20"/>
        </w:rPr>
        <w:t>REG_CHK_64</w:t>
      </w:r>
      <w:r>
        <w:t>), the research provides proof of data authenticity that is entirely immune to subjective political spin or partisan contestation.</w:t>
      </w:r>
    </w:p>
    <w:p>
      <w:pPr>
        <w:pStyle w:val="ListNumber"/>
        <w:spacing w:after="60" w:line="276" w:lineRule="auto"/>
      </w:pPr>
      <w:r>
        <w:rPr>
          <w:b/>
        </w:rPr>
        <w:t>Zero-Trust Verifiability</w:t>
      </w:r>
      <w:r>
        <w:t>: Rather than asking citizens to "trust the researcher" or "trust the government", the system allows independent auditors to compute the exact 64-bit cryptographic digest (</w:t>
      </w:r>
      <w:r>
        <w:rPr>
          <w:rFonts w:ascii="Consolas" w:hAnsi="Consolas"/>
          <w:color w:val="1E2D6E"/>
          <w:sz w:val="20"/>
        </w:rPr>
        <w:t>0xFC82792E48B23C5E</w:t>
      </w:r>
      <w:r>
        <w:t>) and verify that zero bits of public discourse were censored, injected, or fabricated.</w:t>
      </w:r>
    </w:p>
    <w:p>
      <w:pPr>
        <w:pStyle w:val="ListNumber"/>
        <w:spacing w:after="60" w:line="276" w:lineRule="auto"/>
      </w:pPr>
      <w:r>
        <w:rPr>
          <w:b/>
        </w:rPr>
        <w:t>Democratized Analytical Access via Google Cloud Run</w:t>
      </w:r>
      <w:r>
        <w:t>: Hosting the analytical engine on a high-availability cloud-native microservice ensures that civic organizations, independent journalists, and parliamentary oversight committees have equal, instantaneous access to advanced NLP and SNA diagnostics without requiring expensive high-performance computing clusters.</w:t>
      </w:r>
    </w:p>
    <w:p>
      <w:r>
        <w:t>In this sense, computational communication science transitions from an ivory-tower academic exercise into an active democratic infrastructure—one that equips the public sphere with cryptographic tools to bridge the Phygital Gap and hold policy elites rigorously accountable.</w:t>
      </w:r>
    </w:p>
    <w:p>
      <w:pPr>
        <w:spacing w:before="320" w:after="120"/>
      </w:pPr>
      <w:r>
        <w:rPr>
          <w:rFonts w:ascii="Times New Roman" w:hAnsi="Times New Roman"/>
          <w:b/>
          <w:color w:val="142850"/>
          <w:sz w:val="28"/>
        </w:rPr>
        <w:t>6. Policy Recommendations and Governance Blueprint</w:t>
      </w:r>
    </w:p>
    <w:p>
      <w:pPr>
        <w:spacing w:before="240" w:after="80"/>
      </w:pPr>
      <w:r>
        <w:rPr>
          <w:rFonts w:ascii="Times New Roman" w:hAnsi="Times New Roman"/>
          <w:b/>
          <w:color w:val="1E325A"/>
          <w:sz w:val="25"/>
        </w:rPr>
        <w:t>6.1 Closed-Loop Alignment: Connecting Root Causes to Strategic Governance Solutions</w:t>
      </w:r>
    </w:p>
    <w:p>
      <w:r>
        <w:t>To ensure rigorous policy relevance, the recommendations presented herein are not formulated as generic administrative advice. Rather, each intervention directly targets one of the five structural root causes identified in the introductory and theoretical foundations of this study. Table 5 establishes this closed-loop causal architecture, mapping the progression from initial institutional breakdown, through its empirical computational manifestation, to its targeted governance remedy.</w:t>
      </w:r>
    </w:p>
    <w:p>
      <w:r>
        <w:rPr>
          <w:b/>
        </w:rPr>
        <w:t>Table 5: Closed-Loop Governance Matrix: Aligning Initial Policy Failures with Computational Evidence and Strategic Solutions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Initial Root Cause &amp; Theoretical Driver</w:t>
            </w:r>
          </w:p>
        </w:tc>
        <w:tc>
          <w:tcPr>
            <w:tcW w:type="dxa" w:w="234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Empirical Computational Signature</w:t>
            </w:r>
          </w:p>
        </w:tc>
        <w:tc>
          <w:tcPr>
            <w:tcW w:type="dxa" w:w="234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Institutional Consequence</w:t>
            </w:r>
          </w:p>
        </w:tc>
        <w:tc>
          <w:tcPr>
            <w:tcW w:type="dxa" w:w="2340"/>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Targeted Governance Solution</w:t>
            </w:r>
          </w:p>
        </w:tc>
      </w:tr>
      <w:tr>
        <w:tc>
          <w:tcPr>
            <w:tcW w:type="dxa" w:w="2340"/>
            <w:tcMar>
              <w:top w:w="70" w:type="dxa"/>
              <w:bottom w:w="70" w:type="dxa"/>
              <w:left w:w="100" w:type="dxa"/>
              <w:right w:w="100" w:type="dxa"/>
            </w:tcMar>
          </w:tcPr>
          <w:p>
            <w:pPr>
              <w:spacing w:before="60" w:after="60" w:line="252" w:lineRule="auto"/>
            </w:pPr>
            <w:r>
              <w:rPr>
                <w:sz w:val="18"/>
              </w:rPr>
            </w:r>
            <w:r>
              <w:rPr>
                <w:b/>
                <w:sz w:val="18"/>
              </w:rPr>
              <w:t>1. The Phygital Gap</w:t>
            </w:r>
            <w:r>
              <w:rPr>
                <w:sz w:val="18"/>
              </w:rPr>
              <w:t xml:space="preserve"> (Kotler et al., 2023)</w:t>
              <w:br/>
              <w:t>Grandiose digital branding (</w:t>
            </w:r>
            <w:r>
              <w:rPr>
                <w:i/>
                <w:sz w:val="18"/>
              </w:rPr>
              <w:t>Indonesia Emas 2045</w:t>
            </w:r>
            <w:r>
              <w:rPr>
                <w:sz w:val="18"/>
              </w:rPr>
              <w:t>) contradicted by defective school delivery (4,581 suspended SPPGs, food poisoning).</w:t>
            </w:r>
          </w:p>
        </w:tc>
        <w:tc>
          <w:tcPr>
            <w:tcW w:type="dxa" w:w="2340"/>
            <w:tcMar>
              <w:top w:w="70" w:type="dxa"/>
              <w:bottom w:w="70" w:type="dxa"/>
              <w:left w:w="100" w:type="dxa"/>
              <w:right w:w="100" w:type="dxa"/>
            </w:tcMar>
          </w:tcPr>
          <w:p>
            <w:pPr>
              <w:spacing w:before="60" w:after="60" w:line="252" w:lineRule="auto"/>
            </w:pPr>
            <w:r>
              <w:rPr>
                <w:sz w:val="18"/>
              </w:rPr>
            </w:r>
            <w:r>
              <w:rPr>
                <w:sz w:val="18"/>
              </w:rPr>
              <w:t xml:space="preserve">ABSA: </w:t>
            </w:r>
            <w:r>
              <w:rPr>
                <w:i/>
                <w:sz w:val="18"/>
              </w:rPr>
              <w:t>Nutritional Quality</w:t>
            </w:r>
            <w:r>
              <w:rPr>
                <w:sz w:val="18"/>
              </w:rPr>
              <w:t xml:space="preserve"> generates largest volume (1,344 tweets) with </w:t>
            </w:r>
            <w:r>
              <w:rPr>
                <w:b/>
                <w:sz w:val="18"/>
              </w:rPr>
              <w:t>71.13% Disgust</w:t>
            </w:r>
            <w:r>
              <w:rPr>
                <w:sz w:val="18"/>
              </w:rPr>
              <w:t xml:space="preserve">; lexical salience of </w:t>
            </w:r>
            <w:r>
              <w:rPr>
                <w:i/>
                <w:sz w:val="18"/>
              </w:rPr>
              <w:t>keracunan</w:t>
            </w:r>
            <w:r>
              <w:rPr>
                <w:sz w:val="18"/>
              </w:rPr>
              <w:t xml:space="preserve"> and </w:t>
            </w:r>
            <w:r>
              <w:rPr>
                <w:i/>
                <w:sz w:val="18"/>
              </w:rPr>
              <w:t>basi</w:t>
            </w:r>
            <w:r>
              <w:rPr>
                <w:sz w:val="18"/>
              </w:rPr>
              <w:t>.</w:t>
            </w:r>
          </w:p>
        </w:tc>
        <w:tc>
          <w:tcPr>
            <w:tcW w:type="dxa" w:w="2340"/>
            <w:tcMar>
              <w:top w:w="70" w:type="dxa"/>
              <w:bottom w:w="70" w:type="dxa"/>
              <w:left w:w="100" w:type="dxa"/>
              <w:right w:w="100" w:type="dxa"/>
            </w:tcMar>
          </w:tcPr>
          <w:p>
            <w:pPr>
              <w:spacing w:before="60" w:after="60" w:line="252" w:lineRule="auto"/>
            </w:pPr>
            <w:r>
              <w:rPr>
                <w:sz w:val="18"/>
              </w:rPr>
            </w:r>
            <w:r>
              <w:rPr>
                <w:sz w:val="18"/>
              </w:rPr>
              <w:t>Visceral moral revulsion; cognitive dissonance between digital promises and physical reality.</w:t>
            </w:r>
          </w:p>
        </w:tc>
        <w:tc>
          <w:tcPr>
            <w:tcW w:type="dxa" w:w="2340"/>
            <w:tcMar>
              <w:top w:w="70" w:type="dxa"/>
              <w:bottom w:w="70" w:type="dxa"/>
              <w:left w:w="100" w:type="dxa"/>
              <w:right w:w="100" w:type="dxa"/>
            </w:tcMar>
          </w:tcPr>
          <w:p>
            <w:pPr>
              <w:spacing w:before="60" w:after="60" w:line="252" w:lineRule="auto"/>
            </w:pPr>
            <w:r>
              <w:rPr>
                <w:sz w:val="18"/>
              </w:rPr>
            </w:r>
            <w:r>
              <w:rPr>
                <w:b/>
                <w:sz w:val="18"/>
              </w:rPr>
              <w:t>Section 6.3</w:t>
            </w:r>
            <w:r>
              <w:rPr>
                <w:sz w:val="18"/>
              </w:rPr>
              <w:t>: Prioritize physical touchpoint rectification over digital PR; enforce mandatory third-party hygiene audits.</w:t>
              <w:br/>
            </w:r>
            <w:r>
              <w:rPr>
                <w:b/>
                <w:sz w:val="18"/>
              </w:rPr>
              <w:t>Section 6.6</w:t>
            </w:r>
            <w:r>
              <w:rPr>
                <w:sz w:val="18"/>
              </w:rPr>
              <w:t>: Institutionalize participatory co-monitoring apps for parents and teachers.</w:t>
            </w:r>
          </w:p>
        </w:tc>
      </w:tr>
      <w:tr>
        <w:tc>
          <w:tcPr>
            <w:tcW w:type="dxa" w:w="2340"/>
            <w:tcMar>
              <w:top w:w="70" w:type="dxa"/>
              <w:bottom w:w="70" w:type="dxa"/>
              <w:left w:w="100" w:type="dxa"/>
              <w:right w:w="100" w:type="dxa"/>
            </w:tcMar>
          </w:tcPr>
          <w:p>
            <w:pPr>
              <w:spacing w:before="60" w:after="60" w:line="252" w:lineRule="auto"/>
            </w:pPr>
            <w:r>
              <w:rPr>
                <w:sz w:val="18"/>
              </w:rPr>
            </w:r>
            <w:r>
              <w:rPr>
                <w:b/>
                <w:sz w:val="18"/>
              </w:rPr>
              <w:t>2. Symbolic Fiscal Devaluation</w:t>
            </w:r>
            <w:r>
              <w:rPr>
                <w:sz w:val="18"/>
              </w:rPr>
              <w:t xml:space="preserve"> (Edelman, 1964)</w:t>
              <w:br/>
              <w:t>Opaque announcement of IDR 67-trillion budget reduction without granular technical explanation.</w:t>
            </w:r>
          </w:p>
        </w:tc>
        <w:tc>
          <w:tcPr>
            <w:tcW w:type="dxa" w:w="2340"/>
            <w:tcMar>
              <w:top w:w="70" w:type="dxa"/>
              <w:bottom w:w="70" w:type="dxa"/>
              <w:left w:w="100" w:type="dxa"/>
              <w:right w:w="100" w:type="dxa"/>
            </w:tcMar>
          </w:tcPr>
          <w:p>
            <w:pPr>
              <w:spacing w:before="60" w:after="60" w:line="252" w:lineRule="auto"/>
            </w:pPr>
            <w:r>
              <w:rPr>
                <w:sz w:val="18"/>
              </w:rPr>
            </w:r>
            <w:r>
              <w:rPr>
                <w:sz w:val="18"/>
              </w:rPr>
              <w:t xml:space="preserve">ABSA: </w:t>
            </w:r>
            <w:r>
              <w:rPr>
                <w:i/>
                <w:sz w:val="18"/>
              </w:rPr>
              <w:t>Budget &amp; Procurement</w:t>
            </w:r>
            <w:r>
              <w:rPr>
                <w:sz w:val="18"/>
              </w:rPr>
              <w:t xml:space="preserve"> exhibits </w:t>
            </w:r>
            <w:r>
              <w:rPr>
                <w:b/>
                <w:sz w:val="18"/>
              </w:rPr>
              <w:t>77.01% Disgust</w:t>
            </w:r>
            <w:r>
              <w:rPr>
                <w:sz w:val="18"/>
              </w:rPr>
              <w:t xml:space="preserve">; semantic co-occurrence of </w:t>
            </w:r>
            <w:r>
              <w:rPr>
                <w:i/>
                <w:sz w:val="18"/>
              </w:rPr>
              <w:t>triliun</w:t>
            </w:r>
            <w:r>
              <w:rPr>
                <w:sz w:val="18"/>
              </w:rPr>
              <w:t xml:space="preserve"> with </w:t>
            </w:r>
            <w:r>
              <w:rPr>
                <w:i/>
                <w:sz w:val="18"/>
              </w:rPr>
              <w:t>korupsi</w:t>
            </w:r>
            <w:r>
              <w:rPr>
                <w:sz w:val="18"/>
              </w:rPr>
              <w:t xml:space="preserve"> and </w:t>
            </w:r>
            <w:r>
              <w:rPr>
                <w:i/>
                <w:sz w:val="18"/>
              </w:rPr>
              <w:t>vendor fiktif</w:t>
            </w:r>
            <w:r>
              <w:rPr>
                <w:sz w:val="18"/>
              </w:rPr>
              <w:t>.</w:t>
            </w:r>
          </w:p>
        </w:tc>
        <w:tc>
          <w:tcPr>
            <w:tcW w:type="dxa" w:w="2340"/>
            <w:tcMar>
              <w:top w:w="70" w:type="dxa"/>
              <w:bottom w:w="70" w:type="dxa"/>
              <w:left w:w="100" w:type="dxa"/>
              <w:right w:w="100" w:type="dxa"/>
            </w:tcMar>
          </w:tcPr>
          <w:p>
            <w:pPr>
              <w:spacing w:before="60" w:after="60" w:line="252" w:lineRule="auto"/>
            </w:pPr>
            <w:r>
              <w:rPr>
                <w:sz w:val="18"/>
              </w:rPr>
            </w:r>
            <w:r>
              <w:rPr>
                <w:sz w:val="18"/>
              </w:rPr>
              <w:t>Some users interpret fiscal adjustments as possible evidence of corruption or institutional weakness; these interpretations are treated as discourse-level claims rather than verified findings.</w:t>
            </w:r>
          </w:p>
        </w:tc>
        <w:tc>
          <w:tcPr>
            <w:tcW w:type="dxa" w:w="2340"/>
            <w:tcMar>
              <w:top w:w="70" w:type="dxa"/>
              <w:bottom w:w="70" w:type="dxa"/>
              <w:left w:w="100" w:type="dxa"/>
              <w:right w:w="100" w:type="dxa"/>
            </w:tcMar>
          </w:tcPr>
          <w:p>
            <w:pPr>
              <w:spacing w:before="60" w:after="60" w:line="252" w:lineRule="auto"/>
            </w:pPr>
            <w:r>
              <w:rPr>
                <w:sz w:val="18"/>
              </w:rPr>
            </w:r>
            <w:r>
              <w:rPr>
                <w:b/>
                <w:sz w:val="18"/>
              </w:rPr>
              <w:t>Section 6.4</w:t>
            </w:r>
            <w:r>
              <w:rPr>
                <w:sz w:val="18"/>
              </w:rPr>
              <w:t>: Deploy machine-readable Open Data REST APIs providing per-child cost breakdowns and real-time disbursement ledgers.</w:t>
            </w:r>
          </w:p>
        </w:tc>
      </w:tr>
      <w:tr>
        <w:tc>
          <w:tcPr>
            <w:tcW w:type="dxa" w:w="2340"/>
            <w:tcMar>
              <w:top w:w="70" w:type="dxa"/>
              <w:bottom w:w="70" w:type="dxa"/>
              <w:left w:w="100" w:type="dxa"/>
              <w:right w:w="100" w:type="dxa"/>
            </w:tcMar>
          </w:tcPr>
          <w:p>
            <w:pPr>
              <w:spacing w:before="60" w:after="60" w:line="252" w:lineRule="auto"/>
            </w:pPr>
            <w:r>
              <w:rPr>
                <w:sz w:val="18"/>
              </w:rPr>
            </w:r>
            <w:r>
              <w:rPr>
                <w:b/>
                <w:sz w:val="18"/>
              </w:rPr>
              <w:t>3. The Deliberative Vacuum</w:t>
            </w:r>
            <w:r>
              <w:rPr>
                <w:sz w:val="18"/>
              </w:rPr>
              <w:t xml:space="preserve"> (Habermas, 1989)</w:t>
              <w:br/>
              <w:t>Rigid, one-directional top-down broadcast communication and defensive denial posture adopted by central authorities.</w:t>
            </w:r>
          </w:p>
        </w:tc>
        <w:tc>
          <w:tcPr>
            <w:tcW w:type="dxa" w:w="2340"/>
            <w:tcMar>
              <w:top w:w="70" w:type="dxa"/>
              <w:bottom w:w="70" w:type="dxa"/>
              <w:left w:w="100" w:type="dxa"/>
              <w:right w:w="100" w:type="dxa"/>
            </w:tcMar>
          </w:tcPr>
          <w:p>
            <w:pPr>
              <w:spacing w:before="60" w:after="60" w:line="252" w:lineRule="auto"/>
            </w:pPr>
            <w:r/>
            <w:r>
              <w:rPr>
                <w:rFonts w:ascii="Times New Roman" w:hAnsi="Times New Roman"/>
                <w:sz w:val="20"/>
              </w:rPr>
              <w:t>SNA: Modularity $Q = 0.9837$ (341 disjoint components), Graph Density $\rho = 0.0007$, Reciprocity $R = 1.20\%$ (monologue architecture).</w:t>
            </w:r>
          </w:p>
        </w:tc>
        <w:tc>
          <w:tcPr>
            <w:tcW w:type="dxa" w:w="2340"/>
            <w:tcMar>
              <w:top w:w="70" w:type="dxa"/>
              <w:bottom w:w="70" w:type="dxa"/>
              <w:left w:w="100" w:type="dxa"/>
              <w:right w:w="100" w:type="dxa"/>
            </w:tcMar>
          </w:tcPr>
          <w:p>
            <w:pPr>
              <w:spacing w:before="60" w:after="60" w:line="252" w:lineRule="auto"/>
            </w:pPr>
            <w:r>
              <w:rPr>
                <w:sz w:val="18"/>
              </w:rPr>
            </w:r>
            <w:r>
              <w:rPr>
                <w:sz w:val="18"/>
              </w:rPr>
              <w:t>Complete communicative insularity; centralized institutional messages may have limited diffusion across the detected communities.</w:t>
            </w:r>
          </w:p>
        </w:tc>
        <w:tc>
          <w:tcPr>
            <w:tcW w:type="dxa" w:w="2340"/>
            <w:tcMar>
              <w:top w:w="70" w:type="dxa"/>
              <w:bottom w:w="70" w:type="dxa"/>
              <w:left w:w="100" w:type="dxa"/>
              <w:right w:w="100" w:type="dxa"/>
            </w:tcMar>
          </w:tcPr>
          <w:p>
            <w:pPr>
              <w:spacing w:before="60" w:after="60" w:line="252" w:lineRule="auto"/>
            </w:pPr>
            <w:r>
              <w:rPr>
                <w:sz w:val="18"/>
              </w:rPr>
            </w:r>
            <w:r>
              <w:rPr>
                <w:b/>
                <w:sz w:val="18"/>
              </w:rPr>
              <w:t>Section 6.2</w:t>
            </w:r>
            <w:r>
              <w:rPr>
                <w:sz w:val="18"/>
              </w:rPr>
              <w:t>: Dismantle broadcast monologue posture; establish decentralized regional rapid-response cadres engaging directly in citizen reply threads.</w:t>
            </w:r>
          </w:p>
        </w:tc>
      </w:tr>
      <w:tr>
        <w:tc>
          <w:tcPr>
            <w:tcW w:type="dxa" w:w="2340"/>
            <w:tcMar>
              <w:top w:w="70" w:type="dxa"/>
              <w:bottom w:w="70" w:type="dxa"/>
              <w:left w:w="100" w:type="dxa"/>
              <w:right w:w="100" w:type="dxa"/>
            </w:tcMar>
          </w:tcPr>
          <w:p>
            <w:pPr>
              <w:spacing w:before="60" w:after="60" w:line="252" w:lineRule="auto"/>
            </w:pPr>
            <w:r>
              <w:rPr>
                <w:sz w:val="18"/>
              </w:rPr>
            </w:r>
            <w:r>
              <w:rPr>
                <w:b/>
                <w:sz w:val="18"/>
              </w:rPr>
              <w:t>4. Paralinguistic Shielding</w:t>
            </w:r>
            <w:r>
              <w:rPr>
                <w:sz w:val="18"/>
              </w:rPr>
              <w:t xml:space="preserve"> (Scott, 1985; Camp, 2012)</w:t>
              <w:br/>
              <w:t>Fear of legal reprisal under UU ITE forcing citizens to mask outrage in sarcastic tropes (🤡, 🙃).</w:t>
            </w:r>
          </w:p>
        </w:tc>
        <w:tc>
          <w:tcPr>
            <w:tcW w:type="dxa" w:w="2340"/>
            <w:tcMar>
              <w:top w:w="70" w:type="dxa"/>
              <w:bottom w:w="70" w:type="dxa"/>
              <w:left w:w="100" w:type="dxa"/>
              <w:right w:w="100" w:type="dxa"/>
            </w:tcMar>
          </w:tcPr>
          <w:p>
            <w:pPr>
              <w:spacing w:before="60" w:after="60" w:line="252" w:lineRule="auto"/>
            </w:pPr>
            <w:r>
              <w:rPr>
                <w:sz w:val="18"/>
              </w:rPr>
            </w:r>
            <w:r>
              <w:rPr>
                <w:sz w:val="18"/>
              </w:rPr>
              <w:t>Typology 1 Sarcasm (laudatory text negated by irony emojis); conventional NLP misclassifies dissent as positive support.</w:t>
            </w:r>
          </w:p>
        </w:tc>
        <w:tc>
          <w:tcPr>
            <w:tcW w:type="dxa" w:w="2340"/>
            <w:tcMar>
              <w:top w:w="70" w:type="dxa"/>
              <w:bottom w:w="70" w:type="dxa"/>
              <w:left w:w="100" w:type="dxa"/>
              <w:right w:w="100" w:type="dxa"/>
            </w:tcMar>
          </w:tcPr>
          <w:p>
            <w:pPr>
              <w:spacing w:before="60" w:after="60" w:line="252" w:lineRule="auto"/>
            </w:pPr>
            <w:r>
              <w:rPr>
                <w:sz w:val="18"/>
              </w:rPr>
            </w:r>
            <w:r>
              <w:rPr>
                <w:sz w:val="18"/>
              </w:rPr>
              <w:t>State intelligence systematically underestimates the severity of public rage until physical crises erupt.</w:t>
            </w:r>
          </w:p>
        </w:tc>
        <w:tc>
          <w:tcPr>
            <w:tcW w:type="dxa" w:w="2340"/>
            <w:tcMar>
              <w:top w:w="70" w:type="dxa"/>
              <w:bottom w:w="70" w:type="dxa"/>
              <w:left w:w="100" w:type="dxa"/>
              <w:right w:w="100" w:type="dxa"/>
            </w:tcMar>
          </w:tcPr>
          <w:p>
            <w:pPr>
              <w:spacing w:before="60" w:after="60" w:line="252" w:lineRule="auto"/>
            </w:pPr>
            <w:r>
              <w:rPr>
                <w:sz w:val="18"/>
              </w:rPr>
            </w:r>
            <w:r>
              <w:rPr>
                <w:b/>
                <w:sz w:val="18"/>
              </w:rPr>
              <w:t>Section 6.5</w:t>
            </w:r>
            <w:r>
              <w:rPr>
                <w:sz w:val="18"/>
              </w:rPr>
              <w:t>: Integrate Transformer-based, emoji-aware NLP (IndoBERT) into state listening dashboards as a real-time early-warning telemetry system.</w:t>
            </w:r>
          </w:p>
        </w:tc>
      </w:tr>
      <w:tr>
        <w:tc>
          <w:tcPr>
            <w:tcW w:type="dxa" w:w="2340"/>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5. Epistemic Vacuum &amp; AI Delegation</w:t>
            </w:r>
            <w:r>
              <w:rPr>
                <w:sz w:val="18"/>
              </w:rPr>
              <w:br/>
              <w:t>Institutional credibility collapse and delayed official clarifications create an informational void.</w:t>
            </w:r>
          </w:p>
        </w:tc>
        <w:tc>
          <w:tcPr>
            <w:tcW w:type="dxa" w:w="2340"/>
            <w:tcBorders>
              <w:bottom w:val="single" w:sz="10" w:space="0" w:color="000000"/>
            </w:tcBorders>
            <w:tcMar>
              <w:top w:w="70" w:type="dxa"/>
              <w:bottom w:w="70" w:type="dxa"/>
              <w:left w:w="100" w:type="dxa"/>
              <w:right w:w="100" w:type="dxa"/>
            </w:tcMar>
          </w:tcPr>
          <w:p>
            <w:pPr>
              <w:spacing w:before="60" w:after="60" w:line="252" w:lineRule="auto"/>
            </w:pPr>
            <w:r/>
            <w:r>
              <w:rPr>
                <w:rFonts w:ascii="Times New Roman" w:hAnsi="Times New Roman"/>
                <w:sz w:val="20"/>
              </w:rPr>
              <w:t>SNA Centrality: @grok commands Rank 1 In-Degree ($k^{in} = 42$); @prabowo functions as passive target sink ($k^{in} = 15$).</w:t>
            </w:r>
          </w:p>
        </w:tc>
        <w:tc>
          <w:tcPr>
            <w:tcW w:type="dxa" w:w="2340"/>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Public bypasses human journalists and state spokespersons, delegating fact-checking to a foreign private AI.</w:t>
            </w:r>
          </w:p>
        </w:tc>
        <w:tc>
          <w:tcPr>
            <w:tcW w:type="dxa" w:w="2340"/>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Section 6.4</w:t>
            </w:r>
            <w:r>
              <w:rPr>
                <w:sz w:val="18"/>
              </w:rPr>
              <w:t>: Algorithmic grounding partnerships with AI vendors; launch sovereign, official state AI fact-checking assistants (</w:t>
            </w:r>
            <w:r>
              <w:rPr>
                <w:rFonts w:ascii="Consolas" w:hAnsi="Consolas"/>
                <w:color w:val="1E2D6E"/>
                <w:sz w:val="18"/>
              </w:rPr>
              <w:t>@BGN_VerifikasiBot</w:t>
            </w:r>
            <w:r>
              <w:rPr>
                <w:sz w:val="18"/>
              </w:rPr>
              <w:t>).</w:t>
            </w:r>
          </w:p>
        </w:tc>
      </w:tr>
    </w:tbl>
    <w:p>
      <w:pPr>
        <w:spacing w:after="120"/>
      </w:pPr>
    </w:p>
    <w:p>
      <w:pPr>
        <w:spacing w:before="240" w:after="80"/>
      </w:pPr>
      <w:r>
        <w:rPr>
          <w:rFonts w:ascii="Times New Roman" w:hAnsi="Times New Roman"/>
          <w:b/>
          <w:color w:val="1E325A"/>
          <w:sz w:val="25"/>
        </w:rPr>
        <w:t>6.2 Transition from Broadcast Government Communication to Decentralized Network Dialogue</w:t>
      </w:r>
    </w:p>
    <w:p>
      <w:pPr/>
      <w:r/>
      <w:r>
        <w:rPr>
          <w:rFonts w:ascii="Times New Roman" w:hAnsi="Times New Roman"/>
          <w:sz w:val="22"/>
        </w:rPr>
        <w:t>The near-zero reciprocity ($1.20\%$) and structural fragmentation ($Q = 0.9837$) demonstrate that centralized press releases and one-way broadcast statements may have limited diffusion across the observed network. BGN must dismantle its monologue posture and establish a decentralized rapid-response communicative cadre. Rather than issuing sterile bureaucratic denials from Jakarta, trained regional communicators must engage directly within the micro-components and reply threads, providing real-time operational updates, admitting specific kitchen errors, and opening transparent two-way channels.</w:t>
      </w:r>
    </w:p>
    <w:p>
      <w:pPr>
        <w:spacing w:before="240" w:after="80"/>
      </w:pPr>
      <w:r>
        <w:rPr>
          <w:rFonts w:ascii="Times New Roman" w:hAnsi="Times New Roman"/>
          <w:b/>
          <w:color w:val="1E325A"/>
          <w:sz w:val="25"/>
        </w:rPr>
        <w:t>6.3 Prioritize Physical Touchpoint Rectification over Digital PR Spending</w:t>
      </w:r>
    </w:p>
    <w:p>
      <w:pPr/>
      <w:r/>
      <w:r>
        <w:rPr>
          <w:rFonts w:ascii="Times New Roman" w:hAnsi="Times New Roman"/>
          <w:sz w:val="22"/>
        </w:rPr>
        <w:t>The ABSA findings prove unequivocally that Nutritional Quality generates twice the discursive volume of budget debates, with disgust prevailing at $71–79\%$. No amount of digital public relations, influencer hiring, or patriotic hashtag campaigns can repair public trust while physical catering units continue to poison schoolchildren. BGN must redirect public relations budgets directly into physical supply-chain infrastructure: stringent independent hygiene certifications for every SPPG, unannounced laboratory food testing, transparent blacklisting of substandard vendors, and cold-chain refrigeration upgrades. In the phygital era, physical service excellence is the only credible form of public communication.</w:t>
      </w:r>
    </w:p>
    <w:p>
      <w:pPr>
        <w:spacing w:before="240" w:after="80"/>
      </w:pPr>
      <w:r>
        <w:rPr>
          <w:rFonts w:ascii="Times New Roman" w:hAnsi="Times New Roman"/>
          <w:b/>
          <w:color w:val="1E325A"/>
          <w:sz w:val="25"/>
        </w:rPr>
        <w:t>6.4 Strategic Engagement with Algorithmic Epistemic Infrastructure</w:t>
      </w:r>
    </w:p>
    <w:p>
      <w:pPr/>
      <w:r/>
      <w:r>
        <w:rPr>
          <w:rFonts w:ascii="Times New Roman" w:hAnsi="Times New Roman"/>
          <w:sz w:val="22"/>
        </w:rPr>
        <w:t>The structural dominance of @grok ($k^{in} = 42$) demonstrates that information-seeking behavior in this network includes interaction with AI-mediated information infrastructure. Government agencies can no longer afford to ignore generative AI systems operating on major platforms. BGN and Kemkomdigi must establish formal open-data Application Programming Interfaces (APIs) and machine-readable data repositories detailing verified budget outlays, authorized SPPG locations, and official food safety inspection logs. By ensuring that generative AI models are continuously grounded in transparent, real-time public data, the government can prevent AI oracles from hallucinating or amplifying unverified rumors.</w:t>
      </w:r>
    </w:p>
    <w:p>
      <w:pPr>
        <w:spacing w:before="240" w:after="80"/>
      </w:pPr>
      <w:r>
        <w:rPr>
          <w:rFonts w:ascii="Times New Roman" w:hAnsi="Times New Roman"/>
          <w:b/>
          <w:color w:val="1E325A"/>
          <w:sz w:val="25"/>
        </w:rPr>
        <w:t>6.5 Treat Sarcasm as a Diagnostic Early-Warning Metric, Not Noise</w:t>
      </w:r>
    </w:p>
    <w:p>
      <w:r>
        <w:t>State media intelligence units frequently discard sarcastic and ironic posts as unquantifiable slang or classify them incorrectly as positive sentiment. Government social listening platforms must integrate Transformer-based models fine-tuned with emoji-aware sarcasm detection (such as the IndoBERT architecture demonstrated in this study). Sarcastic spikes should be monitored by public health officials as high-priority diagnostic signals indicating imminent localized collapses in institutional legitimacy.</w:t>
      </w:r>
    </w:p>
    <w:p>
      <w:pPr>
        <w:spacing w:before="240" w:after="80"/>
      </w:pPr>
      <w:r>
        <w:rPr>
          <w:rFonts w:ascii="Times New Roman" w:hAnsi="Times New Roman"/>
          <w:b/>
          <w:color w:val="1E325A"/>
          <w:sz w:val="25"/>
        </w:rPr>
        <w:t>6.6 Institutionalize Participatory Phygital Co-Monitoring</w:t>
      </w:r>
    </w:p>
    <w:p>
      <w:r>
        <w:t>To bridge the phygital gap, the government should empower parents, teachers, and school committees as official co-monitors of the MBG program. Developing a lightweight, transparent mobile verification app—where school committees photograph daily meal deliveries, rate nutritional compliance, and log portion weights onto an immutable public dashboard—would democratize the physical touchpoint. By inviting citizens into active co-governance, the state can transform cynical critics into invested partners.</w:t>
      </w:r>
    </w:p>
    <w:p>
      <w:pPr>
        <w:spacing w:before="320" w:after="120"/>
      </w:pPr>
      <w:r>
        <w:rPr>
          <w:rFonts w:ascii="Times New Roman" w:hAnsi="Times New Roman"/>
          <w:b/>
          <w:color w:val="142850"/>
          <w:sz w:val="28"/>
        </w:rPr>
        <w:t>7. Conclusion</w:t>
      </w:r>
    </w:p>
    <w:p>
      <w:pPr>
        <w:spacing w:before="240" w:after="80"/>
      </w:pPr>
      <w:r>
        <w:rPr>
          <w:rFonts w:ascii="Times New Roman" w:hAnsi="Times New Roman"/>
          <w:b/>
          <w:color w:val="1E325A"/>
          <w:sz w:val="25"/>
        </w:rPr>
        <w:t>7.1 Summary of Contributions</w:t>
      </w:r>
    </w:p>
    <w:p>
      <w:r>
        <w:t>This study has presented an exhaustive, multi-tier computational investigation into the digital discourse surrounding Indonesia’s Free Nutritious Meal (</w:t>
      </w:r>
      <w:r>
        <w:rPr>
          <w:i/>
        </w:rPr>
        <w:t>Makan Bergizi Gratis</w:t>
      </w:r>
      <w:r>
        <w:t>) program on platform X during March–May 2026. By synthesizing fine-tuned IndoBERT emotion classification, directed Social Network Analysis, Aspect-Based Sentiment Analysis, and Marketing 6.0’s phygital gap theory, the research establishes four foundational conclusions:</w:t>
      </w:r>
    </w:p>
    <w:p>
      <w:pPr>
        <w:pStyle w:val="ListNumber"/>
        <w:spacing w:after="60" w:line="276" w:lineRule="auto"/>
      </w:pPr>
      <w:r>
        <w:rPr>
          <w:b/>
        </w:rPr>
        <w:t>Linguistic Subversion</w:t>
      </w:r>
      <w:r>
        <w:t>: Public critique manifests primarily through sophisticated digital sarcasm characterized by pragmatic text-emoji incongruence, macro-micro semantic antithesis, and technocratic dark humor.</w:t>
      </w:r>
    </w:p>
    <w:p>
      <w:pPr>
        <w:pStyle w:val="ListNumber"/>
        <w:spacing w:after="60" w:line="276" w:lineRule="auto"/>
      </w:pPr>
      <w:r/>
      <w:r>
        <w:rPr>
          <w:rFonts w:ascii="Times New Roman" w:hAnsi="Times New Roman"/>
          <w:sz w:val="22"/>
        </w:rPr>
        <w:t>Radical Topological Atomization, Not Bipolarization: The discourse network is defined not by classic bipolar political war, but by substantial structural fragmentation ($Q = 0.9837$, $R = 1.20\%$, 341 disjoint components), forming a a fragmented network containing many small conversational components that may limit the diffusion of centralized broadcast communication across detected communities from institutional centers.</w:t>
      </w:r>
    </w:p>
    <w:p>
      <w:pPr>
        <w:pStyle w:val="ListNumber"/>
        <w:spacing w:after="60" w:line="276" w:lineRule="auto"/>
      </w:pPr>
      <w:r>
        <w:rPr>
          <w:b/>
        </w:rPr>
        <w:t>The Emergence of AI-Assisted Verification</w:t>
      </w:r>
      <w:r>
        <w:t xml:space="preserve">: The AI agent </w:t>
      </w:r>
      <w:r>
        <w:rPr>
          <w:rFonts w:ascii="Consolas" w:hAnsi="Consolas"/>
          <w:color w:val="1E2D6E"/>
          <w:sz w:val="20"/>
        </w:rPr>
        <w:t>@grok</w:t>
      </w:r>
      <w:r>
        <w:t xml:space="preserve"> received the highest observed in-degree among actors associated with information-verification requests in the analyzed network, commanding the highest in-degree centrality in the network.</w:t>
      </w:r>
    </w:p>
    <w:p>
      <w:pPr>
        <w:pStyle w:val="ListNumber"/>
        <w:spacing w:after="60" w:line="276" w:lineRule="auto"/>
      </w:pPr>
      <w:r/>
      <w:r>
        <w:rPr>
          <w:rFonts w:ascii="Times New Roman" w:hAnsi="Times New Roman"/>
          <w:sz w:val="22"/>
        </w:rPr>
        <w:t>The Phygital Policy Root: The pervasive hegemony of disgust ($71–79\%$ across all operational dimensions) proves that digital sarcasm is the direct psychological and communicative consequence of a profound phygital gap—the irreconcilable divergence between grandiose digital state branding and compromised physical nutritional delivery.</w:t>
      </w:r>
    </w:p>
    <w:p>
      <w:pPr>
        <w:spacing w:before="240" w:after="80"/>
      </w:pPr>
      <w:r>
        <w:rPr>
          <w:rFonts w:ascii="Times New Roman" w:hAnsi="Times New Roman"/>
          <w:b/>
          <w:color w:val="1E325A"/>
          <w:sz w:val="25"/>
        </w:rPr>
        <w:t>7.2 Five-Point Future Research Agenda</w:t>
      </w:r>
    </w:p>
    <w:p>
      <w:r>
        <w:t xml:space="preserve">Building on the methodological boundaries, theoretical discoveries, and sociotechnical implications of this investigation, we articulate a comprehensive </w:t>
      </w:r>
      <w:r>
        <w:rPr>
          <w:b/>
        </w:rPr>
        <w:t>Five-Point Research Agenda</w:t>
      </w:r>
      <w:r>
        <w:t xml:space="preserve"> for scholars of computational social science, communication, and public administration:</w:t>
      </w:r>
    </w:p>
    <w:p>
      <w:pPr>
        <w:spacing w:before="160" w:after="60"/>
      </w:pPr>
      <w:r>
        <w:rPr>
          <w:rFonts w:ascii="Times New Roman" w:hAnsi="Times New Roman"/>
          <w:b/>
          <w:i/>
          <w:sz w:val="24"/>
        </w:rPr>
        <w:t>1. Multi-Annotator IndoBERT Recalibration and Benchmark Curation</w:t>
      </w:r>
    </w:p>
    <w:p>
      <w:pPr/>
      <w:r/>
      <w:r>
        <w:rPr>
          <w:rFonts w:ascii="Times New Roman" w:hAnsi="Times New Roman"/>
          <w:sz w:val="22"/>
        </w:rPr>
        <w:t>Future computational linguistics research must resolve the testing pipeline artifact identified herein by executing a rigorous multi-annotator relabeling protocol on the held-out corpus. Employing three independent linguistic annotators to establish inter-coder reliability metrics (Cohen’s $\kappa &gt; 0.85$, Krippendorff’s $\alpha &gt; 0.80$), subsequent iterations will publish definitive multi-class Precision, Recall, and F1 benchmarks for both 9-class emotion classification and emoji-incongruent sarcasm detection. The resulting curated dataset will be deposited as an open-access Indonesian benchmark for figurative and paralinguistic NLP.</w:t>
      </w:r>
    </w:p>
    <w:p>
      <w:pPr>
        <w:spacing w:before="160" w:after="60"/>
      </w:pPr>
      <w:r>
        <w:rPr>
          <w:rFonts w:ascii="Times New Roman" w:hAnsi="Times New Roman"/>
          <w:b/>
          <w:i/>
          <w:sz w:val="24"/>
        </w:rPr>
        <w:t>2. Multimodal Cross-Platform Comparative Dynamics (Platform X vs. TikTok vs. Instagram)</w:t>
      </w:r>
    </w:p>
    <w:p>
      <w:r>
        <w:t xml:space="preserve">While platform X functions as the primary locus for elite political argumentation and textual satire, the lived realities of the MBG program circulate extensively through visual and short-form video media. Future investigations should deploy multimodal architectures—combining computer vision (e.g., CLIP, ViT) and audio-textual transcript analysis—to examine discourse on </w:t>
      </w:r>
      <w:r>
        <w:rPr>
          <w:b/>
        </w:rPr>
        <w:t>TikTok</w:t>
      </w:r>
      <w:r>
        <w:t xml:space="preserve"> (where students and teachers post raw meal unboxings) and </w:t>
      </w:r>
      <w:r>
        <w:rPr>
          <w:b/>
        </w:rPr>
        <w:t>Instagram</w:t>
      </w:r>
      <w:r>
        <w:t xml:space="preserve"> (where catering aesthetics are curated). This comparative design will test whether the phygital gap manifests differently across platform affordances (textual sarcasm on X vs. visual grotesque documentation on TikTok).</w:t>
      </w:r>
    </w:p>
    <w:p>
      <w:pPr>
        <w:spacing w:before="160" w:after="60"/>
      </w:pPr>
      <w:r>
        <w:rPr>
          <w:rFonts w:ascii="Times New Roman" w:hAnsi="Times New Roman"/>
          <w:b/>
          <w:i/>
          <w:sz w:val="24"/>
        </w:rPr>
        <w:t>3. Longitudinal and Dynamic Network Modeling (TERGM and SIENA Formulations)</w:t>
      </w:r>
    </w:p>
    <w:p>
      <w:pPr/>
      <w:r/>
      <w:r>
        <w:rPr>
          <w:rFonts w:ascii="Times New Roman" w:hAnsi="Times New Roman"/>
          <w:sz w:val="22"/>
        </w:rPr>
        <w:t>The current investigation provides an in-depth cross-sectional snapshot of the March–May 2026 crisis. To capture structural evolution across the multi-year implementation lifecycle (2025–2029), future research should employ Temporal Exponential Random Graph Models (TERGM) and Stochastic Actor-Oriented Models (SAOM / SIENA) (Snijders et al., 2010). Longitudinal modeling will reveal whether the radical atomization ($Q = 0.9837$) observed during rollout represents an ephemeral crisis state or an enduring structural feature, and whether the network eventually coalesces into structured bipolar partisan camps as national election cycles approach.</w:t>
      </w:r>
    </w:p>
    <w:p>
      <w:pPr>
        <w:spacing w:before="160" w:after="60"/>
      </w:pPr>
      <w:r>
        <w:rPr>
          <w:rFonts w:ascii="Times New Roman" w:hAnsi="Times New Roman"/>
          <w:b/>
          <w:i/>
          <w:sz w:val="24"/>
        </w:rPr>
        <w:t>4. Formulation of a Real-Time Digital Public Policy Trust Index (DPPTI)</w:t>
      </w:r>
    </w:p>
    <w:p>
      <w:pPr/>
      <w:r/>
      <w:r>
        <w:rPr>
          <w:rFonts w:ascii="Times New Roman" w:hAnsi="Times New Roman"/>
          <w:sz w:val="22"/>
        </w:rPr>
        <w:t>Scholars should synthesize the tri-layer computational architecture into a unified, continuous mathematical monitoring metric: the Digital Public Policy Trust Index ($\text{DPPTI}_t$). Formally modeled as:</w:t>
      </w:r>
    </w:p>
    <w:p>
      <w:pPr/>
      <w:r/>
      <w:r>
        <w:rPr>
          <w:rFonts w:ascii="Times New Roman" w:hAnsi="Times New Roman"/>
          <w:sz w:val="22"/>
        </w:rPr>
        <w:t>$$\text{DPPTI}_t = w_1 \cdot \left(\frac{\text{Trust}_t}{\text{Trust}_t + \text{Disgust}_t + \epsilon}\right) + w_2 \cdot (1 - Q_t) + w_3 \cdot R_t + w_4 \cdot \text{NetValence}_t$$</w:t>
      </w:r>
    </w:p>
    <w:p>
      <w:pPr/>
      <w:r/>
      <w:r>
        <w:rPr>
          <w:rFonts w:ascii="Times New Roman" w:hAnsi="Times New Roman"/>
          <w:sz w:val="22"/>
        </w:rPr>
        <w:t>where $w_1, w_2, w_3, w_4$ represent normalized domain weights ($\sum w_i = 1$), Q_t is network modularity, R_t is dyadic reciprocity, and $\text{NetValence}_t$ is the normalized ABSA polarity score. Deploying $\text{DPPTI}_t$ within an automated dashboard would afford public health agencies real-time predictive telemetry to detect institutional legitimacy crises prior to physical escalations.</w:t>
      </w:r>
    </w:p>
    <w:p>
      <w:pPr>
        <w:spacing w:before="160" w:after="60"/>
      </w:pPr>
      <w:r>
        <w:rPr>
          <w:rFonts w:ascii="Times New Roman" w:hAnsi="Times New Roman"/>
          <w:b/>
          <w:i/>
          <w:sz w:val="24"/>
        </w:rPr>
        <w:t>5. Algorithmic Epistemic Governance and LLM Audit Experiments</w:t>
      </w:r>
    </w:p>
    <w:p>
      <w:r>
        <w:t xml:space="preserve">Given the unprecedented centrality of </w:t>
      </w:r>
      <w:r>
        <w:rPr>
          <w:rFonts w:ascii="Consolas" w:hAnsi="Consolas"/>
          <w:color w:val="1E2D6E"/>
          <w:sz w:val="20"/>
        </w:rPr>
        <w:t>@grok</w:t>
      </w:r>
      <w:r>
        <w:t>, empirical research must investigate the political philosophy and algorithmic accountability of platform AI agents. Future work should design structured audit experiments that systematically query commercial LLMs (Grok, ChatGPT, Claude, Gemini) with standardized Indonesian public policy prompts to evaluate: (a) hallucination rates regarding fiscal data; (b) latent ideological or sentiment biases; and (c) the degree to which AI responses reproduce social media cynicism versus official state documentation. This research will provide crucial empirical grounding for emerging international frameworks on algorithmic governance, digital sovereignty, and the protection of democratic deliberation.</w:t>
      </w:r>
    </w:p>
    <w:p>
      <w:pPr>
        <w:spacing w:before="240" w:after="80"/>
      </w:pPr>
      <w:r>
        <w:rPr>
          <w:rFonts w:ascii="Times New Roman" w:hAnsi="Times New Roman"/>
          <w:b/>
          <w:color w:val="1E325A"/>
          <w:sz w:val="25"/>
        </w:rPr>
        <w:t>7.3 Research Implementation Roadmap (2026–2029)</w:t>
      </w:r>
    </w:p>
    <w:p>
      <w:r>
        <w:t xml:space="preserve">Beyond the five theoretical research pillars articulated above, this study is embedded within a living, iterative research program with a concrete </w:t>
      </w:r>
      <w:r>
        <w:rPr>
          <w:b/>
        </w:rPr>
        <w:t>three-phase implementation roadmap</w:t>
      </w:r>
      <w:r>
        <w:t xml:space="preserve"> targeting the progressive operationalization of findings into functional policy intelligence infrastructure.</w:t>
      </w:r>
    </w:p>
    <w:p>
      <w:pPr>
        <w:spacing w:before="160" w:after="60"/>
      </w:pPr>
      <w:r>
        <w:rPr>
          <w:rFonts w:ascii="Times New Roman" w:hAnsi="Times New Roman"/>
          <w:b/>
          <w:i/>
          <w:sz w:val="24"/>
        </w:rPr>
        <w:t>Phase I: Corpus Expansion and Model Hardening (Q3–Q4 2026)</w:t>
      </w:r>
    </w:p>
    <w:p>
      <w:r>
        <w:t>The immediate priority is to resolve the pipeline anomaly documented in Section 4.7 and expand the empirical corpus temporally and thematically.</w:t>
      </w:r>
    </w:p>
    <w:p>
      <w:r>
        <w:rPr>
          <w:b/>
        </w:rPr>
        <w:t>Target Milestones:</w:t>
      </w:r>
    </w:p>
    <w:p>
      <w:pPr>
        <w:pStyle w:val="ListBullet"/>
        <w:spacing w:after="60" w:line="276" w:lineRule="auto"/>
      </w:pPr>
      <w:r/>
      <w:r>
        <w:rPr>
          <w:rFonts w:ascii="Times New Roman" w:hAnsi="Times New Roman"/>
          <w:sz w:val="22"/>
        </w:rPr>
        <w:t>Corpus Re-annotation: Deploy three independent annotators (two native Indonesian NLP practitioners and one political communication expert) to re-label the 561-tweet held-out test set using the standardized 9-class emotion taxonomy. Target: Krippendorff's $\alpha \geq 0.82$ before releasing benchmark scores.</w:t>
      </w:r>
    </w:p>
    <w:p>
      <w:pPr>
        <w:pStyle w:val="ListBullet"/>
        <w:spacing w:after="60" w:line="276" w:lineRule="auto"/>
      </w:pPr>
      <w:r/>
      <w:r>
        <w:rPr>
          <w:rFonts w:ascii="Times New Roman" w:hAnsi="Times New Roman"/>
          <w:sz w:val="22"/>
        </w:rPr>
        <w:t>Corpus Extension: Extend data collection through the full MBG implementation lifecycle (June–December 2026), targeting a corpus expansion to $N \geq 15,000$ tweets using both X API v2 filtered stream endpoints and Brand24's Social Media Monitoring API, which provides cross-platform keyword tracking across X, news portals, YouTube, and web forums simultaneously.</w:t>
      </w:r>
    </w:p>
    <w:p>
      <w:pPr>
        <w:pStyle w:val="ListBullet"/>
        <w:spacing w:after="60" w:line="276" w:lineRule="auto"/>
      </w:pPr>
      <w:r>
        <w:rPr>
          <w:b/>
        </w:rPr>
        <w:t>Emoji-Aware Augmentation</w:t>
      </w:r>
      <w:r>
        <w:t xml:space="preserve">: Construct a </w:t>
      </w:r>
      <w:r>
        <w:rPr>
          <w:b/>
        </w:rPr>
        <w:t>Sarcasm-Emoji Paired Augmentation Dataset</w:t>
      </w:r>
      <w:r>
        <w:t xml:space="preserve"> of 2,000 synthetically constructed tweet pairs (literal baseline + emoji-inverted sarcastic variant) using back-translation and controlled prompting to supplement fine-tuning.</w:t>
      </w:r>
    </w:p>
    <w:p>
      <w:pPr>
        <w:pStyle w:val="ListBullet"/>
        <w:spacing w:after="60" w:line="276" w:lineRule="auto"/>
      </w:pPr>
      <w:r>
        <w:rPr>
          <w:b/>
        </w:rPr>
        <w:t>Model Release</w:t>
      </w:r>
      <w:r>
        <w:t xml:space="preserve">: Publish fine-tuned </w:t>
      </w:r>
      <w:r>
        <w:rPr>
          <w:rFonts w:ascii="Consolas" w:hAnsi="Consolas"/>
          <w:color w:val="1E2D6E"/>
          <w:sz w:val="20"/>
        </w:rPr>
        <w:t>indobert-mbg-sarcasm-v2</w:t>
      </w:r>
      <w:r>
        <w:t xml:space="preserve"> as an open-access Hugging Face model card with evaluation benchmarks, inference code, and a public API endpoint for community validation.</w:t>
      </w:r>
    </w:p>
    <w:p>
      <w:pPr>
        <w:spacing w:before="160" w:after="60"/>
      </w:pPr>
      <w:r>
        <w:rPr>
          <w:rFonts w:ascii="Times New Roman" w:hAnsi="Times New Roman"/>
          <w:b/>
          <w:i/>
          <w:sz w:val="24"/>
        </w:rPr>
        <w:t>Phase II: Real-Time Monitoring Dashboard and DPPTI Operationalization (Q1–Q2 2027)</w:t>
      </w:r>
    </w:p>
    <w:p>
      <w:r>
        <w:t>The second phase operationalizes the research findings into a functional, deployable government intelligence dashboard.</w:t>
      </w:r>
    </w:p>
    <w:p>
      <w:r>
        <w:rPr>
          <w:b/>
        </w:rPr>
        <w:t>Architecture Design:</w:t>
      </w:r>
    </w:p>
    <w:p>
      <w:r>
        <w:t xml:space="preserve">The proposed </w:t>
      </w:r>
      <w:r>
        <w:rPr>
          <w:b/>
        </w:rPr>
        <w:t>MBG Policy Intelligence Dashboard</w:t>
      </w:r>
      <w:r>
        <w:t xml:space="preserve"> is structured as a three-tier computational stack:</w:t>
      </w:r>
    </w:p>
    <w:p>
      <w:pPr>
        <w:pStyle w:val="ListNumber"/>
        <w:spacing w:after="60" w:line="276" w:lineRule="auto"/>
      </w:pPr>
      <w:r/>
      <w:r>
        <w:rPr>
          <w:rFonts w:ascii="Times New Roman" w:hAnsi="Times New Roman"/>
          <w:sz w:val="22"/>
        </w:rPr>
        <w:t>Data Ingestion Layer: Continuous data ingestion via (a) Social media monitoring API providing real-time cross-platform mention streams covering X, online news portals, YouTube, and community web forums; (b) X API v2 filtered stream capturing Boolean keyword clusters; and (c) BGN's forthcoming open data REST API endpoints for operational SPPG status. Target ingestion rate: \geq 500 mentions/hour during active program phases.</w:t>
      </w:r>
    </w:p>
    <w:p>
      <w:pPr>
        <w:pStyle w:val="ListNumber"/>
        <w:spacing w:after="60" w:line="276" w:lineRule="auto"/>
      </w:pPr>
      <w:r>
        <w:rPr>
          <w:b/>
        </w:rPr>
        <w:t>Analytics Processing Layer</w:t>
      </w:r>
      <w:r>
        <w:t>: Real-time analytics executed through:</w:t>
      </w:r>
    </w:p>
    <w:p>
      <w:pPr>
        <w:pStyle w:val="ListBullet"/>
        <w:spacing w:after="60" w:line="276" w:lineRule="auto"/>
      </w:pPr>
      <w:r/>
      <w:r>
        <w:rPr>
          <w:rFonts w:ascii="Times New Roman" w:hAnsi="Times New Roman"/>
          <w:sz w:val="22"/>
        </w:rPr>
        <w:t>Emotion Classification Engine: Fine-tuned IndoBERT inference pipeline (latency target: $&lt; 200$ ms/tweet) classifying each incoming mention across the 9-class affective taxonomy.</w:t>
      </w:r>
    </w:p>
    <w:p>
      <w:pPr>
        <w:pStyle w:val="ListBullet"/>
        <w:spacing w:after="60" w:line="276" w:lineRule="auto"/>
      </w:pPr>
      <w:r>
        <w:rPr>
          <w:b/>
        </w:rPr>
        <w:t>Sarcasm Detection Filter</w:t>
      </w:r>
      <w:r>
        <w:t>: Binary emoji-aware classifier flagging pragmatically inverted tweets for escalated monitoring priority.</w:t>
      </w:r>
    </w:p>
    <w:p>
      <w:pPr>
        <w:pStyle w:val="ListBullet"/>
        <w:spacing w:after="60" w:line="276" w:lineRule="auto"/>
      </w:pPr>
      <w:r/>
      <w:r>
        <w:rPr>
          <w:rFonts w:ascii="Times New Roman" w:hAnsi="Times New Roman"/>
          <w:sz w:val="22"/>
        </w:rPr>
        <w:t>ABSA Dispatcher: Aspect classifier routing each mention to the A_1 (Budget), A_2 (Logistics), or A_3 (Nutritional Quality) policy dimension.</w:t>
      </w:r>
    </w:p>
    <w:p>
      <w:pPr>
        <w:pStyle w:val="ListBullet"/>
        <w:spacing w:after="60" w:line="276" w:lineRule="auto"/>
      </w:pPr>
      <w:r/>
      <w:r>
        <w:rPr>
          <w:rFonts w:ascii="Times New Roman" w:hAnsi="Times New Roman"/>
          <w:sz w:val="22"/>
        </w:rPr>
        <w:t>DPPTI Calculator: Continuous computation of $\text{DPPTI}_t$ refreshed every 15 minutes using the formal composite trust index formula.</w:t>
      </w:r>
    </w:p>
    <w:p>
      <w:pPr>
        <w:pStyle w:val="ListBullet"/>
        <w:spacing w:after="60" w:line="276" w:lineRule="auto"/>
      </w:pPr>
      <w:r>
        <w:rPr>
          <w:b/>
        </w:rPr>
        <w:t>Network Topology Tracker</w:t>
      </w:r>
      <w:r>
        <w:t>: Incremental graph updates via NetworkX streaming additions, recomputing Louvain modularity, in-degree centrality, and dyadic reciprocity on a weekly rolling basis.</w:t>
      </w:r>
    </w:p>
    <w:p>
      <w:pPr>
        <w:pStyle w:val="ListNumber"/>
        <w:spacing w:after="60" w:line="276" w:lineRule="auto"/>
      </w:pPr>
      <w:r>
        <w:rPr>
          <w:b/>
        </w:rPr>
        <w:t>Visualization and Alerting Layer</w:t>
      </w:r>
      <w:r>
        <w:t>: Deployed as a Streamlit multi-page web application featuring:</w:t>
      </w:r>
    </w:p>
    <w:p>
      <w:pPr>
        <w:pStyle w:val="ListBullet"/>
        <w:spacing w:after="60" w:line="276" w:lineRule="auto"/>
      </w:pPr>
      <w:r>
        <w:rPr>
          <w:b/>
        </w:rPr>
        <w:t>Real-Time Sentiment Heatmap</w:t>
      </w:r>
      <w:r>
        <w:t>: Choropleth map of Indonesian provinces colored by ABSA disgust concentration, sourced from geotagged mention metadata.</w:t>
      </w:r>
    </w:p>
    <w:p>
      <w:pPr>
        <w:pStyle w:val="ListBullet"/>
        <w:spacing w:after="60" w:line="276" w:lineRule="auto"/>
      </w:pPr>
      <w:r/>
      <w:r>
        <w:rPr>
          <w:rFonts w:ascii="Times New Roman" w:hAnsi="Times New Roman"/>
          <w:sz w:val="22"/>
        </w:rPr>
        <w:t>DPPTI Trend Line: 30-day rolling visualization of the composite trust index with threshold alert triggers ($\text{DPPTI}_t &lt; 0.20$ triggers Orange Alert; $\text{DPPTI}_t &lt; 0.10$ triggers Red Crisis Alert).</w:t>
      </w:r>
    </w:p>
    <w:p>
      <w:pPr>
        <w:pStyle w:val="ListBullet"/>
        <w:spacing w:after="60" w:line="276" w:lineRule="auto"/>
      </w:pPr>
      <w:r>
        <w:rPr>
          <w:b/>
        </w:rPr>
        <w:t>Network Evolution Monitor</w:t>
      </w:r>
      <w:r>
        <w:t>: Weekly force-directed graph snapshots rendered through Pyvis, tracking centrality shifts and community dissolution/formation.</w:t>
      </w:r>
    </w:p>
    <w:p>
      <w:pPr>
        <w:pStyle w:val="ListBullet"/>
        <w:spacing w:after="60" w:line="276" w:lineRule="auto"/>
      </w:pPr>
      <w:r>
        <w:rPr>
          <w:b/>
        </w:rPr>
        <w:t>Sarcasm Spike Detector</w:t>
      </w:r>
      <w:r>
        <w:t>: Hourly sarcasm rate per policy aspect, with automatic WhatsApp/Telegram notification to Humas BGN when rates exceed 2 standard deviations above the 7-day rolling mean.</w:t>
      </w:r>
    </w:p>
    <w:p>
      <w:pPr>
        <w:pStyle w:val="ListBullet"/>
        <w:spacing w:after="60" w:line="276" w:lineRule="auto"/>
      </w:pPr>
      <w:r>
        <w:rPr>
          <w:b/>
        </w:rPr>
        <w:t>AI Oracle Query Intelligence Module</w:t>
      </w:r>
      <w:r>
        <w:t>: Semantic clustering of citizen queries directed at platform AI entities, providing BGN with a live diagnostic window into unresolved citizen epistemic anxieties.</w:t>
      </w:r>
    </w:p>
    <w:p>
      <w:r>
        <w:rPr>
          <w:b/>
        </w:rPr>
        <w:t>Target Deployment</w:t>
      </w:r>
      <w:r>
        <w:t>: Pilot launch with BGN's Bureau of Legal Affairs and Public Relations (Biro Hukum dan Humas BGN) for a 90-day operational evaluation period beginning Q2 2027.</w:t>
      </w:r>
    </w:p>
    <w:p>
      <w:pPr>
        <w:spacing w:before="160" w:after="60"/>
      </w:pPr>
      <w:r>
        <w:rPr>
          <w:rFonts w:ascii="Times New Roman" w:hAnsi="Times New Roman"/>
          <w:b/>
          <w:i/>
          <w:sz w:val="24"/>
        </w:rPr>
        <w:t>Phase III: Sovereign AI Fact-Checking Infrastructure and Open Policy Data (Q3 2027–Q4 2028)</w:t>
      </w:r>
    </w:p>
    <w:p>
      <w:r>
        <w:t>The third phase addresses the structural root cause of algorithmic epistemic displacement by constructing sovereign, government-owned fact-checking infrastructure.</w:t>
      </w:r>
    </w:p>
    <w:p>
      <w:r>
        <w:rPr>
          <w:b/>
        </w:rPr>
        <w:t>Key Initiatives:</w:t>
      </w:r>
    </w:p>
    <w:p>
      <w:pPr>
        <w:pStyle w:val="ListNumber"/>
        <w:spacing w:after="60" w:line="276" w:lineRule="auto"/>
      </w:pPr>
      <w:r>
        <w:rPr>
          <w:b/>
        </w:rPr>
        <w:t>@BGNVerifikasi Bot Development</w:t>
      </w:r>
      <w:r>
        <w:t>: Develop and deploy an official, verified AI fact-checking assistant on platform X. The bot will: (a) monitor all incoming queries directed at platform AI entities regarding MBG budget, SPPG status, and food safety incidents; (b) retrieve verified answers from BGN's machine-readable open data API endpoints established in partnership with the Ministry of Finance; (c) respond within 60 seconds in clear, empathetic, colloquial Indonesian citing official data sources; and (d) automatically escalate queries containing viral misinformation patterns to human communication officers.</w:t>
      </w:r>
    </w:p>
    <w:p>
      <w:pPr>
        <w:pStyle w:val="ListNumber"/>
        <w:spacing w:after="60" w:line="276" w:lineRule="auto"/>
      </w:pPr>
      <w:r>
        <w:rPr>
          <w:b/>
        </w:rPr>
        <w:t>BGN Open Data API Launch</w:t>
      </w:r>
      <w:r>
        <w:t>: In coordination with the Ministry of Finance (Kemenkeu) and the Government Financial Management Information System (SAKTI), establish a publicly accessible REST API suite providing: real-time per-SPPG disbursement data (unit ID, regency, active/suspended status, last audit date); per-beneficiary cost data updated monthly; laboratory food safety certificates and inspection logs for every active SPPG; all data serialized in JSON-LD format conforming to the Indonesian National Government Open Data Standard (SNDI).</w:t>
      </w:r>
    </w:p>
    <w:p>
      <w:pPr>
        <w:pStyle w:val="ListNumber"/>
        <w:spacing w:after="60" w:line="276" w:lineRule="auto"/>
      </w:pPr>
      <w:r>
        <w:rPr>
          <w:b/>
        </w:rPr>
        <w:t>Academic-Government Data Partnership (MoU Framework)</w:t>
      </w:r>
      <w:r>
        <w:t xml:space="preserve">: Formalize a Memorandum of Understanding between UPN "Veteran" Jawa Timur, BGN, and Kemkomdigi establishing a </w:t>
      </w:r>
      <w:r>
        <w:rPr>
          <w:b/>
        </w:rPr>
        <w:t>Living Research Consortium</w:t>
      </w:r>
      <w:r>
        <w:t xml:space="preserve"> for continuous MBG discourse monitoring. This MoU will: (a) grant academic researchers access to anonymized BGN operational databases for longitudinal comparative analysis; (b) establish a quarterly reporting cycle providing BGN with computational sentiment intelligence reports; and (c) fund the operational maintenance of the DPPTI dashboard under a joint national research grant framework (Hibah Penelitian Nasional, Kemendikbudristek).</w:t>
      </w:r>
    </w:p>
    <w:p>
      <w:pPr>
        <w:spacing w:before="240" w:after="80"/>
      </w:pPr>
      <w:r>
        <w:rPr>
          <w:rFonts w:ascii="Times New Roman" w:hAnsi="Times New Roman"/>
          <w:b/>
          <w:color w:val="1E325A"/>
          <w:sz w:val="25"/>
        </w:rPr>
        <w:t>7.4 Theoretical Contributions and Knowledge Advancement</w:t>
      </w:r>
    </w:p>
    <w:p>
      <w:r>
        <w:t>Beyond immediate policy applications, this research advances the theoretical frontiers of three intersecting academic disciplines:</w:t>
      </w:r>
    </w:p>
    <w:p>
      <w:pPr>
        <w:spacing w:before="160" w:after="60"/>
      </w:pPr>
      <w:r>
        <w:rPr>
          <w:rFonts w:ascii="Times New Roman" w:hAnsi="Times New Roman"/>
          <w:b/>
          <w:i/>
          <w:sz w:val="24"/>
        </w:rPr>
        <w:t>7.4.1 Computational Communication Science</w:t>
      </w:r>
    </w:p>
    <w:p>
      <w:r>
        <w:t xml:space="preserve">This study introduces the </w:t>
      </w:r>
      <w:r>
        <w:rPr>
          <w:b/>
        </w:rPr>
        <w:t>Pragmatic Emoji Incongruence (PEI) framework</w:t>
      </w:r>
      <w:r>
        <w:t xml:space="preserve"> as a formalizable, computationally operationalizable construct for identifying digital sarcasm. By treating emoji tokens as illocutionary force indicators (Dresner &amp; Herring, 2010) within a multi-task IndoBERT architecture, the study provides a replicable blueprint for paralinguistic sentiment analysis applicable to Indonesian, Malay, Filipino, Thai, and other Southeast Asian digital communication contexts where emoji-saturated political discourse is ubiquitous.</w:t>
      </w:r>
    </w:p>
    <w:p>
      <w:pPr>
        <w:spacing w:before="160" w:after="60"/>
      </w:pPr>
      <w:r>
        <w:rPr>
          <w:rFonts w:ascii="Times New Roman" w:hAnsi="Times New Roman"/>
          <w:b/>
          <w:i/>
          <w:sz w:val="24"/>
        </w:rPr>
        <w:t>7.4.2 Political Communication and Democratic Theory</w:t>
      </w:r>
    </w:p>
    <w:p>
      <w:pPr/>
      <w:r/>
      <w:r>
        <w:rPr>
          <w:rFonts w:ascii="Times New Roman" w:hAnsi="Times New Roman"/>
          <w:sz w:val="22"/>
        </w:rPr>
        <w:t>The study's empirical rebuttal of the "bipolar echo chamber" paradigm constitutes a significant theoretical intervention. By demonstrating that extreme modularity ($Q = 0.9837$) does not imply ideological polarization but rather radical communicative atomization, the findings challenge standard assumptions in computational political science (Barberá et al., 2015; Conover et al., 2011) and introduce the concept of the Archipelago Public Sphere—a digital public domain fragmented into thousands of isolated discursive monads with no horizontal bridging infrastructure.</w:t>
      </w:r>
    </w:p>
    <w:p>
      <w:r>
        <w:t>This topological configuration has implications for democratic theory: in the observed network, interaction across community boundaries is limited, which constrains opportunities for sustained cross-difference dialogue of the type associated with the Habermasian deliberative ideal (Habermas, 1989). Rather than establishing that citizens do not debate or that deliberative democracy is structurally impossible, the finding indicates that the sampled digital policy discourse contains substantial community-level separation. Such fragmentation may reduce opportunities for cross-cutting interaction within the observed platform network, while not by itself demonstrating that algorithmic architectures have permanently foreclosed deliberative democracy.</w:t>
      </w:r>
    </w:p>
    <w:p>
      <w:pPr>
        <w:spacing w:before="160" w:after="60"/>
      </w:pPr>
      <w:r>
        <w:rPr>
          <w:rFonts w:ascii="Times New Roman" w:hAnsi="Times New Roman"/>
          <w:b/>
          <w:i/>
          <w:sz w:val="24"/>
        </w:rPr>
        <w:t>7.4.3 Public Administration and Marketing Science</w:t>
      </w:r>
    </w:p>
    <w:p>
      <w:r>
        <w:t xml:space="preserve">The translation of Marketing 6.0's </w:t>
      </w:r>
      <w:r>
        <w:rPr>
          <w:b/>
        </w:rPr>
        <w:t>phygital gap</w:t>
      </w:r>
      <w:r>
        <w:t xml:space="preserve"> framework from commercial to public sector governance contexts constitutes a novel interdisciplinary contribution. The operationalization of Vargo and Lusch's (2004, 2016) Service-Dominant Logic in the context of state nutritional programs—reconceptualizing citizen-beneficiaries as co-creators of public value and SPPG kitchens as physical service touchpoints—opens a productive research frontier for applying commercial marketing science to public health policy evaluation. Future scholars may extend this framework to other large-scale social programs (national health insurance, social cash transfers, rural electrification) to test whether the phygital gap mechanism generalizes beyond the Indonesian MBG case.</w:t>
      </w:r>
    </w:p>
    <w:p>
      <w:r>
        <w:t>Ultimately, this study indicates that evaluation of a large-scale public policy requires attention not only to fiscal and operational dimensions but also to the quality of the phygital encounter between institutions, service delivery points, and citizens. The computational methodologies, theoretical frameworks, and governance propositions articulated in this study provide an empirically grounded basis for further research on responsive and digitally literate public administration in Indonesia and comparable policy contexts.</w:t>
      </w:r>
    </w:p>
    <w:p>
      <w:pPr>
        <w:spacing w:before="320" w:after="120"/>
      </w:pPr>
      <w:r>
        <w:rPr>
          <w:rFonts w:ascii="Times New Roman" w:hAnsi="Times New Roman"/>
          <w:b/>
          <w:color w:val="142850"/>
          <w:sz w:val="28"/>
        </w:rPr>
        <w:t>Funding and Conflicts of Interest</w:t>
      </w:r>
    </w:p>
    <w:p>
      <w:r>
        <w:t>This research received no external financial grants. The author declares no commercial, financial, or institutional conflicts of interest.</w:t>
      </w:r>
    </w:p>
    <w:p>
      <w:pPr>
        <w:spacing w:before="320" w:after="120"/>
      </w:pPr>
      <w:r>
        <w:rPr>
          <w:rFonts w:ascii="Times New Roman" w:hAnsi="Times New Roman"/>
          <w:b/>
          <w:color w:val="142850"/>
          <w:sz w:val="28"/>
        </w:rPr>
        <w:t>Data and Code Availability Statement</w:t>
      </w:r>
    </w:p>
    <w:p>
      <w:r>
        <w:t>Anonymized network interaction edge lists, trained IndoBERT model checkpoints, ABSA aspect dictionaries, and Python extraction scripts are deposited in an open-access Zenodo/GitHub repository (DOI pending peer-review completion). Raw tweet text containing potentially identifying metadata has been withheld in accordance with applicable platform terms and privacy considerations.</w:t>
      </w:r>
    </w:p>
    <w:p>
      <w:pPr>
        <w:spacing w:before="320" w:after="120"/>
      </w:pPr>
      <w:r>
        <w:rPr>
          <w:rFonts w:ascii="Times New Roman" w:hAnsi="Times New Roman"/>
          <w:b/>
          <w:color w:val="142850"/>
          <w:sz w:val="28"/>
        </w:rPr>
        <w:t>References</w:t>
      </w:r>
    </w:p>
    <w:p>
      <w:pPr>
        <w:pStyle w:val="ListBullet"/>
        <w:spacing w:after="60" w:line="276" w:lineRule="auto"/>
      </w:pPr>
      <w:r>
        <w:t xml:space="preserve">Albertson, B., &amp; Gadarian, S. K. (2015). </w:t>
      </w:r>
      <w:r>
        <w:rPr>
          <w:i/>
        </w:rPr>
        <w:t>Anxious politics: Democratic citizenship in a threatening world</w:t>
      </w:r>
      <w:r>
        <w:t>. Cambridge University Press.</w:t>
      </w:r>
    </w:p>
    <w:p>
      <w:pPr>
        <w:pStyle w:val="ListBullet"/>
        <w:spacing w:after="60" w:line="276" w:lineRule="auto"/>
      </w:pPr>
      <w:r>
        <w:t xml:space="preserve">ANTARA. (2026, May). </w:t>
      </w:r>
      <w:r>
        <w:rPr>
          <w:i/>
        </w:rPr>
        <w:t>4,581 SPPG suspended for quality improvement, 1,152 units remain under review</w:t>
      </w:r>
      <w:r>
        <w:t>. ANTARA News Agency.</w:t>
      </w:r>
    </w:p>
    <w:p>
      <w:pPr>
        <w:pStyle w:val="ListBullet"/>
        <w:spacing w:after="60" w:line="276" w:lineRule="auto"/>
      </w:pPr>
      <w:r>
        <w:t xml:space="preserve">Attardo, S. (2000). Irony markers and humor. </w:t>
      </w:r>
      <w:r>
        <w:rPr>
          <w:i/>
        </w:rPr>
        <w:t>Humor: International Journal of Humor Research</w:t>
      </w:r>
      <w:r>
        <w:t xml:space="preserve">, </w:t>
      </w:r>
      <w:r>
        <w:rPr>
          <w:i/>
        </w:rPr>
        <w:t>13</w:t>
      </w:r>
      <w:r>
        <w:t>(2), 217–236. https://doi.org/10.1515/humr.2000.13.2.217</w:t>
      </w:r>
    </w:p>
    <w:p>
      <w:pPr>
        <w:pStyle w:val="ListBullet"/>
        <w:spacing w:after="60" w:line="276" w:lineRule="auto"/>
      </w:pPr>
      <w:r>
        <w:t xml:space="preserve">Barabási, A.-L., &amp; Albert, R. (1999). Emergence of scaling in random networks. </w:t>
      </w:r>
      <w:r>
        <w:rPr>
          <w:i/>
        </w:rPr>
        <w:t>Science</w:t>
      </w:r>
      <w:r>
        <w:t xml:space="preserve">, </w:t>
      </w:r>
      <w:r>
        <w:rPr>
          <w:i/>
        </w:rPr>
        <w:t>286</w:t>
      </w:r>
      <w:r>
        <w:t>(5439), 509–512. https://doi.org/10.1126/science.286.5439.509</w:t>
      </w:r>
    </w:p>
    <w:p>
      <w:pPr>
        <w:pStyle w:val="ListBullet"/>
        <w:spacing w:after="60" w:line="276" w:lineRule="auto"/>
      </w:pPr>
      <w:r>
        <w:t xml:space="preserve">Barberá, P., Wang, N., Bonneau, R., Jost, J. T., Nagler, J., Sanovich, S., &amp; Tucker, J. A. (2015). The critical periphery in the growth of social media protests. </w:t>
      </w:r>
      <w:r>
        <w:rPr>
          <w:i/>
        </w:rPr>
        <w:t>PLOS ONE</w:t>
      </w:r>
      <w:r>
        <w:t xml:space="preserve">, </w:t>
      </w:r>
      <w:r>
        <w:rPr>
          <w:i/>
        </w:rPr>
        <w:t>10</w:t>
      </w:r>
      <w:r>
        <w:t>(11), e0143611.</w:t>
      </w:r>
    </w:p>
    <w:p>
      <w:pPr>
        <w:pStyle w:val="ListBullet"/>
        <w:spacing w:after="60" w:line="276" w:lineRule="auto"/>
      </w:pPr>
      <w:r>
        <w:t xml:space="preserve">Bennett, W. L., &amp; Segerberg, A. (2012). The logic of connective action: Digital media and the personalization of contentious politics. </w:t>
      </w:r>
      <w:r>
        <w:rPr>
          <w:i/>
        </w:rPr>
        <w:t>Information, Communication &amp; Society</w:t>
      </w:r>
      <w:r>
        <w:t xml:space="preserve">, </w:t>
      </w:r>
      <w:r>
        <w:rPr>
          <w:i/>
        </w:rPr>
        <w:t>15</w:t>
      </w:r>
      <w:r>
        <w:t>(5), 739–768.</w:t>
      </w:r>
    </w:p>
    <w:p>
      <w:pPr>
        <w:pStyle w:val="ListBullet"/>
        <w:spacing w:after="60" w:line="276" w:lineRule="auto"/>
      </w:pPr>
      <w:r>
        <w:t xml:space="preserve">BGN. (2026). </w:t>
      </w:r>
      <w:r>
        <w:rPr>
          <w:i/>
        </w:rPr>
        <w:t>Coordination meeting on MBG public communication strengthening, Bekasi, April 6, 2026</w:t>
      </w:r>
      <w:r>
        <w:t>. Bureau of Legal Affairs and Public Relations, National Nutrition Agency (</w:t>
      </w:r>
      <w:r>
        <w:rPr>
          <w:i/>
        </w:rPr>
        <w:t>Badan Gizi Nasional</w:t>
      </w:r>
      <w:r>
        <w:t>).</w:t>
      </w:r>
    </w:p>
    <w:p>
      <w:pPr>
        <w:pStyle w:val="ListBullet"/>
        <w:spacing w:after="60" w:line="276" w:lineRule="auto"/>
      </w:pPr>
      <w:r>
        <w:t xml:space="preserve">Blondel, V. D., Guillaume, J.-L., Lambiotte, R., &amp; Lefebvre, E. (2008). Fast unfolding of communities in large networks. </w:t>
      </w:r>
      <w:r>
        <w:rPr>
          <w:i/>
        </w:rPr>
        <w:t>Journal of Statistical Mechanics: Theory and Experiment</w:t>
      </w:r>
      <w:r>
        <w:t xml:space="preserve">, </w:t>
      </w:r>
      <w:r>
        <w:rPr>
          <w:i/>
        </w:rPr>
        <w:t>2008</w:t>
      </w:r>
      <w:r>
        <w:t>(10), P10008.</w:t>
      </w:r>
    </w:p>
    <w:p>
      <w:pPr>
        <w:pStyle w:val="ListBullet"/>
        <w:spacing w:after="60" w:line="276" w:lineRule="auto"/>
      </w:pPr>
      <w:r>
        <w:t xml:space="preserve">Bloomberg Technoz. (2026, March 31). </w:t>
      </w:r>
      <w:r>
        <w:rPr>
          <w:i/>
        </w:rPr>
        <w:t>BGN head explains IDR 67 trillion MBG budget adjustment</w:t>
      </w:r>
      <w:r>
        <w:t>. Bloomberg Technoz.</w:t>
      </w:r>
    </w:p>
    <w:p>
      <w:pPr>
        <w:pStyle w:val="ListBullet"/>
        <w:spacing w:after="60" w:line="276" w:lineRule="auto"/>
      </w:pPr>
      <w:r>
        <w:t xml:space="preserve">boyd, d., &amp; Crawford, K. (2012). Critical questions for big data: Provocations for a cultural, technological, and scholarly phenomenon. </w:t>
      </w:r>
      <w:r>
        <w:rPr>
          <w:i/>
        </w:rPr>
        <w:t>Information, Communication &amp; Society</w:t>
      </w:r>
      <w:r>
        <w:t xml:space="preserve">, </w:t>
      </w:r>
      <w:r>
        <w:rPr>
          <w:i/>
        </w:rPr>
        <w:t>15</w:t>
      </w:r>
      <w:r>
        <w:t>(5), 662–679.</w:t>
      </w:r>
    </w:p>
    <w:p>
      <w:pPr>
        <w:pStyle w:val="ListBullet"/>
        <w:spacing w:after="60" w:line="276" w:lineRule="auto"/>
      </w:pPr>
      <w:r>
        <w:t xml:space="preserve">Camp, E. (2012). Sarcasm, pretense, and the semantics/pragmatics distinction. </w:t>
      </w:r>
      <w:r>
        <w:rPr>
          <w:i/>
        </w:rPr>
        <w:t>Noûs</w:t>
      </w:r>
      <w:r>
        <w:t xml:space="preserve">, </w:t>
      </w:r>
      <w:r>
        <w:rPr>
          <w:i/>
        </w:rPr>
        <w:t>46</w:t>
      </w:r>
      <w:r>
        <w:t>(4), 587–634. https://doi.org/10.1111/j.1468-0068.2010.00822.x</w:t>
      </w:r>
    </w:p>
    <w:p>
      <w:pPr>
        <w:pStyle w:val="ListBullet"/>
        <w:spacing w:after="60" w:line="276" w:lineRule="auto"/>
      </w:pPr>
      <w:r>
        <w:t xml:space="preserve">Clauset, A., Shalizi, C. R., &amp; Newman, M. E. (2009). Power-law distributions in empirical data. </w:t>
      </w:r>
      <w:r>
        <w:rPr>
          <w:i/>
        </w:rPr>
        <w:t>SIAM Review</w:t>
      </w:r>
      <w:r>
        <w:t xml:space="preserve">, </w:t>
      </w:r>
      <w:r>
        <w:rPr>
          <w:i/>
        </w:rPr>
        <w:t>51</w:t>
      </w:r>
      <w:r>
        <w:t>(4), 661–703.</w:t>
      </w:r>
    </w:p>
    <w:p>
      <w:pPr>
        <w:pStyle w:val="ListBullet"/>
        <w:spacing w:after="60" w:line="276" w:lineRule="auto"/>
      </w:pPr>
      <w:r>
        <w:t xml:space="preserve">Conover, M. D., Ratkiewicz, J., Francisco, M. R., Gonçalves, B., Menczer, F., &amp; Flammini, A. (2011). Political polarization on Twitter. </w:t>
      </w:r>
      <w:r>
        <w:rPr>
          <w:i/>
        </w:rPr>
        <w:t>Proceedings of the International AAAI Conference on Web and Social Media</w:t>
      </w:r>
      <w:r>
        <w:t xml:space="preserve">, </w:t>
      </w:r>
      <w:r>
        <w:rPr>
          <w:i/>
        </w:rPr>
        <w:t>5</w:t>
      </w:r>
      <w:r>
        <w:t>(1), 89–96.</w:t>
      </w:r>
    </w:p>
    <w:p>
      <w:pPr>
        <w:pStyle w:val="ListBullet"/>
        <w:spacing w:after="60" w:line="276" w:lineRule="auto"/>
      </w:pPr>
      <w:r>
        <w:t xml:space="preserve">Covello, V. T., von Winterfeldt, D., &amp; Slovic, P. (1986). Risk communication: A review of the literature. </w:t>
      </w:r>
      <w:r>
        <w:rPr>
          <w:i/>
        </w:rPr>
        <w:t>Risk Abstracts</w:t>
      </w:r>
      <w:r>
        <w:t xml:space="preserve">, </w:t>
      </w:r>
      <w:r>
        <w:rPr>
          <w:i/>
        </w:rPr>
        <w:t>3</w:t>
      </w:r>
      <w:r>
        <w:t>(4), 171–182.</w:t>
      </w:r>
    </w:p>
    <w:p>
      <w:pPr>
        <w:pStyle w:val="ListBullet"/>
        <w:spacing w:after="60" w:line="276" w:lineRule="auto"/>
      </w:pPr>
      <w:r>
        <w:t xml:space="preserve">Devlin, J., Chang, M.-W., Lee, K., &amp; Toutanova, K. (2019). BERT: Pre-training of deep bidirectional transformers for language understanding. </w:t>
      </w:r>
      <w:r>
        <w:rPr>
          <w:i/>
        </w:rPr>
        <w:t>Proceedings of NAACL-HLT 2019</w:t>
      </w:r>
      <w:r>
        <w:t>, 4171–4186.</w:t>
      </w:r>
    </w:p>
    <w:p>
      <w:pPr>
        <w:pStyle w:val="ListBullet"/>
        <w:spacing w:after="60" w:line="276" w:lineRule="auto"/>
      </w:pPr>
      <w:r>
        <w:t xml:space="preserve">Dresner, E., &amp; Herring, S. C. (2010). Functions of the nonverbal in CMC: Emoticons and illocutionary force. </w:t>
      </w:r>
      <w:r>
        <w:rPr>
          <w:i/>
        </w:rPr>
        <w:t>Communication Theory</w:t>
      </w:r>
      <w:r>
        <w:t xml:space="preserve">, </w:t>
      </w:r>
      <w:r>
        <w:rPr>
          <w:i/>
        </w:rPr>
        <w:t>20</w:t>
      </w:r>
      <w:r>
        <w:t>(3), 249–268.</w:t>
      </w:r>
    </w:p>
    <w:p>
      <w:pPr>
        <w:pStyle w:val="ListBullet"/>
        <w:spacing w:after="60" w:line="276" w:lineRule="auto"/>
      </w:pPr>
      <w:r>
        <w:t xml:space="preserve">Edelman, M. (1964). </w:t>
      </w:r>
      <w:r>
        <w:rPr>
          <w:i/>
        </w:rPr>
        <w:t>The symbolic uses of politics</w:t>
      </w:r>
      <w:r>
        <w:t>. University of Illinois Press.</w:t>
      </w:r>
    </w:p>
    <w:p>
      <w:pPr>
        <w:pStyle w:val="ListBullet"/>
        <w:spacing w:after="60" w:line="276" w:lineRule="auto"/>
      </w:pPr>
      <w:r>
        <w:t xml:space="preserve">Ekman, P. (1992). An argument for basic emotions. </w:t>
      </w:r>
      <w:r>
        <w:rPr>
          <w:i/>
        </w:rPr>
        <w:t>Cognition &amp; Emotion</w:t>
      </w:r>
      <w:r>
        <w:t xml:space="preserve">, </w:t>
      </w:r>
      <w:r>
        <w:rPr>
          <w:i/>
        </w:rPr>
        <w:t>6</w:t>
      </w:r>
      <w:r>
        <w:t>(3–4), 169–200.</w:t>
      </w:r>
    </w:p>
    <w:p>
      <w:pPr>
        <w:pStyle w:val="ListBullet"/>
        <w:spacing w:after="60" w:line="276" w:lineRule="auto"/>
      </w:pPr>
      <w:r>
        <w:t xml:space="preserve">Erdős, P., &amp; Rényi, A. (1960). On the evolution of random graphs. </w:t>
      </w:r>
      <w:r>
        <w:rPr>
          <w:i/>
        </w:rPr>
        <w:t>Publications of the Mathematical Institute of the Hungarian Academy of Sciences</w:t>
      </w:r>
      <w:r>
        <w:t xml:space="preserve">, </w:t>
      </w:r>
      <w:r>
        <w:rPr>
          <w:i/>
        </w:rPr>
        <w:t>5</w:t>
      </w:r>
      <w:r>
        <w:t>(1), 17–60.</w:t>
      </w:r>
    </w:p>
    <w:p>
      <w:pPr>
        <w:pStyle w:val="ListBullet"/>
        <w:spacing w:after="60" w:line="276" w:lineRule="auto"/>
      </w:pPr>
      <w:r>
        <w:t xml:space="preserve">Freeman, L. C. (1979). Centrality in social networks: Conceptual clarification. </w:t>
      </w:r>
      <w:r>
        <w:rPr>
          <w:i/>
        </w:rPr>
        <w:t>Social Networks</w:t>
      </w:r>
      <w:r>
        <w:t xml:space="preserve">, </w:t>
      </w:r>
      <w:r>
        <w:rPr>
          <w:i/>
        </w:rPr>
        <w:t>1</w:t>
      </w:r>
      <w:r>
        <w:t>(3), 215–239.</w:t>
      </w:r>
    </w:p>
    <w:p>
      <w:pPr>
        <w:pStyle w:val="ListBullet"/>
        <w:spacing w:after="60" w:line="276" w:lineRule="auto"/>
      </w:pPr>
      <w:r>
        <w:t xml:space="preserve">Gibbs, R. W. (2000). Irony in talk among friends. </w:t>
      </w:r>
      <w:r>
        <w:rPr>
          <w:i/>
        </w:rPr>
        <w:t>Metaphor and Symbol</w:t>
      </w:r>
      <w:r>
        <w:t xml:space="preserve">, </w:t>
      </w:r>
      <w:r>
        <w:rPr>
          <w:i/>
        </w:rPr>
        <w:t>15</w:t>
      </w:r>
      <w:r>
        <w:t>(1–2), 5–27.</w:t>
      </w:r>
    </w:p>
    <w:p>
      <w:pPr>
        <w:pStyle w:val="ListBullet"/>
        <w:spacing w:after="60" w:line="276" w:lineRule="auto"/>
      </w:pPr>
      <w:r>
        <w:t xml:space="preserve">Giora, R. (2003). </w:t>
      </w:r>
      <w:r>
        <w:rPr>
          <w:i/>
        </w:rPr>
        <w:t>On our mind: Salience, context, and figurative language</w:t>
      </w:r>
      <w:r>
        <w:t>. Oxford University Press.</w:t>
      </w:r>
    </w:p>
    <w:p>
      <w:pPr>
        <w:pStyle w:val="ListBullet"/>
        <w:spacing w:after="60" w:line="276" w:lineRule="auto"/>
      </w:pPr>
      <w:r>
        <w:t xml:space="preserve">Grice, H. P. (1975). Logic and conversation. In P. Cole &amp; J. Morgan (Eds.), </w:t>
      </w:r>
      <w:r>
        <w:rPr>
          <w:i/>
        </w:rPr>
        <w:t>Syntax and semantics, vol. 3: Speech acts</w:t>
      </w:r>
      <w:r>
        <w:t xml:space="preserve"> (pp. 41–58). Academic Press.</w:t>
      </w:r>
    </w:p>
    <w:p>
      <w:pPr>
        <w:pStyle w:val="ListBullet"/>
        <w:spacing w:after="60" w:line="276" w:lineRule="auto"/>
      </w:pPr>
      <w:r>
        <w:t xml:space="preserve">Hagberg, A. A., Schult, D. A., &amp; Swart, P. J. (2008). Exploring network structure, dynamics, and function using NetworkX. </w:t>
      </w:r>
      <w:r>
        <w:rPr>
          <w:i/>
        </w:rPr>
        <w:t>Proceedings of the 7th Python in Science Conference</w:t>
      </w:r>
      <w:r>
        <w:t>, 11–15.</w:t>
      </w:r>
    </w:p>
    <w:p>
      <w:pPr>
        <w:pStyle w:val="ListBullet"/>
        <w:spacing w:after="60" w:line="276" w:lineRule="auto"/>
      </w:pPr>
      <w:r>
        <w:t xml:space="preserve">Horton, D., &amp; Wohl, R. R. (1956). Mass communication and para-social interaction: Observations on intimacy at a distance. </w:t>
      </w:r>
      <w:r>
        <w:rPr>
          <w:i/>
        </w:rPr>
        <w:t>Psychiatry</w:t>
      </w:r>
      <w:r>
        <w:t xml:space="preserve">, </w:t>
      </w:r>
      <w:r>
        <w:rPr>
          <w:i/>
        </w:rPr>
        <w:t>19</w:t>
      </w:r>
      <w:r>
        <w:t>(3), 215–229.</w:t>
      </w:r>
    </w:p>
    <w:p>
      <w:pPr>
        <w:pStyle w:val="ListBullet"/>
        <w:spacing w:after="60" w:line="276" w:lineRule="auto"/>
      </w:pPr>
      <w:r>
        <w:t xml:space="preserve">Iyengar, S., Lelkes, Y., Levendusky, M., Malhotra, N., &amp; Westwood, S. J. (2019). The origins and consequences of affective polarization in the United States. </w:t>
      </w:r>
      <w:r>
        <w:rPr>
          <w:i/>
        </w:rPr>
        <w:t>Annual Review of Political Science</w:t>
      </w:r>
      <w:r>
        <w:t xml:space="preserve">, </w:t>
      </w:r>
      <w:r>
        <w:rPr>
          <w:i/>
        </w:rPr>
        <w:t>22</w:t>
      </w:r>
      <w:r>
        <w:t>, 129–146.</w:t>
      </w:r>
    </w:p>
    <w:p>
      <w:pPr>
        <w:pStyle w:val="ListBullet"/>
        <w:spacing w:after="60" w:line="276" w:lineRule="auto"/>
      </w:pPr>
      <w:r>
        <w:t xml:space="preserve">Jamieson, K. H., &amp; Cappella, J. N. (2008). </w:t>
      </w:r>
      <w:r>
        <w:rPr>
          <w:i/>
        </w:rPr>
        <w:t>Echo chamber: Rush Limbaugh and the conservative media establishment</w:t>
      </w:r>
      <w:r>
        <w:t>. Oxford University Press.</w:t>
      </w:r>
    </w:p>
    <w:p>
      <w:pPr>
        <w:pStyle w:val="ListBullet"/>
        <w:spacing w:after="60" w:line="276" w:lineRule="auto"/>
      </w:pPr>
      <w:r>
        <w:t xml:space="preserve">Kotler, P., Kartajaya, H., &amp; Setiawan, I. (2023). </w:t>
      </w:r>
      <w:r>
        <w:rPr>
          <w:i/>
        </w:rPr>
        <w:t>Marketing 6.0: The future is immersive</w:t>
      </w:r>
      <w:r>
        <w:t>. John Wiley &amp; Sons.</w:t>
      </w:r>
    </w:p>
    <w:p>
      <w:pPr>
        <w:pStyle w:val="ListBullet"/>
        <w:spacing w:after="60" w:line="276" w:lineRule="auto"/>
      </w:pPr>
      <w:r>
        <w:t xml:space="preserve">Kotler, P., &amp; Lee, N. R. (2007). </w:t>
      </w:r>
      <w:r>
        <w:rPr>
          <w:i/>
        </w:rPr>
        <w:t>Marketing in the public sector: A roadmap for improved performance</w:t>
      </w:r>
      <w:r>
        <w:t>. Wharton School Publishing.</w:t>
      </w:r>
    </w:p>
    <w:p>
      <w:pPr>
        <w:pStyle w:val="ListBullet"/>
        <w:spacing w:after="60" w:line="276" w:lineRule="auto"/>
      </w:pPr>
      <w:r>
        <w:t xml:space="preserve">Lazer, D., Pentland, A., Adamic, L., Aral, S., Barabási, A.-L., Brewer, D., ... &amp; Van Alstyne, M. (2009). Computational social science. </w:t>
      </w:r>
      <w:r>
        <w:rPr>
          <w:i/>
        </w:rPr>
        <w:t>Science</w:t>
      </w:r>
      <w:r>
        <w:t xml:space="preserve">, </w:t>
      </w:r>
      <w:r>
        <w:rPr>
          <w:i/>
        </w:rPr>
        <w:t>323</w:t>
      </w:r>
      <w:r>
        <w:t>(5915), 721–723.</w:t>
      </w:r>
    </w:p>
    <w:p>
      <w:pPr>
        <w:pStyle w:val="ListBullet"/>
        <w:spacing w:after="60" w:line="276" w:lineRule="auto"/>
      </w:pPr>
      <w:r>
        <w:t xml:space="preserve">Lazer, D. M., Pentland, A., Watts, D. J., Aral, S., Athey, S., Contractor, N., ... &amp; Wagner, C. (2020). Computational social science: Obstacles and opportunities. </w:t>
      </w:r>
      <w:r>
        <w:rPr>
          <w:i/>
        </w:rPr>
        <w:t>Science</w:t>
      </w:r>
      <w:r>
        <w:t xml:space="preserve">, </w:t>
      </w:r>
      <w:r>
        <w:rPr>
          <w:i/>
        </w:rPr>
        <w:t>369</w:t>
      </w:r>
      <w:r>
        <w:t>(6507), 1060–1062. https://doi.org/10.1126/science.aaz8170</w:t>
      </w:r>
    </w:p>
    <w:p>
      <w:pPr>
        <w:pStyle w:val="ListBullet"/>
        <w:spacing w:after="60" w:line="276" w:lineRule="auto"/>
      </w:pPr>
      <w:r>
        <w:t xml:space="preserve">Levi, M., &amp; Stoker, L. (2000). Political trust and trustworthiness. </w:t>
      </w:r>
      <w:r>
        <w:rPr>
          <w:i/>
        </w:rPr>
        <w:t>Annual Review of Political Science</w:t>
      </w:r>
      <w:r>
        <w:t xml:space="preserve">, </w:t>
      </w:r>
      <w:r>
        <w:rPr>
          <w:i/>
        </w:rPr>
        <w:t>3</w:t>
      </w:r>
      <w:r>
        <w:t>(1), 475–507.</w:t>
      </w:r>
    </w:p>
    <w:p>
      <w:pPr>
        <w:pStyle w:val="ListBullet"/>
        <w:spacing w:after="60" w:line="276" w:lineRule="auto"/>
      </w:pPr>
      <w:r>
        <w:t xml:space="preserve">Marwick, A. E., &amp; boyd, d. (2011). I tweet honestly, I tweet passionately: Twitter users, context collapse, and the imagined audience. </w:t>
      </w:r>
      <w:r>
        <w:rPr>
          <w:i/>
        </w:rPr>
        <w:t>New Media &amp; Society</w:t>
      </w:r>
      <w:r>
        <w:t xml:space="preserve">, </w:t>
      </w:r>
      <w:r>
        <w:rPr>
          <w:i/>
        </w:rPr>
        <w:t>13</w:t>
      </w:r>
      <w:r>
        <w:t>(1), 114–133.</w:t>
      </w:r>
    </w:p>
    <w:p>
      <w:pPr>
        <w:pStyle w:val="ListBullet"/>
        <w:spacing w:after="60" w:line="276" w:lineRule="auto"/>
      </w:pPr>
      <w:r>
        <w:t xml:space="preserve">Habermas, J. (1989). </w:t>
      </w:r>
      <w:r>
        <w:rPr>
          <w:i/>
        </w:rPr>
        <w:t>The structural transformation of the public sphere: An inquiry into a category of bourgeois society</w:t>
      </w:r>
      <w:r>
        <w:t xml:space="preserve"> (T. Burger &amp; F. Lawrence, Trans.). MIT Press. (Original work published 1962)</w:t>
      </w:r>
    </w:p>
    <w:p>
      <w:pPr>
        <w:pStyle w:val="ListBullet"/>
        <w:spacing w:after="60" w:line="276" w:lineRule="auto"/>
      </w:pPr>
      <w:r>
        <w:t xml:space="preserve">Newman, M. E. J. (2002). Assortative mixing in networks. </w:t>
      </w:r>
      <w:r>
        <w:rPr>
          <w:i/>
        </w:rPr>
        <w:t>Physical Review Letters</w:t>
      </w:r>
      <w:r>
        <w:t xml:space="preserve">, </w:t>
      </w:r>
      <w:r>
        <w:rPr>
          <w:i/>
        </w:rPr>
        <w:t>89</w:t>
      </w:r>
      <w:r>
        <w:t>(20), 208701. https://doi.org/10.1103/PhysRevLett.89.208701</w:t>
      </w:r>
    </w:p>
    <w:p>
      <w:pPr>
        <w:pStyle w:val="ListBullet"/>
        <w:spacing w:after="60" w:line="276" w:lineRule="auto"/>
      </w:pPr>
      <w:r>
        <w:t xml:space="preserve">Newman, M. E. J. (2006). Modularity and community structure in networks. </w:t>
      </w:r>
      <w:r>
        <w:rPr>
          <w:i/>
        </w:rPr>
        <w:t>Proceedings of the National Academy of Sciences</w:t>
      </w:r>
      <w:r>
        <w:t xml:space="preserve">, </w:t>
      </w:r>
      <w:r>
        <w:rPr>
          <w:i/>
        </w:rPr>
        <w:t>103</w:t>
      </w:r>
      <w:r>
        <w:t>(23), 8577–8582. https://doi.org/10.1073/pnas.0601602103</w:t>
      </w:r>
    </w:p>
    <w:p>
      <w:pPr>
        <w:pStyle w:val="ListBullet"/>
        <w:spacing w:after="60" w:line="276" w:lineRule="auto"/>
      </w:pPr>
      <w:r>
        <w:t xml:space="preserve">Noelle-Neumann, E. (1974). The spiral of silence: A theory of public opinion. </w:t>
      </w:r>
      <w:r>
        <w:rPr>
          <w:i/>
        </w:rPr>
        <w:t>Journal of Communication</w:t>
      </w:r>
      <w:r>
        <w:t xml:space="preserve">, </w:t>
      </w:r>
      <w:r>
        <w:rPr>
          <w:i/>
        </w:rPr>
        <w:t>24</w:t>
      </w:r>
      <w:r>
        <w:t>(2), 43–51.</w:t>
      </w:r>
    </w:p>
    <w:p>
      <w:pPr>
        <w:pStyle w:val="ListBullet"/>
        <w:spacing w:after="60" w:line="276" w:lineRule="auto"/>
      </w:pPr>
      <w:r>
        <w:t xml:space="preserve">Plé, L., &amp; Chumpitaz Cáceres, R. (2010). Not always co-creation: Introducing interactional co-destruction of value in service-dominant logic. </w:t>
      </w:r>
      <w:r>
        <w:rPr>
          <w:i/>
        </w:rPr>
        <w:t>Journal of Services Marketing</w:t>
      </w:r>
      <w:r>
        <w:t xml:space="preserve">, </w:t>
      </w:r>
      <w:r>
        <w:rPr>
          <w:i/>
        </w:rPr>
        <w:t>24</w:t>
      </w:r>
      <w:r>
        <w:t>(6), 430–437.</w:t>
      </w:r>
    </w:p>
    <w:p>
      <w:pPr>
        <w:pStyle w:val="ListBullet"/>
        <w:spacing w:after="60" w:line="276" w:lineRule="auto"/>
      </w:pPr>
      <w:r>
        <w:t xml:space="preserve">Plutchik, R. (1980). A general psychoevolutionary theory of emotion. In R. Plutchik &amp; H. Kellerman (Eds.), </w:t>
      </w:r>
      <w:r>
        <w:rPr>
          <w:i/>
        </w:rPr>
        <w:t>Theories of emotion</w:t>
      </w:r>
      <w:r>
        <w:t xml:space="preserve"> (pp. 3–33). Academic Press.</w:t>
      </w:r>
    </w:p>
    <w:p>
      <w:pPr>
        <w:pStyle w:val="ListBullet"/>
        <w:spacing w:after="60" w:line="276" w:lineRule="auto"/>
      </w:pPr>
      <w:r>
        <w:t xml:space="preserve">Pontiki, M., Galanis, D., Papageorgiou, H., Androutsopoulos, I., Manandhar, S., Mohammad, A.-S., ... &amp; Eryiğit, G. (2014). SemEval-2014 task 4: Aspect based sentiment analysis. </w:t>
      </w:r>
      <w:r>
        <w:rPr>
          <w:i/>
        </w:rPr>
        <w:t>Proceedings of the 8th International Workshop on Semantic Evaluation</w:t>
      </w:r>
      <w:r>
        <w:t>, 27–35.</w:t>
      </w:r>
    </w:p>
    <w:p>
      <w:pPr>
        <w:pStyle w:val="ListBullet"/>
        <w:spacing w:after="60" w:line="276" w:lineRule="auto"/>
      </w:pPr>
      <w:r>
        <w:t xml:space="preserve">Renn, O. (1992). Risk communication: Towards a rational discourse with the public. </w:t>
      </w:r>
      <w:r>
        <w:rPr>
          <w:i/>
        </w:rPr>
        <w:t>Journal of Hazardous Materials</w:t>
      </w:r>
      <w:r>
        <w:t xml:space="preserve">, </w:t>
      </w:r>
      <w:r>
        <w:rPr>
          <w:i/>
        </w:rPr>
        <w:t>29</w:t>
      </w:r>
      <w:r>
        <w:t>(3), 465–519.</w:t>
      </w:r>
    </w:p>
    <w:p>
      <w:pPr>
        <w:pStyle w:val="ListBullet"/>
        <w:spacing w:after="60" w:line="276" w:lineRule="auto"/>
      </w:pPr>
      <w:r>
        <w:t xml:space="preserve">Rozin, P., Haidt, J., &amp; McCauley, C. R. (2000). Disgust. In M. Lewis &amp; J. M. Haviland-Jones (Eds.), </w:t>
      </w:r>
      <w:r>
        <w:rPr>
          <w:i/>
        </w:rPr>
        <w:t>Handbook of emotions</w:t>
      </w:r>
      <w:r>
        <w:t xml:space="preserve"> (2nd ed., pp. 637–653). Guilford Press.</w:t>
      </w:r>
    </w:p>
    <w:p>
      <w:pPr>
        <w:pStyle w:val="ListBullet"/>
        <w:spacing w:after="60" w:line="276" w:lineRule="auto"/>
      </w:pPr>
      <w:r>
        <w:t xml:space="preserve">Schultz, F., Utz, S., &amp; Göritz, A. (2011). Is the medium the message? Perceptions of and reactions to crisis communication via Twitter, blogs and traditional media. </w:t>
      </w:r>
      <w:r>
        <w:rPr>
          <w:i/>
        </w:rPr>
        <w:t>Public Relations Review</w:t>
      </w:r>
      <w:r>
        <w:t xml:space="preserve">, </w:t>
      </w:r>
      <w:r>
        <w:rPr>
          <w:i/>
        </w:rPr>
        <w:t>37</w:t>
      </w:r>
      <w:r>
        <w:t>(1), 20–27.</w:t>
      </w:r>
    </w:p>
    <w:p>
      <w:pPr>
        <w:pStyle w:val="ListBullet"/>
        <w:spacing w:after="60" w:line="276" w:lineRule="auto"/>
      </w:pPr>
      <w:r>
        <w:t xml:space="preserve">Scott, J. C. (1985). </w:t>
      </w:r>
      <w:r>
        <w:rPr>
          <w:i/>
        </w:rPr>
        <w:t>Weapons of the weak: Everyday forms of peasant resistance</w:t>
      </w:r>
      <w:r>
        <w:t>. Yale University Press.</w:t>
      </w:r>
    </w:p>
    <w:p>
      <w:pPr>
        <w:pStyle w:val="ListBullet"/>
        <w:spacing w:after="60" w:line="276" w:lineRule="auto"/>
      </w:pPr>
      <w:r>
        <w:t xml:space="preserve">Skovholt, K., Grønning, A., &amp; Kankaanranta, A. (2014). The communicative functions of emoticons in workplace e-mails. </w:t>
      </w:r>
      <w:r>
        <w:rPr>
          <w:i/>
        </w:rPr>
        <w:t>Journal of Computer-Mediated Communication</w:t>
      </w:r>
      <w:r>
        <w:t xml:space="preserve">, </w:t>
      </w:r>
      <w:r>
        <w:rPr>
          <w:i/>
        </w:rPr>
        <w:t>19</w:t>
      </w:r>
      <w:r>
        <w:t>(4), 780–797.</w:t>
      </w:r>
    </w:p>
    <w:p>
      <w:pPr>
        <w:pStyle w:val="ListBullet"/>
        <w:spacing w:after="60" w:line="276" w:lineRule="auto"/>
      </w:pPr>
      <w:r>
        <w:t xml:space="preserve">Slovic, P. (1987). Perception of risk. </w:t>
      </w:r>
      <w:r>
        <w:rPr>
          <w:i/>
        </w:rPr>
        <w:t>Science</w:t>
      </w:r>
      <w:r>
        <w:t xml:space="preserve">, </w:t>
      </w:r>
      <w:r>
        <w:rPr>
          <w:i/>
        </w:rPr>
        <w:t>236</w:t>
      </w:r>
      <w:r>
        <w:t>(4799), 280–285.</w:t>
      </w:r>
    </w:p>
    <w:p>
      <w:pPr>
        <w:pStyle w:val="ListBullet"/>
        <w:spacing w:after="60" w:line="276" w:lineRule="auto"/>
      </w:pPr>
      <w:r>
        <w:t xml:space="preserve">Snijders, T. A., van de Bunt, G. G., &amp; Steglich, C. E. (2010). Introduction to stochastic actor-based models for network dynamics. </w:t>
      </w:r>
      <w:r>
        <w:rPr>
          <w:i/>
        </w:rPr>
        <w:t>Social Networks</w:t>
      </w:r>
      <w:r>
        <w:t xml:space="preserve">, </w:t>
      </w:r>
      <w:r>
        <w:rPr>
          <w:i/>
        </w:rPr>
        <w:t>32</w:t>
      </w:r>
      <w:r>
        <w:t>(1), 44–60.</w:t>
      </w:r>
    </w:p>
    <w:p>
      <w:pPr>
        <w:pStyle w:val="ListBullet"/>
        <w:spacing w:after="60" w:line="276" w:lineRule="auto"/>
      </w:pPr>
      <w:r>
        <w:t xml:space="preserve">Suaib, A., &amp; Pratiwi, D. (2025). Social network analysis of political discourse on Twitter: A study of Indonesian election debates. </w:t>
      </w:r>
      <w:r>
        <w:rPr>
          <w:i/>
        </w:rPr>
        <w:t>Jurnal Komunikasi</w:t>
      </w:r>
      <w:r>
        <w:t xml:space="preserve">, </w:t>
      </w:r>
      <w:r>
        <w:rPr>
          <w:i/>
        </w:rPr>
        <w:t>17</w:t>
      </w:r>
      <w:r>
        <w:t>(1), 45–67.</w:t>
      </w:r>
    </w:p>
    <w:p>
      <w:pPr>
        <w:pStyle w:val="ListBullet"/>
        <w:spacing w:after="60" w:line="276" w:lineRule="auto"/>
      </w:pPr>
      <w:r>
        <w:t xml:space="preserve">Sulafasyah. (2026). Network analysis of mass food poisoning discourse in MBG program on Twitter. </w:t>
      </w:r>
      <w:r>
        <w:rPr>
          <w:i/>
        </w:rPr>
        <w:t>Komunikasi Indonesia</w:t>
      </w:r>
      <w:r>
        <w:t xml:space="preserve">, </w:t>
      </w:r>
      <w:r>
        <w:rPr>
          <w:i/>
        </w:rPr>
        <w:t>4</w:t>
      </w:r>
      <w:r>
        <w:t>(1), 12–29.</w:t>
      </w:r>
    </w:p>
    <w:p>
      <w:pPr>
        <w:pStyle w:val="ListBullet"/>
        <w:spacing w:after="60" w:line="276" w:lineRule="auto"/>
      </w:pPr>
      <w:r>
        <w:t xml:space="preserve">Sun, C., Huang, L., &amp; Qiu, X. (2019). Utilizing BERT for aspect-based sentiment analysis via constructing auxiliary sentence. </w:t>
      </w:r>
      <w:r>
        <w:rPr>
          <w:i/>
        </w:rPr>
        <w:t>Proceedings of NAACL-HLT 2019</w:t>
      </w:r>
      <w:r>
        <w:t>, 380–385.</w:t>
      </w:r>
    </w:p>
    <w:p>
      <w:pPr>
        <w:pStyle w:val="ListBullet"/>
        <w:spacing w:after="60" w:line="276" w:lineRule="auto"/>
      </w:pPr>
      <w:r>
        <w:t xml:space="preserve">Sunstein, C. R. (2001). </w:t>
      </w:r>
      <w:r>
        <w:rPr>
          <w:i/>
        </w:rPr>
        <w:t>Echo chambers: Bush v. Gore, impeachment, and beyond</w:t>
      </w:r>
      <w:r>
        <w:t>. Princeton University Press.</w:t>
      </w:r>
    </w:p>
    <w:p>
      <w:pPr>
        <w:pStyle w:val="ListBullet"/>
        <w:spacing w:after="60" w:line="276" w:lineRule="auto"/>
      </w:pPr>
      <w:r>
        <w:t xml:space="preserve">Vargo, S. L., &amp; Lusch, R. F. (2004). Evolving to a new dominant logic for marketing. </w:t>
      </w:r>
      <w:r>
        <w:rPr>
          <w:i/>
        </w:rPr>
        <w:t>Journal of Marketing</w:t>
      </w:r>
      <w:r>
        <w:t xml:space="preserve">, </w:t>
      </w:r>
      <w:r>
        <w:rPr>
          <w:i/>
        </w:rPr>
        <w:t>68</w:t>
      </w:r>
      <w:r>
        <w:t>(1), 1–17.</w:t>
      </w:r>
    </w:p>
    <w:p>
      <w:pPr>
        <w:pStyle w:val="ListBullet"/>
        <w:spacing w:after="60" w:line="276" w:lineRule="auto"/>
      </w:pPr>
      <w:r>
        <w:t xml:space="preserve">Vargo, S. L., &amp; Lusch, R. F. (2016). Institutions and axioms: An extension and update of service-dominant logic. </w:t>
      </w:r>
      <w:r>
        <w:rPr>
          <w:i/>
        </w:rPr>
        <w:t>Journal of the Academy of Marketing Science</w:t>
      </w:r>
      <w:r>
        <w:t xml:space="preserve">, </w:t>
      </w:r>
      <w:r>
        <w:rPr>
          <w:i/>
        </w:rPr>
        <w:t>44</w:t>
      </w:r>
      <w:r>
        <w:t>(1), 5–23.</w:t>
      </w:r>
    </w:p>
    <w:p>
      <w:pPr>
        <w:pStyle w:val="ListBullet"/>
        <w:spacing w:after="60" w:line="276" w:lineRule="auto"/>
      </w:pPr>
      <w:r>
        <w:t xml:space="preserve">Vaswani, A., Shazeer, N., Parmar, N., Uszkoreit, J., Jones, L., Gomez, A. N., ... &amp; Polosukhin, I. (2017). Attention is all you need. </w:t>
      </w:r>
      <w:r>
        <w:rPr>
          <w:i/>
        </w:rPr>
        <w:t>Advances in Neural Information Processing Systems</w:t>
      </w:r>
      <w:r>
        <w:t xml:space="preserve">, </w:t>
      </w:r>
      <w:r>
        <w:rPr>
          <w:i/>
        </w:rPr>
        <w:t>30</w:t>
      </w:r>
      <w:r>
        <w:t>, 5998–6008.</w:t>
      </w:r>
    </w:p>
    <w:p>
      <w:pPr>
        <w:pStyle w:val="ListBullet"/>
        <w:spacing w:after="60" w:line="276" w:lineRule="auto"/>
      </w:pPr>
      <w:r>
        <w:t xml:space="preserve">Wasserman, S., &amp; Faust, K. (1994). </w:t>
      </w:r>
      <w:r>
        <w:rPr>
          <w:i/>
        </w:rPr>
        <w:t>Social network analysis: Methods and applications</w:t>
      </w:r>
      <w:r>
        <w:t>. Cambridge University Press.</w:t>
      </w:r>
    </w:p>
    <w:p>
      <w:pPr>
        <w:pStyle w:val="ListBullet"/>
        <w:spacing w:after="60" w:line="276" w:lineRule="auto"/>
      </w:pPr>
      <w:r>
        <w:t xml:space="preserve">Wilie, B., Vincentio, K., Winata, G. I., Cahyawijaya, S., Li, Z., Lim, Z. S., ... &amp; Fung, P. (2020). IndoNLU: Benchmark and resources for evaluating Indonesian natural language understanding. </w:t>
      </w:r>
      <w:r>
        <w:rPr>
          <w:i/>
        </w:rPr>
        <w:t>Proceedings of the 1st Conference of the Asia-Pacific Chapter of the Association for Computational Linguistics</w:t>
      </w:r>
      <w:r>
        <w:t>, 843–857.</w:t>
      </w:r>
    </w:p>
    <w:p>
      <w:pPr>
        <w:spacing w:before="320" w:after="120"/>
      </w:pPr>
      <w:r>
        <w:rPr>
          <w:rFonts w:ascii="Times New Roman" w:hAnsi="Times New Roman"/>
          <w:b/>
          <w:color w:val="142850"/>
          <w:sz w:val="28"/>
        </w:rPr>
        <w:t>Appendix A: Formal Mathematical Notations and Centrality Formulas</w:t>
      </w:r>
    </w:p>
    <w:p>
      <w:r>
        <w:t>The graph metrics referenced throughout this manuscript are formally specified as follows:</w:t>
      </w:r>
    </w:p>
    <w:p>
      <w:pPr>
        <w:pStyle w:val="ListNumber"/>
        <w:spacing w:after="60" w:line="276" w:lineRule="auto"/>
      </w:pPr>
      <w:r/>
      <w:r>
        <w:rPr>
          <w:rFonts w:ascii="Times New Roman" w:hAnsi="Times New Roman"/>
          <w:sz w:val="22"/>
        </w:rPr>
        <w:t>Network Density (\rho):</w:t>
      </w:r>
    </w:p>
    <w:p>
      <w:pPr/>
      <w:r/>
      <w:r>
        <w:rPr>
          <w:rFonts w:ascii="Times New Roman" w:hAnsi="Times New Roman"/>
          <w:sz w:val="22"/>
        </w:rPr>
        <w:t>$$\rho = \frac{|E|}{|V|(|V| - 1)} = \frac{692}{971 \times 970} \approx 0.000735$$</w:t>
      </w:r>
    </w:p>
    <w:p>
      <w:pPr>
        <w:pStyle w:val="ListNumber"/>
        <w:spacing w:after="60" w:line="276" w:lineRule="auto"/>
      </w:pPr>
      <w:r/>
      <w:r>
        <w:rPr>
          <w:rFonts w:ascii="Times New Roman" w:hAnsi="Times New Roman"/>
          <w:sz w:val="22"/>
        </w:rPr>
        <w:t>Dyadic Reciprocity (R):</w:t>
      </w:r>
    </w:p>
    <w:p>
      <w:pPr/>
      <w:r/>
      <w:r>
        <w:rPr>
          <w:rFonts w:ascii="Times New Roman" w:hAnsi="Times New Roman"/>
          <w:sz w:val="22"/>
        </w:rPr>
        <w:t>$$R = \frac{\sum_{i \neq j} A_{ij} A_{ji}}{|E|} = \frac{2 \times 4}{666} \approx 0.0120 \quad (1.20\%)$$</w:t>
      </w:r>
    </w:p>
    <w:p>
      <w:pPr>
        <w:pStyle w:val="ListNumber"/>
        <w:spacing w:after="60" w:line="276" w:lineRule="auto"/>
      </w:pPr>
      <w:r/>
      <w:r>
        <w:rPr>
          <w:rFonts w:ascii="Times New Roman" w:hAnsi="Times New Roman"/>
          <w:sz w:val="22"/>
        </w:rPr>
        <w:t>Clustering Coefficient of Node i (C_i):</w:t>
      </w:r>
    </w:p>
    <w:p>
      <w:pPr/>
      <w:r/>
      <w:r>
        <w:rPr>
          <w:rFonts w:ascii="Times New Roman" w:hAnsi="Times New Roman"/>
          <w:sz w:val="22"/>
        </w:rPr>
        <w:t>$$C_i = \frac{|\{e_{jk}: j,k \in N_i, e_{jk} \in E\}|}{k_i(k_i - 1)}$$</w:t>
      </w:r>
    </w:p>
    <w:p>
      <w:pPr/>
      <w:r/>
      <w:r>
        <w:rPr>
          <w:rFonts w:ascii="Times New Roman" w:hAnsi="Times New Roman"/>
          <w:sz w:val="22"/>
        </w:rPr>
        <w:t>where N_i denotes the neighborhood of node i.</w:t>
      </w:r>
    </w:p>
    <w:p>
      <w:pPr>
        <w:pStyle w:val="ListNumber"/>
        <w:spacing w:after="60" w:line="276" w:lineRule="auto"/>
      </w:pPr>
      <w:r>
        <w:rPr>
          <w:b/>
        </w:rPr>
        <w:t>Descriptive Degree-Distribution Scaling Exponent</w:t>
      </w:r>
      <w:r>
        <w:t>:</w:t>
      </w:r>
    </w:p>
    <w:p>
      <w:pPr/>
      <w:r/>
      <w:r>
        <w:rPr>
          <w:rFonts w:ascii="Times New Roman" w:hAnsi="Times New Roman"/>
          <w:sz w:val="22"/>
        </w:rPr>
        <w:t>$$\hat{\alpha} = 1 + n \left[ \sum_{i=1}^n \ln \left( \frac{k_i}{k_{\min} - \frac{1}{2}} \right) \right]^{-1}$$</w:t>
      </w:r>
    </w:p>
    <w:p>
      <w:pPr/>
      <w:r/>
      <w:r>
        <w:rPr>
          <w:rFonts w:ascii="Times New Roman" w:hAnsi="Times New Roman"/>
          <w:sz w:val="22"/>
        </w:rPr>
        <w:t>yielding an estimated degree-distribution scaling exponent of $\hat{\alpha} = 2.168 \pm 0.08 with fixed lower threshold x_{\min} = 1.0$.</w:t>
      </w:r>
    </w:p>
    <w:p>
      <w:pPr>
        <w:spacing w:before="320" w:after="120"/>
      </w:pPr>
      <w:r>
        <w:rPr>
          <w:rFonts w:ascii="Times New Roman" w:hAnsi="Times New Roman"/>
          <w:b/>
          <w:color w:val="142850"/>
          <w:sz w:val="28"/>
        </w:rPr>
        <w:t>Appendix B: Representative Corpus of Pragmatic Sarcasm Instances</w:t>
      </w:r>
    </w:p>
    <w:p>
      <w:r>
        <w:t>The examples below are user-generated corpus observations reproduced for analytical purposes. Claims contained in individual posts are treated as discourse-level expressions and are not independently verified factual findings of this study.</w:t>
      </w:r>
    </w:p>
    <w:p>
      <w:r>
        <w:rPr>
          <w:b/>
        </w:rPr>
        <w:t>Table B1: Representative Corpus Instances of Indonesian Digital Sarcasm on Platform X</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Instance ID</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Raw Indonesian Tweet Text</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English Idiomatic Translation</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Primary Linguistic Mechanism</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Emoji Illocutionary Operator</w:t>
            </w:r>
          </w:p>
        </w:tc>
      </w:tr>
      <w:tr>
        <w:tc>
          <w:tcPr>
            <w:tcW w:type="dxa" w:w="1872"/>
            <w:tcMar>
              <w:top w:w="70" w:type="dxa"/>
              <w:bottom w:w="70" w:type="dxa"/>
              <w:left w:w="100" w:type="dxa"/>
              <w:right w:w="100" w:type="dxa"/>
            </w:tcMar>
          </w:tcPr>
          <w:p>
            <w:pPr>
              <w:spacing w:before="60" w:after="60" w:line="252" w:lineRule="auto"/>
            </w:pPr>
            <w:r>
              <w:rPr>
                <w:sz w:val="18"/>
              </w:rPr>
            </w:r>
            <w:r>
              <w:rPr>
                <w:b/>
                <w:sz w:val="18"/>
              </w:rPr>
              <w:t>S-01</w:t>
            </w:r>
          </w:p>
        </w:tc>
        <w:tc>
          <w:tcPr>
            <w:tcW w:type="dxa" w:w="1872"/>
            <w:tcMar>
              <w:top w:w="70" w:type="dxa"/>
              <w:bottom w:w="70" w:type="dxa"/>
              <w:left w:w="100" w:type="dxa"/>
              <w:right w:w="100" w:type="dxa"/>
            </w:tcMar>
          </w:tcPr>
          <w:p>
            <w:pPr>
              <w:spacing w:before="60" w:after="60" w:line="252" w:lineRule="auto"/>
            </w:pPr>
            <w:r>
              <w:rPr>
                <w:sz w:val="18"/>
              </w:rPr>
            </w:r>
            <w:r>
              <w:rPr>
                <w:i/>
                <w:sz w:val="18"/>
              </w:rPr>
              <w:t>"Hebat banget ya BGN, anggarannya 268 triliun tapi omprengnya impor plastik murahan dari luar negeri. Bangga karya anak bangsa! 🤡🇮🇩"</w:t>
            </w:r>
          </w:p>
        </w:tc>
        <w:tc>
          <w:tcPr>
            <w:tcW w:type="dxa" w:w="1872"/>
            <w:tcMar>
              <w:top w:w="70" w:type="dxa"/>
              <w:bottom w:w="70" w:type="dxa"/>
              <w:left w:w="100" w:type="dxa"/>
              <w:right w:w="100" w:type="dxa"/>
            </w:tcMar>
          </w:tcPr>
          <w:p>
            <w:pPr>
              <w:spacing w:before="60" w:after="60" w:line="252" w:lineRule="auto"/>
            </w:pPr>
            <w:r>
              <w:rPr>
                <w:sz w:val="18"/>
              </w:rPr>
            </w:r>
            <w:r>
              <w:rPr>
                <w:i/>
                <w:sz w:val="18"/>
              </w:rPr>
              <w:t>"Truly magnificent BGN, a 268 trillion budget but the food trays are cheap imported plastic. So proud of our domestic industry! 🤡🇮🇩"</w:t>
            </w:r>
          </w:p>
        </w:tc>
        <w:tc>
          <w:tcPr>
            <w:tcW w:type="dxa" w:w="1872"/>
            <w:tcMar>
              <w:top w:w="70" w:type="dxa"/>
              <w:bottom w:w="70" w:type="dxa"/>
              <w:left w:w="100" w:type="dxa"/>
              <w:right w:w="100" w:type="dxa"/>
            </w:tcMar>
          </w:tcPr>
          <w:p>
            <w:pPr>
              <w:spacing w:before="60" w:after="60" w:line="252" w:lineRule="auto"/>
            </w:pPr>
            <w:r>
              <w:rPr>
                <w:sz w:val="18"/>
              </w:rPr>
            </w:r>
            <w:r>
              <w:rPr>
                <w:sz w:val="18"/>
              </w:rPr>
              <w:t>Typology 1 (Illocutionary Inversion via patriotic praise)</w:t>
            </w:r>
          </w:p>
        </w:tc>
        <w:tc>
          <w:tcPr>
            <w:tcW w:type="dxa" w:w="1872"/>
            <w:tcMar>
              <w:top w:w="70" w:type="dxa"/>
              <w:bottom w:w="70" w:type="dxa"/>
              <w:left w:w="100" w:type="dxa"/>
              <w:right w:w="100" w:type="dxa"/>
            </w:tcMar>
          </w:tcPr>
          <w:p>
            <w:pPr>
              <w:spacing w:before="60" w:after="60" w:line="252" w:lineRule="auto"/>
            </w:pPr>
            <w:r>
              <w:rPr>
                <w:sz w:val="18"/>
              </w:rPr>
            </w:r>
            <w:r>
              <w:rPr>
                <w:sz w:val="18"/>
              </w:rPr>
              <w:t>🤡 Clown Face (pretense/fraud)</w:t>
            </w:r>
          </w:p>
        </w:tc>
      </w:tr>
      <w:tr>
        <w:tc>
          <w:tcPr>
            <w:tcW w:type="dxa" w:w="1872"/>
            <w:tcMar>
              <w:top w:w="70" w:type="dxa"/>
              <w:bottom w:w="70" w:type="dxa"/>
              <w:left w:w="100" w:type="dxa"/>
              <w:right w:w="100" w:type="dxa"/>
            </w:tcMar>
          </w:tcPr>
          <w:p>
            <w:pPr>
              <w:spacing w:before="60" w:after="60" w:line="252" w:lineRule="auto"/>
            </w:pPr>
            <w:r>
              <w:rPr>
                <w:sz w:val="18"/>
              </w:rPr>
            </w:r>
            <w:r>
              <w:rPr>
                <w:b/>
                <w:sz w:val="18"/>
              </w:rPr>
              <w:t>S-02</w:t>
            </w:r>
          </w:p>
        </w:tc>
        <w:tc>
          <w:tcPr>
            <w:tcW w:type="dxa" w:w="1872"/>
            <w:tcMar>
              <w:top w:w="70" w:type="dxa"/>
              <w:bottom w:w="70" w:type="dxa"/>
              <w:left w:w="100" w:type="dxa"/>
              <w:right w:w="100" w:type="dxa"/>
            </w:tcMar>
          </w:tcPr>
          <w:p>
            <w:pPr>
              <w:spacing w:before="60" w:after="60" w:line="252" w:lineRule="auto"/>
            </w:pPr>
            <w:r>
              <w:rPr>
                <w:sz w:val="18"/>
              </w:rPr>
            </w:r>
            <w:r>
              <w:rPr>
                <w:i/>
                <w:sz w:val="18"/>
              </w:rPr>
              <w:t>"Menu MBG hari ini: nasi lembek, telur secuil, sama aroma got yang semerbak. Sungguh makanan bintang lima untuk generasi emas 😇"</w:t>
            </w:r>
          </w:p>
        </w:tc>
        <w:tc>
          <w:tcPr>
            <w:tcW w:type="dxa" w:w="1872"/>
            <w:tcMar>
              <w:top w:w="70" w:type="dxa"/>
              <w:bottom w:w="70" w:type="dxa"/>
              <w:left w:w="100" w:type="dxa"/>
              <w:right w:w="100" w:type="dxa"/>
            </w:tcMar>
          </w:tcPr>
          <w:p>
            <w:pPr>
              <w:spacing w:before="60" w:after="60" w:line="252" w:lineRule="auto"/>
            </w:pPr>
            <w:r>
              <w:rPr>
                <w:sz w:val="18"/>
              </w:rPr>
            </w:r>
            <w:r>
              <w:rPr>
                <w:i/>
                <w:sz w:val="18"/>
              </w:rPr>
              <w:t>"Today's MBG menu: soggy rice, a tiny crumb of egg, and the rich aroma of sewage. Truly five-star cuisine for the golden generation 😇"</w:t>
            </w:r>
          </w:p>
        </w:tc>
        <w:tc>
          <w:tcPr>
            <w:tcW w:type="dxa" w:w="1872"/>
            <w:tcMar>
              <w:top w:w="70" w:type="dxa"/>
              <w:bottom w:w="70" w:type="dxa"/>
              <w:left w:w="100" w:type="dxa"/>
              <w:right w:w="100" w:type="dxa"/>
            </w:tcMar>
          </w:tcPr>
          <w:p>
            <w:pPr>
              <w:spacing w:before="60" w:after="60" w:line="252" w:lineRule="auto"/>
            </w:pPr>
            <w:r>
              <w:rPr>
                <w:sz w:val="18"/>
              </w:rPr>
            </w:r>
            <w:r>
              <w:rPr>
                <w:sz w:val="18"/>
              </w:rPr>
              <w:t>Typology 2 (Sensory Micro-Macro Semantic Contrast)</w:t>
            </w:r>
          </w:p>
        </w:tc>
        <w:tc>
          <w:tcPr>
            <w:tcW w:type="dxa" w:w="1872"/>
            <w:tcMar>
              <w:top w:w="70" w:type="dxa"/>
              <w:bottom w:w="70" w:type="dxa"/>
              <w:left w:w="100" w:type="dxa"/>
              <w:right w:w="100" w:type="dxa"/>
            </w:tcMar>
          </w:tcPr>
          <w:p>
            <w:pPr>
              <w:spacing w:before="60" w:after="60" w:line="252" w:lineRule="auto"/>
            </w:pPr>
            <w:r>
              <w:rPr>
                <w:sz w:val="18"/>
              </w:rPr>
            </w:r>
            <w:r>
              <w:rPr>
                <w:sz w:val="18"/>
              </w:rPr>
              <w:t>😇 Smiling Face with Halo (innocent pretense)</w:t>
            </w:r>
          </w:p>
        </w:tc>
      </w:tr>
      <w:tr>
        <w:tc>
          <w:tcPr>
            <w:tcW w:type="dxa" w:w="1872"/>
            <w:tcMar>
              <w:top w:w="70" w:type="dxa"/>
              <w:bottom w:w="70" w:type="dxa"/>
              <w:left w:w="100" w:type="dxa"/>
              <w:right w:w="100" w:type="dxa"/>
            </w:tcMar>
          </w:tcPr>
          <w:p>
            <w:pPr>
              <w:spacing w:before="60" w:after="60" w:line="252" w:lineRule="auto"/>
            </w:pPr>
            <w:r>
              <w:rPr>
                <w:sz w:val="18"/>
              </w:rPr>
            </w:r>
            <w:r>
              <w:rPr>
                <w:b/>
                <w:sz w:val="18"/>
              </w:rPr>
              <w:t>S-03</w:t>
            </w:r>
          </w:p>
        </w:tc>
        <w:tc>
          <w:tcPr>
            <w:tcW w:type="dxa" w:w="1872"/>
            <w:tcMar>
              <w:top w:w="70" w:type="dxa"/>
              <w:bottom w:w="70" w:type="dxa"/>
              <w:left w:w="100" w:type="dxa"/>
              <w:right w:w="100" w:type="dxa"/>
            </w:tcMar>
          </w:tcPr>
          <w:p>
            <w:pPr>
              <w:spacing w:before="60" w:after="60" w:line="252" w:lineRule="auto"/>
            </w:pPr>
            <w:r>
              <w:rPr>
                <w:sz w:val="18"/>
              </w:rPr>
            </w:r>
            <w:r>
              <w:rPr>
                <w:i/>
                <w:sz w:val="18"/>
              </w:rPr>
              <w:t>"Jangan negatif thinking dulu gais, keracunan massal itu cuma latihan ketahanan lambung biar anak SD siap menghadapi krisis pangan global ❤️"</w:t>
            </w:r>
          </w:p>
        </w:tc>
        <w:tc>
          <w:tcPr>
            <w:tcW w:type="dxa" w:w="1872"/>
            <w:tcMar>
              <w:top w:w="70" w:type="dxa"/>
              <w:bottom w:w="70" w:type="dxa"/>
              <w:left w:w="100" w:type="dxa"/>
              <w:right w:w="100" w:type="dxa"/>
            </w:tcMar>
          </w:tcPr>
          <w:p>
            <w:pPr>
              <w:spacing w:before="60" w:after="60" w:line="252" w:lineRule="auto"/>
            </w:pPr>
            <w:r>
              <w:rPr>
                <w:sz w:val="18"/>
              </w:rPr>
            </w:r>
            <w:r>
              <w:rPr>
                <w:i/>
                <w:sz w:val="18"/>
              </w:rPr>
              <w:t>"Don't be negative guys, mass food poisoning is just stomach endurance training so elementary students are ready for global famine ❤️"</w:t>
            </w:r>
          </w:p>
        </w:tc>
        <w:tc>
          <w:tcPr>
            <w:tcW w:type="dxa" w:w="1872"/>
            <w:tcMar>
              <w:top w:w="70" w:type="dxa"/>
              <w:bottom w:w="70" w:type="dxa"/>
              <w:left w:w="100" w:type="dxa"/>
              <w:right w:w="100" w:type="dxa"/>
            </w:tcMar>
          </w:tcPr>
          <w:p>
            <w:pPr>
              <w:spacing w:before="60" w:after="60" w:line="252" w:lineRule="auto"/>
            </w:pPr>
            <w:r>
              <w:rPr>
                <w:sz w:val="18"/>
              </w:rPr>
            </w:r>
            <w:r>
              <w:rPr>
                <w:sz w:val="18"/>
              </w:rPr>
              <w:t>Typology 3 (Technocratic Dark Humor Euphemism)</w:t>
            </w:r>
          </w:p>
        </w:tc>
        <w:tc>
          <w:tcPr>
            <w:tcW w:type="dxa" w:w="1872"/>
            <w:tcMar>
              <w:top w:w="70" w:type="dxa"/>
              <w:bottom w:w="70" w:type="dxa"/>
              <w:left w:w="100" w:type="dxa"/>
              <w:right w:w="100" w:type="dxa"/>
            </w:tcMar>
          </w:tcPr>
          <w:p>
            <w:pPr>
              <w:spacing w:before="60" w:after="60" w:line="252" w:lineRule="auto"/>
            </w:pPr>
            <w:r>
              <w:rPr>
                <w:sz w:val="18"/>
              </w:rPr>
            </w:r>
            <w:r>
              <w:rPr>
                <w:sz w:val="18"/>
              </w:rPr>
              <w:t>❤️ Red Heart (ironic affectionate embrace)</w:t>
            </w:r>
          </w:p>
        </w:tc>
      </w:tr>
      <w:tr>
        <w:tc>
          <w:tcPr>
            <w:tcW w:type="dxa" w:w="1872"/>
            <w:tcMar>
              <w:top w:w="70" w:type="dxa"/>
              <w:bottom w:w="70" w:type="dxa"/>
              <w:left w:w="100" w:type="dxa"/>
              <w:right w:w="100" w:type="dxa"/>
            </w:tcMar>
          </w:tcPr>
          <w:p>
            <w:pPr>
              <w:spacing w:before="60" w:after="60" w:line="252" w:lineRule="auto"/>
            </w:pPr>
            <w:r>
              <w:rPr>
                <w:sz w:val="18"/>
              </w:rPr>
            </w:r>
            <w:r>
              <w:rPr>
                <w:b/>
                <w:sz w:val="18"/>
              </w:rPr>
              <w:t>S-04</w:t>
            </w:r>
          </w:p>
        </w:tc>
        <w:tc>
          <w:tcPr>
            <w:tcW w:type="dxa" w:w="1872"/>
            <w:tcMar>
              <w:top w:w="70" w:type="dxa"/>
              <w:bottom w:w="70" w:type="dxa"/>
              <w:left w:w="100" w:type="dxa"/>
              <w:right w:w="100" w:type="dxa"/>
            </w:tcMar>
          </w:tcPr>
          <w:p>
            <w:pPr>
              <w:spacing w:before="60" w:after="60" w:line="252" w:lineRule="auto"/>
            </w:pPr>
            <w:r>
              <w:rPr>
                <w:sz w:val="18"/>
              </w:rPr>
            </w:r>
            <w:r>
              <w:rPr>
                <w:i/>
                <w:sz w:val="18"/>
              </w:rPr>
              <w:t>"Anggaran dipotong 67 triliun katanya sisa dana cadangan. Padahal emang ga becus ngitung dari awal. Mantap pak bos lanjutkan dua periode! 🙃"</w:t>
            </w:r>
          </w:p>
        </w:tc>
        <w:tc>
          <w:tcPr>
            <w:tcW w:type="dxa" w:w="1872"/>
            <w:tcMar>
              <w:top w:w="70" w:type="dxa"/>
              <w:bottom w:w="70" w:type="dxa"/>
              <w:left w:w="100" w:type="dxa"/>
              <w:right w:w="100" w:type="dxa"/>
            </w:tcMar>
          </w:tcPr>
          <w:p>
            <w:pPr>
              <w:spacing w:before="60" w:after="60" w:line="252" w:lineRule="auto"/>
            </w:pPr>
            <w:r>
              <w:rPr>
                <w:sz w:val="18"/>
              </w:rPr>
            </w:r>
            <w:r>
              <w:rPr>
                <w:i/>
                <w:sz w:val="18"/>
              </w:rPr>
              <w:t>"Budget cut by 67 trillion they say is remaining reserves. The truth is they were completely incompetent at math from day one. Excellent boss, keep going for two terms! 🙃"</w:t>
            </w:r>
          </w:p>
        </w:tc>
        <w:tc>
          <w:tcPr>
            <w:tcW w:type="dxa" w:w="1872"/>
            <w:tcMar>
              <w:top w:w="70" w:type="dxa"/>
              <w:bottom w:w="70" w:type="dxa"/>
              <w:left w:w="100" w:type="dxa"/>
              <w:right w:w="100" w:type="dxa"/>
            </w:tcMar>
          </w:tcPr>
          <w:p>
            <w:pPr>
              <w:spacing w:before="60" w:after="60" w:line="252" w:lineRule="auto"/>
            </w:pPr>
            <w:r>
              <w:rPr>
                <w:sz w:val="18"/>
              </w:rPr>
            </w:r>
            <w:r>
              <w:rPr>
                <w:sz w:val="18"/>
              </w:rPr>
              <w:t>Typology 1 (Political Endorsement Inversion)</w:t>
            </w:r>
          </w:p>
        </w:tc>
        <w:tc>
          <w:tcPr>
            <w:tcW w:type="dxa" w:w="1872"/>
            <w:tcMar>
              <w:top w:w="70" w:type="dxa"/>
              <w:bottom w:w="70" w:type="dxa"/>
              <w:left w:w="100" w:type="dxa"/>
              <w:right w:w="100" w:type="dxa"/>
            </w:tcMar>
          </w:tcPr>
          <w:p>
            <w:pPr>
              <w:spacing w:before="60" w:after="60" w:line="252" w:lineRule="auto"/>
            </w:pPr>
            <w:r>
              <w:rPr>
                <w:sz w:val="18"/>
              </w:rPr>
            </w:r>
            <w:r>
              <w:rPr>
                <w:sz w:val="18"/>
              </w:rPr>
              <w:t>🙃 Upside-Down Face (cynical irony)</w:t>
            </w:r>
          </w:p>
        </w:tc>
      </w:tr>
      <w:tr>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b/>
                <w:sz w:val="18"/>
              </w:rPr>
              <w:t>S-05</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i/>
                <w:sz w:val="18"/>
              </w:rPr>
              <w:t>"Ternyata menu 15 ribu per porsi itu realisasinya cuma 3 ribu rupiah. Sisanya 12 ribu masuk ke lambung timses dan makelar SPPG. Berkah barokah! 🙏"</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i/>
                <w:sz w:val="18"/>
              </w:rPr>
              <w:t>"Turns out the 15-thousand-rupiah menu actually amounts to 3 thousand. The other 12 thousand goes straight into campaign team bellies and SPPG brokers. Truly blessed! 🙏"</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Typology 2 (Fiscal Discrepancy &amp; Graft Allegation)</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 Folded Hands (sanctimonious ironic piety)</w:t>
            </w:r>
          </w:p>
        </w:tc>
      </w:tr>
    </w:tbl>
    <w:p>
      <w:pPr>
        <w:spacing w:after="120"/>
      </w:pPr>
    </w:p>
    <w:p>
      <w:pPr>
        <w:spacing w:before="320" w:after="120"/>
      </w:pPr>
      <w:r>
        <w:rPr>
          <w:rFonts w:ascii="Times New Roman" w:hAnsi="Times New Roman"/>
          <w:b/>
          <w:color w:val="142850"/>
          <w:sz w:val="28"/>
        </w:rPr>
        <w:t>Appendix C: Codebook for Aspect-Based Sentiment Analysis (ABSA)</w:t>
      </w:r>
    </w:p>
    <w:p>
      <w:r>
        <w:rPr>
          <w:b/>
        </w:rPr>
        <w:t>Table C1: Inductive Semantic Lexicon and Indicator Keyword Schema for ABSA Classification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Aspect Key</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Primary Policy Dimension</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Core Seed Keywords (Indonesian)</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Morphological Variants &amp; Slang Equivalents</w:t>
            </w:r>
          </w:p>
        </w:tc>
        <w:tc>
          <w:tcPr>
            <w:tcW w:type="dxa" w:w="1872"/>
            <w:shd w:fill="EAEFF5"/>
            <w:tcBorders>
              <w:top w:val="single" w:sz="10" w:space="0" w:color="000000"/>
              <w:bottom w:val="single" w:sz="8" w:space="0" w:color="000000"/>
            </w:tcBorders>
            <w:tcMar>
              <w:top w:w="70" w:type="dxa"/>
              <w:bottom w:w="70" w:type="dxa"/>
              <w:left w:w="100" w:type="dxa"/>
              <w:right w:w="100" w:type="dxa"/>
            </w:tcMar>
          </w:tcPr>
          <w:p>
            <w:pPr>
              <w:spacing w:before="60" w:after="60" w:line="252" w:lineRule="auto"/>
            </w:pPr>
            <w:r>
              <w:rPr>
                <w:b/>
                <w:color w:val="0A1E3C"/>
                <w:sz w:val="19"/>
              </w:rPr>
            </w:r>
            <w:r>
              <w:rPr>
                <w:b/>
                <w:color w:val="0A1E3C"/>
                <w:sz w:val="19"/>
              </w:rPr>
              <w:t>Typical Affective Trigger</w:t>
            </w:r>
          </w:p>
        </w:tc>
      </w:tr>
      <w:tr>
        <w:tc>
          <w:tcPr>
            <w:tcW w:type="dxa" w:w="1872"/>
            <w:tcMar>
              <w:top w:w="70" w:type="dxa"/>
              <w:bottom w:w="70" w:type="dxa"/>
              <w:left w:w="100" w:type="dxa"/>
              <w:right w:w="100" w:type="dxa"/>
            </w:tcMar>
          </w:tcPr>
          <w:p>
            <w:pPr>
              <w:spacing w:before="60" w:after="60" w:line="252" w:lineRule="auto"/>
            </w:pPr>
            <w:r/>
            <w:r>
              <w:rPr>
                <w:rFonts w:ascii="Times New Roman" w:hAnsi="Times New Roman"/>
                <w:sz w:val="20"/>
              </w:rPr>
              <w:t>A_1</w:t>
            </w:r>
          </w:p>
        </w:tc>
        <w:tc>
          <w:tcPr>
            <w:tcW w:type="dxa" w:w="1872"/>
            <w:tcMar>
              <w:top w:w="70" w:type="dxa"/>
              <w:bottom w:w="70" w:type="dxa"/>
              <w:left w:w="100" w:type="dxa"/>
              <w:right w:w="100" w:type="dxa"/>
            </w:tcMar>
          </w:tcPr>
          <w:p>
            <w:pPr>
              <w:spacing w:before="60" w:after="60" w:line="252" w:lineRule="auto"/>
            </w:pPr>
            <w:r>
              <w:rPr>
                <w:sz w:val="18"/>
              </w:rPr>
            </w:r>
            <w:r>
              <w:rPr>
                <w:sz w:val="18"/>
              </w:rPr>
              <w:t>Budget &amp; Procurement</w:t>
            </w:r>
          </w:p>
        </w:tc>
        <w:tc>
          <w:tcPr>
            <w:tcW w:type="dxa" w:w="1872"/>
            <w:tcMar>
              <w:top w:w="70" w:type="dxa"/>
              <w:bottom w:w="70" w:type="dxa"/>
              <w:left w:w="100" w:type="dxa"/>
              <w:right w:w="100" w:type="dxa"/>
            </w:tcMar>
          </w:tcPr>
          <w:p>
            <w:pPr>
              <w:spacing w:before="60" w:after="60" w:line="252" w:lineRule="auto"/>
            </w:pPr>
            <w:r>
              <w:rPr>
                <w:sz w:val="18"/>
              </w:rPr>
            </w:r>
            <w:r>
              <w:rPr>
                <w:i/>
                <w:sz w:val="18"/>
              </w:rPr>
              <w:t>anggaran, triliun, pagu, APBN, pangkas, revisi, vendor, makelar, korupsi, pengadaan, fiktif, dana</w:t>
            </w:r>
          </w:p>
        </w:tc>
        <w:tc>
          <w:tcPr>
            <w:tcW w:type="dxa" w:w="1872"/>
            <w:tcMar>
              <w:top w:w="70" w:type="dxa"/>
              <w:bottom w:w="70" w:type="dxa"/>
              <w:left w:w="100" w:type="dxa"/>
              <w:right w:w="100" w:type="dxa"/>
            </w:tcMar>
          </w:tcPr>
          <w:p>
            <w:pPr>
              <w:spacing w:before="60" w:after="60" w:line="252" w:lineRule="auto"/>
            </w:pPr>
            <w:r>
              <w:rPr>
                <w:sz w:val="18"/>
              </w:rPr>
            </w:r>
            <w:r>
              <w:rPr>
                <w:i/>
                <w:sz w:val="18"/>
              </w:rPr>
              <w:t>anggaran2, triliunan, duit, dipotong, cuan, bancakan, disunat, tender, kongkalikong</w:t>
            </w:r>
          </w:p>
        </w:tc>
        <w:tc>
          <w:tcPr>
            <w:tcW w:type="dxa" w:w="1872"/>
            <w:tcMar>
              <w:top w:w="70" w:type="dxa"/>
              <w:bottom w:w="70" w:type="dxa"/>
              <w:left w:w="100" w:type="dxa"/>
              <w:right w:w="100" w:type="dxa"/>
            </w:tcMar>
          </w:tcPr>
          <w:p>
            <w:pPr>
              <w:spacing w:before="60" w:after="60" w:line="252" w:lineRule="auto"/>
            </w:pPr>
            <w:r>
              <w:rPr>
                <w:sz w:val="18"/>
              </w:rPr>
            </w:r>
            <w:r>
              <w:rPr>
                <w:sz w:val="18"/>
              </w:rPr>
              <w:t>Fiscal opacity, sudden downward revisions, allegations of crony vendor appointments</w:t>
            </w:r>
          </w:p>
        </w:tc>
      </w:tr>
      <w:tr>
        <w:tc>
          <w:tcPr>
            <w:tcW w:type="dxa" w:w="1872"/>
            <w:tcMar>
              <w:top w:w="70" w:type="dxa"/>
              <w:bottom w:w="70" w:type="dxa"/>
              <w:left w:w="100" w:type="dxa"/>
              <w:right w:w="100" w:type="dxa"/>
            </w:tcMar>
          </w:tcPr>
          <w:p>
            <w:pPr>
              <w:spacing w:before="60" w:after="60" w:line="252" w:lineRule="auto"/>
            </w:pPr>
            <w:r/>
            <w:r>
              <w:rPr>
                <w:rFonts w:ascii="Times New Roman" w:hAnsi="Times New Roman"/>
                <w:sz w:val="20"/>
              </w:rPr>
              <w:t>A_2</w:t>
            </w:r>
          </w:p>
        </w:tc>
        <w:tc>
          <w:tcPr>
            <w:tcW w:type="dxa" w:w="1872"/>
            <w:tcMar>
              <w:top w:w="70" w:type="dxa"/>
              <w:bottom w:w="70" w:type="dxa"/>
              <w:left w:w="100" w:type="dxa"/>
              <w:right w:w="100" w:type="dxa"/>
            </w:tcMar>
          </w:tcPr>
          <w:p>
            <w:pPr>
              <w:spacing w:before="60" w:after="60" w:line="252" w:lineRule="auto"/>
            </w:pPr>
            <w:r>
              <w:rPr>
                <w:sz w:val="18"/>
              </w:rPr>
            </w:r>
            <w:r>
              <w:rPr>
                <w:sz w:val="18"/>
              </w:rPr>
              <w:t>Logistics &amp; Distribution</w:t>
            </w:r>
          </w:p>
        </w:tc>
        <w:tc>
          <w:tcPr>
            <w:tcW w:type="dxa" w:w="1872"/>
            <w:tcMar>
              <w:top w:w="70" w:type="dxa"/>
              <w:bottom w:w="70" w:type="dxa"/>
              <w:left w:w="100" w:type="dxa"/>
              <w:right w:w="100" w:type="dxa"/>
            </w:tcMar>
          </w:tcPr>
          <w:p>
            <w:pPr>
              <w:spacing w:before="60" w:after="60" w:line="252" w:lineRule="auto"/>
            </w:pPr>
            <w:r>
              <w:rPr>
                <w:sz w:val="18"/>
              </w:rPr>
            </w:r>
            <w:r>
              <w:rPr>
                <w:i/>
                <w:sz w:val="18"/>
              </w:rPr>
              <w:t>logistik, distribusi, katering, SPPG, ompreng, antrean, keterlambatan, pengiriman, armada, suspensi</w:t>
            </w:r>
          </w:p>
        </w:tc>
        <w:tc>
          <w:tcPr>
            <w:tcW w:type="dxa" w:w="1872"/>
            <w:tcMar>
              <w:top w:w="70" w:type="dxa"/>
              <w:bottom w:w="70" w:type="dxa"/>
              <w:left w:w="100" w:type="dxa"/>
              <w:right w:w="100" w:type="dxa"/>
            </w:tcMar>
          </w:tcPr>
          <w:p>
            <w:pPr>
              <w:spacing w:before="60" w:after="60" w:line="252" w:lineRule="auto"/>
            </w:pPr>
            <w:r>
              <w:rPr>
                <w:sz w:val="18"/>
              </w:rPr>
            </w:r>
            <w:r>
              <w:rPr>
                <w:i/>
                <w:sz w:val="18"/>
              </w:rPr>
              <w:t>bento, wadah, kirim, telat, cold chain, ditutup, disegel, basi di jalan, rantang</w:t>
            </w:r>
          </w:p>
        </w:tc>
        <w:tc>
          <w:tcPr>
            <w:tcW w:type="dxa" w:w="1872"/>
            <w:tcMar>
              <w:top w:w="70" w:type="dxa"/>
              <w:bottom w:w="70" w:type="dxa"/>
              <w:left w:w="100" w:type="dxa"/>
              <w:right w:w="100" w:type="dxa"/>
            </w:tcMar>
          </w:tcPr>
          <w:p>
            <w:pPr>
              <w:spacing w:before="60" w:after="60" w:line="252" w:lineRule="auto"/>
            </w:pPr>
            <w:r>
              <w:rPr>
                <w:sz w:val="18"/>
              </w:rPr>
            </w:r>
            <w:r>
              <w:rPr>
                <w:sz w:val="18"/>
              </w:rPr>
              <w:t>Suspended service units, imported plastic containers, cold food delivery delays</w:t>
            </w:r>
          </w:p>
        </w:tc>
      </w:tr>
      <w:tr>
        <w:tc>
          <w:tcPr>
            <w:tcW w:type="dxa" w:w="1872"/>
            <w:tcBorders>
              <w:bottom w:val="single" w:sz="10" w:space="0" w:color="000000"/>
            </w:tcBorders>
            <w:tcMar>
              <w:top w:w="70" w:type="dxa"/>
              <w:bottom w:w="70" w:type="dxa"/>
              <w:left w:w="100" w:type="dxa"/>
              <w:right w:w="100" w:type="dxa"/>
            </w:tcMar>
          </w:tcPr>
          <w:p>
            <w:pPr>
              <w:spacing w:before="60" w:after="60" w:line="252" w:lineRule="auto"/>
            </w:pPr>
            <w:r/>
            <w:r>
              <w:rPr>
                <w:rFonts w:ascii="Times New Roman" w:hAnsi="Times New Roman"/>
                <w:sz w:val="20"/>
              </w:rPr>
              <w:t>A_3</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Nutritional Quality</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i/>
                <w:sz w:val="18"/>
              </w:rPr>
              <w:t>gizi, nutrisi, protein, stunting, menu, porsi, keracunan, higienitas, bakteri, susu, telur, tempe</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i/>
                <w:sz w:val="18"/>
              </w:rPr>
              <w:t>makanan, racun, sakit perut, diare, muntah, busuk, lalat, porsi mini, sayur layu</w:t>
            </w:r>
          </w:p>
        </w:tc>
        <w:tc>
          <w:tcPr>
            <w:tcW w:type="dxa" w:w="1872"/>
            <w:tcBorders>
              <w:bottom w:val="single" w:sz="10" w:space="0" w:color="000000"/>
            </w:tcBorders>
            <w:tcMar>
              <w:top w:w="70" w:type="dxa"/>
              <w:bottom w:w="70" w:type="dxa"/>
              <w:left w:w="100" w:type="dxa"/>
              <w:right w:w="100" w:type="dxa"/>
            </w:tcMar>
          </w:tcPr>
          <w:p>
            <w:pPr>
              <w:spacing w:before="60" w:after="60" w:line="252" w:lineRule="auto"/>
            </w:pPr>
            <w:r>
              <w:rPr>
                <w:sz w:val="18"/>
              </w:rPr>
            </w:r>
            <w:r>
              <w:rPr>
                <w:sz w:val="18"/>
              </w:rPr>
              <w:t>Mass hospitalizations, unhygienic preparation, tiny portions failing nutritional claims</w:t>
            </w:r>
          </w:p>
        </w:tc>
      </w:tr>
    </w:tbl>
    <w:p>
      <w:pPr>
        <w:spacing w:after="120"/>
      </w:pPr>
    </w:p>
    <w:p>
      <w:pPr>
        <w:spacing w:before="320" w:after="120"/>
      </w:pPr>
      <w:r/>
      <w:r>
        <w:rPr>
          <w:rFonts w:ascii="Times New Roman" w:hAnsi="Times New Roman"/>
          <w:sz w:val="22"/>
        </w:rPr>
        <w:t>Appendix D: Algorithmic Verification Trace Analysis of @grok</w:t>
      </w:r>
    </w:p>
    <w:p>
      <w:r>
        <w:t xml:space="preserve">In total, 42 unique users tagged </w:t>
      </w:r>
      <w:r>
        <w:rPr>
          <w:rFonts w:ascii="Consolas" w:hAnsi="Consolas"/>
          <w:color w:val="1E2D6E"/>
          <w:sz w:val="20"/>
        </w:rPr>
        <w:t>@grok</w:t>
      </w:r>
      <w:r>
        <w:t xml:space="preserve"> directly in top-level queries or thread replies regarding the MBG program. A qualitative parsing of query intents reveals three dominant epistemic categories:</w:t>
      </w:r>
    </w:p>
    <w:p>
      <w:pPr>
        <w:pStyle w:val="ListNumber"/>
        <w:spacing w:after="60" w:line="276" w:lineRule="auto"/>
      </w:pPr>
      <w:r>
        <w:rPr>
          <w:b/>
        </w:rPr>
        <w:t>Budgetary Arithmetic Validation (45.2% of queries)</w:t>
      </w:r>
      <w:r>
        <w:t xml:space="preserve">: Citizens prompting </w:t>
      </w:r>
      <w:r>
        <w:rPr>
          <w:rFonts w:ascii="Consolas" w:hAnsi="Consolas"/>
          <w:color w:val="1E2D6E"/>
          <w:sz w:val="20"/>
        </w:rPr>
        <w:t>@grok</w:t>
      </w:r>
      <w:r>
        <w:t xml:space="preserve"> to calculate the mathematical viability of feeding 82 million recipients under the revised IDR 268 trillion budget, asking whether the per-meal allocation of IDR 15,000 had dropped to IDR 8,000 or IDR 10,000.</w:t>
      </w:r>
    </w:p>
    <w:p>
      <w:pPr>
        <w:pStyle w:val="ListNumber"/>
        <w:spacing w:after="60" w:line="276" w:lineRule="auto"/>
      </w:pPr>
      <w:r>
        <w:rPr>
          <w:b/>
        </w:rPr>
        <w:t>Verification of Viral Food Poisoning Reports (33.3% of queries)</w:t>
      </w:r>
      <w:r>
        <w:t xml:space="preserve">: Citizens tagging </w:t>
      </w:r>
      <w:r>
        <w:rPr>
          <w:rFonts w:ascii="Consolas" w:hAnsi="Consolas"/>
          <w:color w:val="1E2D6E"/>
          <w:sz w:val="20"/>
        </w:rPr>
        <w:t>@grok</w:t>
      </w:r>
      <w:r>
        <w:t xml:space="preserve"> beneath viral smartphone videos of elementary school children in hospital emergency rooms, asking whether the incident was verified news or an edited smear campaign (</w:t>
      </w:r>
      <w:r>
        <w:rPr>
          <w:i/>
        </w:rPr>
        <w:t>"hoaks"</w:t>
      </w:r>
      <w:r>
        <w:t>).</w:t>
      </w:r>
    </w:p>
    <w:p>
      <w:pPr>
        <w:pStyle w:val="ListNumber"/>
        <w:spacing w:after="60" w:line="276" w:lineRule="auto"/>
      </w:pPr>
      <w:r>
        <w:rPr>
          <w:b/>
        </w:rPr>
        <w:t>Institutional Accountability Fact-Checking (21.4% of queries)</w:t>
      </w:r>
      <w:r>
        <w:t xml:space="preserve">: Users querying </w:t>
      </w:r>
      <w:r>
        <w:rPr>
          <w:rFonts w:ascii="Consolas" w:hAnsi="Consolas"/>
          <w:color w:val="1E2D6E"/>
          <w:sz w:val="20"/>
        </w:rPr>
        <w:t>@grok</w:t>
      </w:r>
      <w:r>
        <w:t xml:space="preserve"> regarding the legal status of SPPG private contractors, asking whether specific regional politicians or parliamentary figures held proprietary ownership over regional catering units.</w:t>
      </w:r>
    </w:p>
    <w:p>
      <w:r>
        <w:t xml:space="preserve">This observation suggests that some users employed platform-integrated AI as an auxiliary source for information verification, while </w:t>
      </w:r>
      <w:r>
        <w:rPr>
          <w:rFonts w:ascii="Consolas" w:hAnsi="Consolas"/>
          <w:color w:val="1E2D6E"/>
          <w:sz w:val="20"/>
        </w:rPr>
        <w:t>@grok</w:t>
      </w:r>
      <w:r>
        <w:t xml:space="preserve"> had the highest in-degree among AI-related actors observed in the sampled network.</w:t>
      </w:r>
    </w:p>
    <w:p>
      <w:r>
        <w:rPr>
          <w:i/>
        </w:rPr>
        <w:t>Page length: 47 pages in the current rendered PDF audit version; final pagination depends on the target journal template.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C8C8C"/>
        <w:sz w:val="17"/>
      </w:rPr>
      <w:t>Universitas Pembangunan Nasional 'Veteran' Jawa Timur — Master of Communication Science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MBG Digital Policy Crisis: Google Cloud Run &amp; Bahasa Bit Telemetry | Indri Anjar Kartika Sari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