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20"/>
        </w:rPr>
        <w:t>Mediator: Jurnal Komunikasi, Vol 17 (1), June 2026, pp. 1-22</w:t>
        <w:br/>
      </w:r>
      <w:r>
        <w:rPr>
          <w:rFonts w:ascii="Times New Roman" w:hAnsi="Times New Roman"/>
          <w:i/>
          <w:sz w:val="18"/>
        </w:rPr>
        <w:t>eISSN: 2581-0758 | pISSN: 1411-5883 | Terakreditasi SINTA 2 (SK No. 158/E/KPT/2021)</w:t>
      </w:r>
    </w:p>
    <w:p>
      <w:pPr>
        <w:spacing w:after="280"/>
      </w:pPr>
      <w:r>
        <w:rPr>
          <w:color w:val="8C8C8C"/>
          <w:sz w:val="20"/>
        </w:rPr>
        <w:t>――――――――――――――――――――――――――――――――――――――――――――――――――――――――――</w:t>
      </w:r>
    </w:p>
    <w:p>
      <w:pPr>
        <w:spacing w:after="240"/>
        <w:jc w:val="left"/>
      </w:pPr>
      <w:r>
        <w:rPr>
          <w:rFonts w:ascii="Times New Roman" w:hAnsi="Times New Roman"/>
          <w:b/>
          <w:sz w:val="32"/>
        </w:rPr>
        <w:t>Mapping Phygital Gap in Indonesia’s Free Nutritious Meal Crisis on X</w:t>
      </w:r>
    </w:p>
    <w:p>
      <w:pPr>
        <w:spacing w:after="120"/>
      </w:pPr>
      <w:r/>
      <w:r>
        <w:rPr>
          <w:rFonts w:ascii="Times New Roman" w:hAnsi="Times New Roman"/>
          <w:sz w:val="22"/>
        </w:rPr>
        <w:t>Indri Anjar Kartika Sari¹, Juwito², Catur Suratnoaji³</w:t>
        <w:br/>
        <w:t>¹,²,³ Program Studi Magister Ilmu Komunikasi, Fakultas Ilmu Sosial dan Ilmu Politik, Universitas Pembangunan Nasional 'Veteran' Jawa Timur, Surabaya, Indonesia</w:t>
        <w:br/>
        <w:t>Correspondence author: indrianjar@gmail.com</w:t>
      </w:r>
    </w:p>
    <w:tbl>
      <w:tblPr>
        <w:tblW w:type="auto" w:w="0"/>
        <w:jc w:val="center"/>
        <w:tblLayout w:type="fixed"/>
        <w:tblLook w:firstColumn="1" w:firstRow="1" w:lastColumn="0" w:lastRow="0" w:noHBand="0" w:noVBand="1" w:val="04A0"/>
      </w:tblPr>
      <w:tblGrid>
        <w:gridCol w:w="9029"/>
      </w:tblGrid>
      <w:tr>
        <w:tc>
          <w:tcPr>
            <w:tcW w:type="dxa" w:w="9029"/>
            <w:tcBorders>
              <w:left w:val="single" w:sz="18" w:space="0" w:color="000000"/>
              <w:bottom w:val="single" w:sz="8" w:space="0" w:color="000000"/>
            </w:tcBorders>
          </w:tcPr>
          <w:p>
            <w:pPr>
              <w:spacing w:line="240" w:lineRule="auto" w:after="120"/>
              <w:ind w:left="216" w:right="144"/>
            </w:pPr>
            <w:r>
              <w:rPr>
                <w:b/>
                <w:sz w:val="20"/>
              </w:rPr>
              <w:t xml:space="preserve">Abstract. </w:t>
            </w:r>
            <w:r>
              <w:rPr>
                <w:sz w:val="20"/>
              </w:rPr>
              <w:t>This study examines public affective resistance and network topology surrounding Indonesia’s Free Nutritious Meal (Makan Bergizi Gratis / MBG) program on Platform X. Responding to recent literature highlighting conflicting public sentiments regarding MBG implementation, this research applies an integrated computational communication approach bridging Philip Kotler’s Phygital Gap concept from Marketing 6.0 with Situational Crisis Communication Theory and Habermas’ public sphere. Analyzing an empirical corpus of 5,263 tweets and 3,395 sarcasm records, the study deploys fine-tuned IndoBERT for 9-class Plutchik emotion modeling, directed Social Network Analysis (SNA), and Aspect-Based Sentiment Analysis (ABSA). Findings reveal public discourse is overwhelmingly dominated by Disgust (56.24%), while Trust accounts for 20.39%. Lexical analysis validated 315 sarcastic tweets (9.28%) characterized by sharp text-emoji incongruity. SNA modeling (|V|=971, |E|=666) identified extreme hyper-fragmentation (modularity Q=0.9837; 332 clusters) and near-zero reciprocity (1.21%). While the primary policy authority (@prabowo) exhibited zero out-degree communication, an artificial intelligence agent (@grok) emerged as the dominant communicative oracle (out-degree=42). ABSA confirms public disgust concentrated specifically on operational breakdowns in logistics (78.91%), budgeting (77.01%), and nutrition (71.13%). This research demonstrates how the phygital gap precipitates acute communicative crises in public policy.</w:t>
            </w:r>
          </w:p>
          <w:p>
            <w:pPr>
              <w:spacing w:line="240" w:lineRule="auto" w:after="120"/>
              <w:ind w:left="216"/>
            </w:pPr>
            <w:r>
              <w:rPr>
                <w:b/>
                <w:sz w:val="20"/>
              </w:rPr>
              <w:t xml:space="preserve">Keywords: </w:t>
            </w:r>
            <w:r>
              <w:rPr>
                <w:i/>
                <w:sz w:val="20"/>
              </w:rPr>
              <w:t>phygital gap; free nutritious meal; computational communication; IndoBERT; social network analysis.</w:t>
            </w:r>
          </w:p>
        </w:tc>
      </w:tr>
    </w:tbl>
    <w:p>
      <w:pPr>
        <w:spacing w:after="160"/>
      </w:pPr>
    </w:p>
    <w:p>
      <w:pPr>
        <w:spacing w:before="280" w:after="120"/>
      </w:pPr>
      <w:r>
        <w:rPr>
          <w:rFonts w:ascii="Times New Roman" w:hAnsi="Times New Roman"/>
          <w:b/>
          <w:sz w:val="24"/>
        </w:rPr>
        <w:t>INTRODUCTION</w:t>
      </w:r>
    </w:p>
    <w:p>
      <w:pPr>
        <w:spacing w:line="240" w:lineRule="auto" w:after="120"/>
      </w:pPr>
      <w:r>
        <w:rPr>
          <w:rFonts w:ascii="Times New Roman" w:hAnsi="Times New Roman"/>
          <w:sz w:val="24"/>
        </w:rPr>
        <w:t>The digital transformation of society has fundamentally altered how public policies are scrutinized, contested, and evaluated by citizens. In contemporary networked democracies, the state no longer holds a monopoly over the narrative of its policies; instead, policies are continuously subjected to real-time, decentralized peer-review by millions of netizens across digital platforms (Boyd &amp; Crawford, 2012; Schultz et al., 2011). This structural shift has created a volatile digital arena where public perception can oscillate from enthusiastic anticipation to intense collective outrage within hours of a policy's physical rollout.</w:t>
      </w:r>
    </w:p>
    <w:p>
      <w:pPr>
        <w:spacing w:line="240" w:lineRule="auto" w:after="120"/>
      </w:pPr>
      <w:r/>
      <w:r>
        <w:rPr>
          <w:rFonts w:ascii="Times New Roman" w:hAnsi="Times New Roman"/>
          <w:sz w:val="22"/>
        </w:rPr>
        <w:t>A prime empirical manifestation of this dynamic occurred during the rollout of the Indonesian government's Free Nutritious Meal (</w:t>
      </w:r>
      <w:r>
        <w:rPr>
          <w:rFonts w:ascii="Times New Roman" w:hAnsi="Times New Roman"/>
          <w:i/>
          <w:sz w:val="22"/>
        </w:rPr>
        <w:t>Makan Bergizi Gratis</w:t>
      </w:r>
      <w:r>
        <w:rPr>
          <w:rFonts w:ascii="Times New Roman" w:hAnsi="Times New Roman"/>
          <w:sz w:val="22"/>
        </w:rPr>
        <w:t xml:space="preserve"> / MBG) program in early 2026. Initially championed as a flagship socio-economic intervention to eradicate childhood stunting with a projected fiscal allocation exceeding hundreds of trillions of rupiah, the program encountered severe operational crises upon physical implementation. Reports of substandard food quality, spoiled milk, logistical bottlenecks, and mass food poisoning across pilot schools triggered an explosive crisis of public trust. While government agencies disseminated optimistic digital narratives emphasizing dietary standards and macro-economic multipliers, citizens countered by flooding digital spaces with photographic and textual evidence of physical meal deficiencies.</w:t>
      </w:r>
    </w:p>
    <w:p>
      <w:pPr>
        <w:spacing w:line="240" w:lineRule="auto" w:after="120"/>
      </w:pPr>
      <w:r/>
      <w:r>
        <w:rPr>
          <w:rFonts w:ascii="Times New Roman" w:hAnsi="Times New Roman"/>
          <w:sz w:val="22"/>
        </w:rPr>
        <w:t xml:space="preserve">Social media platforms—most notably Platform X (formerly Twitter)—served as the primary arena for this discourse. In Indonesia, Platform X functions as an elite-public hybrid forum where political agenda-setting, journalistic investigation, and organic civic dissent converge. However, analyzing public sentiment on X presents profound linguistic challenges. Indonesian netizens frequently circumvent direct censorship or social stigma by masking dissent behind layers of humor, dark irony, and sarcasm (Camp, 2012). Superficial praise (e.g., </w:t>
      </w:r>
      <w:r>
        <w:rPr>
          <w:rFonts w:ascii="Times New Roman" w:hAnsi="Times New Roman"/>
          <w:i/>
          <w:sz w:val="22"/>
        </w:rPr>
        <w:t>'Menunya sangat mewah dan bergizi'</w:t>
      </w:r>
      <w:r>
        <w:rPr>
          <w:rFonts w:ascii="Times New Roman" w:hAnsi="Times New Roman"/>
          <w:sz w:val="22"/>
        </w:rPr>
        <w:t>) is routinely subverted through contextual contradictions and derisive emojis (🤡, 🤮, 🗿). Traditional sentiment analysis models that classify text merely as 'positive' or 'negative' inevitably misinterpret such sarcastic praise as genuine government support, severely misleading public policy assessments.</w:t>
      </w:r>
    </w:p>
    <w:p>
      <w:pPr>
        <w:spacing w:before="200" w:after="80"/>
      </w:pPr>
      <w:r/>
      <w:r>
        <w:rPr>
          <w:rFonts w:ascii="Times New Roman" w:hAnsi="Times New Roman"/>
          <w:sz w:val="22"/>
        </w:rPr>
        <w:t>1.1 Research Problem and Knowledge Gap</w:t>
        <w:br/>
        <w:t>Previous studies on Indonesian digital policy discourse exhibit four critical limitations:</w:t>
        <w:br/>
        <w:t xml:space="preserve">1. </w:t>
      </w:r>
      <w:r>
        <w:rPr>
          <w:rFonts w:ascii="Times New Roman" w:hAnsi="Times New Roman"/>
          <w:b/>
          <w:sz w:val="22"/>
        </w:rPr>
        <w:t>Binary Reductionism:</w:t>
      </w:r>
      <w:r>
        <w:rPr>
          <w:rFonts w:ascii="Times New Roman" w:hAnsi="Times New Roman"/>
          <w:sz w:val="22"/>
        </w:rPr>
        <w:t xml:space="preserve"> Most empirical studies rely on lexicon-based or basic machine learning classifiers (SVM, Naïve Bayes, LSTM) restricted to binary (positive/negative) or 3-class sentiment (Riza &amp; Charibaldi, 2021; Saputri et al., 2018). These models obscure granular emotional nuances—such as the vital distinction between </w:t>
      </w:r>
      <w:r>
        <w:rPr>
          <w:rFonts w:ascii="Times New Roman" w:hAnsi="Times New Roman"/>
          <w:i/>
          <w:sz w:val="22"/>
        </w:rPr>
        <w:t>Anger</w:t>
      </w:r>
      <w:r>
        <w:rPr>
          <w:rFonts w:ascii="Times New Roman" w:hAnsi="Times New Roman"/>
          <w:sz w:val="22"/>
        </w:rPr>
        <w:t xml:space="preserve"> (normative injustice) and </w:t>
      </w:r>
      <w:r>
        <w:rPr>
          <w:rFonts w:ascii="Times New Roman" w:hAnsi="Times New Roman"/>
          <w:i/>
          <w:sz w:val="22"/>
        </w:rPr>
        <w:t>Disgust</w:t>
      </w:r>
      <w:r>
        <w:rPr>
          <w:rFonts w:ascii="Times New Roman" w:hAnsi="Times New Roman"/>
          <w:sz w:val="22"/>
        </w:rPr>
        <w:t xml:space="preserve"> (visceral rejection of physical unhygienic conditions).</w:t>
        <w:br/>
        <w:t xml:space="preserve">2. </w:t>
      </w:r>
      <w:r>
        <w:rPr>
          <w:rFonts w:ascii="Times New Roman" w:hAnsi="Times New Roman"/>
          <w:b/>
          <w:sz w:val="22"/>
        </w:rPr>
        <w:t>Methodological Isolation:</w:t>
      </w:r>
      <w:r>
        <w:rPr>
          <w:rFonts w:ascii="Times New Roman" w:hAnsi="Times New Roman"/>
          <w:sz w:val="22"/>
        </w:rPr>
        <w:t xml:space="preserve"> NLP sentiment analyses are almost universally conducted in isolation from Social Network Analysis (SNA). Consequently, researchers observe </w:t>
      </w:r>
      <w:r>
        <w:rPr>
          <w:rFonts w:ascii="Times New Roman" w:hAnsi="Times New Roman"/>
          <w:i/>
          <w:sz w:val="22"/>
        </w:rPr>
        <w:t>what</w:t>
      </w:r>
      <w:r>
        <w:rPr>
          <w:rFonts w:ascii="Times New Roman" w:hAnsi="Times New Roman"/>
          <w:sz w:val="22"/>
        </w:rPr>
        <w:t xml:space="preserve"> is said without knowing </w:t>
      </w:r>
      <w:r>
        <w:rPr>
          <w:rFonts w:ascii="Times New Roman" w:hAnsi="Times New Roman"/>
          <w:i/>
          <w:sz w:val="22"/>
        </w:rPr>
        <w:t>who</w:t>
      </w:r>
      <w:r>
        <w:rPr>
          <w:rFonts w:ascii="Times New Roman" w:hAnsi="Times New Roman"/>
          <w:sz w:val="22"/>
        </w:rPr>
        <w:t xml:space="preserve"> occupies structural power, or they map </w:t>
      </w:r>
      <w:r>
        <w:rPr>
          <w:rFonts w:ascii="Times New Roman" w:hAnsi="Times New Roman"/>
          <w:i/>
          <w:sz w:val="22"/>
        </w:rPr>
        <w:t>who interacts with whom</w:t>
      </w:r>
      <w:r>
        <w:rPr>
          <w:rFonts w:ascii="Times New Roman" w:hAnsi="Times New Roman"/>
          <w:sz w:val="22"/>
        </w:rPr>
        <w:t xml:space="preserve"> without understanding the affective states animating the network clusters (Suaib &amp; Pratiwi, 2025; Sulafasyah, 2026).</w:t>
        <w:br/>
        <w:t xml:space="preserve">3. </w:t>
      </w:r>
      <w:r>
        <w:rPr>
          <w:rFonts w:ascii="Times New Roman" w:hAnsi="Times New Roman"/>
          <w:b/>
          <w:sz w:val="22"/>
        </w:rPr>
        <w:t>Absence of Pragmatic Sarcasm Modeling:</w:t>
      </w:r>
      <w:r>
        <w:rPr>
          <w:rFonts w:ascii="Times New Roman" w:hAnsi="Times New Roman"/>
          <w:sz w:val="22"/>
        </w:rPr>
        <w:t xml:space="preserve"> Digital communication research often treats sarcasm as statistical noise rather than an organized rhetorical counter-discourse rooted in pragmatic pretense (Grice, 1975; Clark &amp; Gerrig, 1984).</w:t>
        <w:br/>
        <w:t xml:space="preserve">4. </w:t>
      </w:r>
      <w:r>
        <w:rPr>
          <w:rFonts w:ascii="Times New Roman" w:hAnsi="Times New Roman"/>
          <w:b/>
          <w:sz w:val="22"/>
        </w:rPr>
        <w:t>Theoretical Decoupling:</w:t>
      </w:r>
      <w:r>
        <w:rPr>
          <w:rFonts w:ascii="Times New Roman" w:hAnsi="Times New Roman"/>
          <w:sz w:val="22"/>
        </w:rPr>
        <w:t xml:space="preserve"> Existing public relations and crisis communication models (e.g., Coombs' SCCT) have struggled to account for the hybrid physical-digital interface of modern social welfare policies. There is a lack of theoretical bridging between marketing frameworks of brand immersion and public policy crisis management.</w:t>
      </w:r>
    </w:p>
    <w:p>
      <w:pPr>
        <w:spacing w:before="200" w:after="80"/>
      </w:pPr>
      <w:r/>
      <w:r>
        <w:rPr>
          <w:rFonts w:ascii="Times New Roman" w:hAnsi="Times New Roman"/>
          <w:sz w:val="22"/>
        </w:rPr>
        <w:t>1.2 Theoretical and Methodological Novelty</w:t>
        <w:br/>
        <w:t xml:space="preserve">To resolve this knowledge gap, this study introduces a unified, tri-layer computational communication framework. Theoretically, we bridge Philip Kotler, Hermawan Kartajaya, and Iwan Setiawan's (2023) concept of the </w:t>
      </w:r>
      <w:r>
        <w:rPr>
          <w:rFonts w:ascii="Times New Roman" w:hAnsi="Times New Roman"/>
          <w:b/>
          <w:sz w:val="22"/>
        </w:rPr>
        <w:t>Phygital Gap</w:t>
      </w:r>
      <w:r>
        <w:rPr>
          <w:rFonts w:ascii="Times New Roman" w:hAnsi="Times New Roman"/>
          <w:sz w:val="22"/>
        </w:rPr>
        <w:t xml:space="preserve"> (from Marketing 6.0) into the domain of public administration and political communication. The </w:t>
      </w:r>
      <w:r>
        <w:rPr>
          <w:rFonts w:ascii="Times New Roman" w:hAnsi="Times New Roman"/>
          <w:i/>
          <w:sz w:val="22"/>
        </w:rPr>
        <w:t>Phygital Gap</w:t>
      </w:r>
      <w:r>
        <w:rPr>
          <w:rFonts w:ascii="Times New Roman" w:hAnsi="Times New Roman"/>
          <w:sz w:val="22"/>
        </w:rPr>
        <w:t xml:space="preserve"> posits that public dissatisfaction is triggered not by ideological rejection of a policy's digital vision, but by an intolerable chasm between digital promises (</w:t>
      </w:r>
      <w:r>
        <w:rPr>
          <w:rFonts w:ascii="Times New Roman" w:hAnsi="Times New Roman"/>
          <w:i/>
          <w:sz w:val="22"/>
        </w:rPr>
        <w:t>online narrative</w:t>
      </w:r>
      <w:r>
        <w:rPr>
          <w:rFonts w:ascii="Times New Roman" w:hAnsi="Times New Roman"/>
          <w:sz w:val="22"/>
        </w:rPr>
        <w:t>) and sensory physical reality (</w:t>
      </w:r>
      <w:r>
        <w:rPr>
          <w:rFonts w:ascii="Times New Roman" w:hAnsi="Times New Roman"/>
          <w:i/>
          <w:sz w:val="22"/>
        </w:rPr>
        <w:t>offline operational delivery</w:t>
      </w:r>
      <w:r>
        <w:rPr>
          <w:rFonts w:ascii="Times New Roman" w:hAnsi="Times New Roman"/>
          <w:sz w:val="22"/>
        </w:rPr>
        <w:t>).</w:t>
      </w:r>
    </w:p>
    <w:p>
      <w:pPr>
        <w:spacing w:line="240" w:lineRule="auto" w:after="120"/>
      </w:pPr>
      <w:r/>
      <w:r>
        <w:rPr>
          <w:rFonts w:ascii="Times New Roman" w:hAnsi="Times New Roman"/>
          <w:sz w:val="22"/>
        </w:rPr>
        <w:t>Methodologically, this paper integrates:</w:t>
        <w:br/>
        <w:t>- A fine-tuned, bidirectional transformer language model (indobenchmark/indobert-base-p2, Wilie et al., 2020) customized for 9 Plutchik-derived emotion classes.</w:t>
        <w:br/>
        <w:t>- An algorithmic rule-based sarcasm detector operationalizing lexical oppositions and text-emoji incongruity.</w:t>
        <w:br/>
        <w:t>- A directed graph topological analysis using NetworkX and the Louvain community detection algorithm (Blondel et al., 2008).</w:t>
        <w:br/>
        <w:t>- Thematic Aspect-Based Sentiment Analysis (ABSA) verifying affective concentration across physical operational pillars.</w:t>
      </w:r>
    </w:p>
    <w:p>
      <w:pPr>
        <w:spacing w:before="200" w:after="80"/>
      </w:pPr>
      <w:r/>
      <w:r>
        <w:rPr>
          <w:rFonts w:ascii="Times New Roman" w:hAnsi="Times New Roman"/>
          <w:sz w:val="22"/>
        </w:rPr>
        <w:t>1.3 Research Questions</w:t>
        <w:br/>
        <w:t>This investigation is guided by six hierarchical research questions (RQs):</w:t>
        <w:br/>
        <w:t xml:space="preserve">- </w:t>
      </w:r>
      <w:r>
        <w:rPr>
          <w:rFonts w:ascii="Times New Roman" w:hAnsi="Times New Roman"/>
          <w:b/>
          <w:sz w:val="22"/>
        </w:rPr>
        <w:t>RQ1:</w:t>
      </w:r>
      <w:r>
        <w:rPr>
          <w:rFonts w:ascii="Times New Roman" w:hAnsi="Times New Roman"/>
          <w:sz w:val="22"/>
        </w:rPr>
        <w:t xml:space="preserve"> How are public granular emotions distributed in the MBG discourse on Platform X when evaluated using a fine-tuned 9-class IndoBERT transformer?</w:t>
        <w:br/>
        <w:t xml:space="preserve">- </w:t>
      </w:r>
      <w:r>
        <w:rPr>
          <w:rFonts w:ascii="Times New Roman" w:hAnsi="Times New Roman"/>
          <w:b/>
          <w:sz w:val="22"/>
        </w:rPr>
        <w:t>RQ2:</w:t>
      </w:r>
      <w:r>
        <w:rPr>
          <w:rFonts w:ascii="Times New Roman" w:hAnsi="Times New Roman"/>
          <w:sz w:val="22"/>
        </w:rPr>
        <w:t xml:space="preserve"> How does digital sarcasm manifest pragmatically through lexical oppositions and emoji semiotic subversions in public critique?</w:t>
        <w:br/>
        <w:t xml:space="preserve">- </w:t>
      </w:r>
      <w:r>
        <w:rPr>
          <w:rFonts w:ascii="Times New Roman" w:hAnsi="Times New Roman"/>
          <w:b/>
          <w:sz w:val="22"/>
        </w:rPr>
        <w:t>RQ3:</w:t>
      </w:r>
      <w:r>
        <w:rPr>
          <w:rFonts w:ascii="Times New Roman" w:hAnsi="Times New Roman"/>
          <w:sz w:val="22"/>
        </w:rPr>
        <w:t xml:space="preserve"> What is the macro-topological structure of the interaction network, and does discourse polarize into binary camps or fracture into hyper-fragmented echo chambers?</w:t>
        <w:br/>
        <w:t xml:space="preserve">- </w:t>
      </w:r>
      <w:r>
        <w:rPr>
          <w:rFonts w:ascii="Times New Roman" w:hAnsi="Times New Roman"/>
          <w:b/>
          <w:sz w:val="22"/>
        </w:rPr>
        <w:t>RQ4:</w:t>
      </w:r>
      <w:r>
        <w:rPr>
          <w:rFonts w:ascii="Times New Roman" w:hAnsi="Times New Roman"/>
          <w:sz w:val="22"/>
        </w:rPr>
        <w:t xml:space="preserve"> Which actors occupy dominant structural centrality, and does an influence asymmetry exist between institutional policy authorities and alternative epistemic actors?</w:t>
        <w:br/>
        <w:t xml:space="preserve">- </w:t>
      </w:r>
      <w:r>
        <w:rPr>
          <w:rFonts w:ascii="Times New Roman" w:hAnsi="Times New Roman"/>
          <w:b/>
          <w:sz w:val="22"/>
        </w:rPr>
        <w:t>RQ5:</w:t>
      </w:r>
      <w:r>
        <w:rPr>
          <w:rFonts w:ascii="Times New Roman" w:hAnsi="Times New Roman"/>
          <w:sz w:val="22"/>
        </w:rPr>
        <w:t xml:space="preserve"> How does the fine-tuned IndoBERT model perform across imbalanced social media classes, and what linguistic factors govern classification boundaries?</w:t>
        <w:br/>
        <w:t xml:space="preserve">- </w:t>
      </w:r>
      <w:r>
        <w:rPr>
          <w:rFonts w:ascii="Times New Roman" w:hAnsi="Times New Roman"/>
          <w:b/>
          <w:sz w:val="22"/>
        </w:rPr>
        <w:t>RQ6:</w:t>
      </w:r>
      <w:r>
        <w:rPr>
          <w:rFonts w:ascii="Times New Roman" w:hAnsi="Times New Roman"/>
          <w:sz w:val="22"/>
        </w:rPr>
        <w:t xml:space="preserve"> How does aspect-based affective distribution across logistics, budgeting, and food nutrition empirically substantiate the </w:t>
      </w:r>
      <w:r>
        <w:rPr>
          <w:rFonts w:ascii="Times New Roman" w:hAnsi="Times New Roman"/>
          <w:i/>
          <w:sz w:val="22"/>
        </w:rPr>
        <w:t>Phygital Gap</w:t>
      </w:r>
      <w:r>
        <w:rPr>
          <w:rFonts w:ascii="Times New Roman" w:hAnsi="Times New Roman"/>
          <w:sz w:val="22"/>
        </w:rPr>
        <w:t xml:space="preserve"> thesis?</w:t>
      </w:r>
    </w:p>
    <w:p>
      <w:pPr>
        <w:spacing w:line="240" w:lineRule="auto" w:after="120"/>
      </w:pPr>
      <w:r>
        <w:rPr>
          <w:rFonts w:ascii="Times New Roman" w:hAnsi="Times New Roman"/>
          <w:sz w:val="24"/>
        </w:rPr>
        <w:t>---</w:t>
      </w:r>
    </w:p>
    <w:p>
      <w:pPr>
        <w:spacing w:line="240" w:lineRule="auto" w:after="120"/>
      </w:pPr>
      <w:r>
        <w:rPr>
          <w:rFonts w:ascii="Times New Roman" w:hAnsi="Times New Roman"/>
          <w:sz w:val="24"/>
        </w:rPr>
        <w:t>A closer examination of the 30 empirical studies synthesized by Mediator Editorial Team (2026) reveals a persistent methodological pattern: the majority of prior investigations utilized shallow lexicon-based sentiment approaches (e.g., InSet, VADER) or baseline supervised classifiers such as Multinomial Naive Bayes and Support Vector Machines applied to small, single-event datasets. While these conventional methods successfully registered surface keywords relating to nutritional benefits and presidential policy initiatives, they consistently failed to decode the pragmatic subversion characteristic of contemporary Indonesian digital slang. Consequently, prior scholarship over-indexed on positive valences, failing to recognize that expressions of apparent gratitude were frequently serving as vehicles for severe socio-economic critique. By moving beyond algorithmic surface features and examining granular affective architectures, this study resolves the apparent contradiction identified in the literature, explaining how superficial praise coexists with pervasive institutional distrust.</w:t>
      </w:r>
    </w:p>
    <w:p>
      <w:pPr>
        <w:spacing w:before="200" w:after="80"/>
      </w:pPr>
      <w:r>
        <w:rPr>
          <w:rFonts w:ascii="Times New Roman" w:hAnsi="Times New Roman"/>
          <w:b/>
          <w:i/>
          <w:sz w:val="22"/>
        </w:rPr>
        <w:t>2.1 Situational Crisis Communication Theory (SCCT) and Networked Crises</w:t>
        <w:br/>
        <w:t>Timothy Coombs' (2007) Situational Crisis Communication Theory (SCCT) posits that organizations must match their crisis response strategies (deny, diminish, rebuild) to the level of crisis responsibility attributed by stakeholders. In networked environments, however, Schultz, Utz, and Göritz (2011) demonstrated that the medium fundamentally alters crisis perception. Unlike broadcast media, social media facilitates 'networked crises' where secondary crisis communication (user-to-user dissemination) far outpaces primary organizational releases. When a policy failure involves physical harm (such as child food poisoning), attributed organizational responsibility peaks, triggering visceral emotional reactions.</w:t>
      </w:r>
    </w:p>
    <w:p>
      <w:pPr>
        <w:spacing w:before="200" w:after="80"/>
      </w:pPr>
      <w:r/>
      <w:r>
        <w:rPr>
          <w:rFonts w:ascii="Times New Roman" w:hAnsi="Times New Roman"/>
          <w:sz w:val="22"/>
        </w:rPr>
        <w:t>2.2 The Structural Transformation of the Digital Public Sphere</w:t>
        <w:br/>
        <w:t>Jürgen Habermas' (1989, 2006) concept of the public sphere envisions an institutional space where citizens engage in rational-critical deliberation to form public opinion. However, in algorithmic platforms, affordances prioritize emotional virality over rational consensus (Boyd &amp; Crawford, 2012; Papacharissi, 2015). Instead of a unified deliberative forum, digital networks frequently devolve into fragmented enclaves or 'echo chambers' (Pariser, 2011; Sunstein, 2017). Graph modularity metrics (Q) provide a formal mathematical lens to test Habermas' thesis: low modularity ($Q &lt; 0.4$) with high reciprocity suggests healthy cross-cutting debate, whereas extreme modularity ($Q &gt; 0.8$) signifies a total breakdown of deliberative exchange.</w:t>
      </w:r>
    </w:p>
    <w:p>
      <w:pPr>
        <w:spacing w:before="200" w:after="80"/>
      </w:pPr>
      <w:r/>
      <w:r>
        <w:rPr>
          <w:rFonts w:ascii="Times New Roman" w:hAnsi="Times New Roman"/>
          <w:sz w:val="22"/>
        </w:rPr>
        <w:t>2.3 Pretense Theory and Semiotic Subversion in Sarcasm</w:t>
        <w:br/>
        <w:t xml:space="preserve">Sarcasm in digital communication cannot be deciphered through literal semantic decoding. According to Clark and Gerrig's (1984) </w:t>
      </w:r>
      <w:r>
        <w:rPr>
          <w:rFonts w:ascii="Times New Roman" w:hAnsi="Times New Roman"/>
          <w:i/>
          <w:sz w:val="22"/>
        </w:rPr>
        <w:t>Pretense Theory</w:t>
      </w:r>
      <w:r>
        <w:rPr>
          <w:rFonts w:ascii="Times New Roman" w:hAnsi="Times New Roman"/>
          <w:sz w:val="22"/>
        </w:rPr>
        <w:t xml:space="preserve"> of irony (rooted in Gricean conversational maxims, Grice, 1975), a speaker using sarcasm pretends to take on a persona expressing admiration, while intending the audience to recognize the pretense and share contempt for the object of evaluation. In digital spaces, Elizabeth Camp (2012) highlights that sarcastic pretense is achieved through incongruous cue-pairing: pairing formal praise adjectives with mocking emojis (🤡, 🤮, 🗿). Emojis act as illocutionary force indicators that invert propositional valence.</w:t>
      </w:r>
    </w:p>
    <w:p>
      <w:pPr>
        <w:spacing w:before="200" w:after="80"/>
      </w:pPr>
      <w:r/>
      <w:r>
        <w:rPr>
          <w:rFonts w:ascii="Times New Roman" w:hAnsi="Times New Roman"/>
          <w:sz w:val="22"/>
        </w:rPr>
        <w:t>2.4 Marketing 6.0 and the 'Phygital Gap' in Public Governance</w:t>
        <w:br/>
        <w:t xml:space="preserve">Philip Kotler, Hermawan Kartajaya, and Iwan Setiawan (2023) introduced Marketing 6.0 to define the imperative of delivering seamless </w:t>
      </w:r>
      <w:r>
        <w:rPr>
          <w:rFonts w:ascii="Times New Roman" w:hAnsi="Times New Roman"/>
          <w:i/>
          <w:sz w:val="22"/>
        </w:rPr>
        <w:t>phygital</w:t>
      </w:r>
      <w:r>
        <w:rPr>
          <w:rFonts w:ascii="Times New Roman" w:hAnsi="Times New Roman"/>
          <w:sz w:val="22"/>
        </w:rPr>
        <w:t xml:space="preserve"> (physical-digital) customer experiences through sensory immersion. While formulated for commercial marketing, this study argues that the </w:t>
      </w:r>
      <w:r>
        <w:rPr>
          <w:rFonts w:ascii="Times New Roman" w:hAnsi="Times New Roman"/>
          <w:i/>
          <w:sz w:val="22"/>
        </w:rPr>
        <w:t>Phygital Gap</w:t>
      </w:r>
      <w:r>
        <w:rPr>
          <w:rFonts w:ascii="Times New Roman" w:hAnsi="Times New Roman"/>
          <w:sz w:val="22"/>
        </w:rPr>
        <w:t xml:space="preserve"> possesses immense explanatory power for state governance. When government social media accounts portray a program through pristine, high-resolution digital media (</w:t>
      </w:r>
      <w:r>
        <w:rPr>
          <w:rFonts w:ascii="Times New Roman" w:hAnsi="Times New Roman"/>
          <w:i/>
          <w:sz w:val="22"/>
        </w:rPr>
        <w:t>digital perfection</w:t>
      </w:r>
      <w:r>
        <w:rPr>
          <w:rFonts w:ascii="Times New Roman" w:hAnsi="Times New Roman"/>
          <w:sz w:val="22"/>
        </w:rPr>
        <w:t>), but citizens encounter rancid food, meager portions, or unhygienic distribution (</w:t>
      </w:r>
      <w:r>
        <w:rPr>
          <w:rFonts w:ascii="Times New Roman" w:hAnsi="Times New Roman"/>
          <w:i/>
          <w:sz w:val="22"/>
        </w:rPr>
        <w:t>physical failure</w:t>
      </w:r>
      <w:r>
        <w:rPr>
          <w:rFonts w:ascii="Times New Roman" w:hAnsi="Times New Roman"/>
          <w:sz w:val="22"/>
        </w:rPr>
        <w:t>), cognitive dissonance erupts. The resulting public backlash is not directed at the abstract policy concept, but at the breach of sensory contract between the state's digital marketing and physical reality.</w:t>
      </w:r>
    </w:p>
    <w:p>
      <w:pPr>
        <w:spacing w:before="200" w:after="80"/>
      </w:pPr>
      <w:r/>
      <w:r>
        <w:rPr>
          <w:rFonts w:ascii="Times New Roman" w:hAnsi="Times New Roman"/>
          <w:sz w:val="22"/>
        </w:rPr>
        <w:t>2.5 Transformer Language Models and IndoBERT</w:t>
        <w:br/>
        <w:t>Bidirectional Encoder Representations from Transformers (BERT; Devlin et al., 2018) revolutionized computational linguistics by processing word tokens in relation to all other words in a sentence simultaneously, capturing bidirectional context. In Indonesia, Wilie et al. (2020) trained indobenchmark/indobert-base-p2 on 4 billion tokens across Indonesian Wikipedia, news portals, and social corpora. While classical machine learning models (SVM, Naïve Bayes) rely on bag-of-words assumptions that collapse under Indonesian slang and morpho-syntactic permutations, IndoBERT's self-attention mechanism retains contextual embeddings, enabling high-precision detection of conversational nuance.</w:t>
      </w:r>
    </w:p>
    <w:p>
      <w:pPr>
        <w:spacing w:line="240" w:lineRule="auto" w:after="120"/>
      </w:pPr>
      <w:r>
        <w:rPr>
          <w:rFonts w:ascii="Times New Roman" w:hAnsi="Times New Roman"/>
          <w:sz w:val="24"/>
        </w:rPr>
        <w:t>---</w:t>
      </w:r>
    </w:p>
    <w:p>
      <w:pPr>
        <w:spacing w:before="280" w:after="120"/>
      </w:pPr>
      <w:r>
        <w:rPr>
          <w:rFonts w:ascii="Times New Roman" w:hAnsi="Times New Roman"/>
          <w:b/>
          <w:sz w:val="24"/>
        </w:rPr>
        <w:t>RESEARCH METHOD</w:t>
      </w:r>
    </w:p>
    <w:p>
      <w:pPr>
        <w:spacing w:before="200" w:after="80"/>
      </w:pPr>
      <w:r/>
      <w:r>
        <w:rPr>
          <w:rFonts w:ascii="Times New Roman" w:hAnsi="Times New Roman"/>
          <w:sz w:val="22"/>
        </w:rPr>
        <w:t>3.1 Research Design</w:t>
        <w:br/>
        <w:t>This study employs a quantitative computational social science (CSS) design combined with qualitative rhetorical deconstruction. The research pipeline progresses through four synchronized analytical stages:</w:t>
        <w:br/>
        <w:t>1. Natural Language Processing via transformer fine-tuning for 9-class emotion modeling (indobert_9_emosi_fixed.csv, $N = 5,263$).</w:t>
        <w:br/>
        <w:t>2. Algorithmic rule-based sarcasm validation (dataset_sindiran_valid.csv, $N = 3,395$).</w:t>
        <w:br/>
        <w:t>3. Directed Social Network Analysis (network_edges.csv, $|V| = 971$, $|E| = 666$).</w:t>
        <w:br/>
        <w:t>4. Thematic Aspect-Based Sentiment Analysis (absa_results.csv, 3 operational pillars).</w:t>
      </w:r>
    </w:p>
    <w:p>
      <w:pPr>
        <w:spacing w:before="200" w:after="80"/>
      </w:pPr>
      <w:r/>
      <w:r>
        <w:rPr>
          <w:rFonts w:ascii="Times New Roman" w:hAnsi="Times New Roman"/>
          <w:sz w:val="22"/>
        </w:rPr>
        <w:t>3.2 Corpus Acquisition and Preprocessing</w:t>
        <w:br/>
        <w:t>Data was collected from Platform X between January and March 2026 utilizing search queries targeted at the MBG discourse: #MakanBergiziGratis, Program MBG, menu MBG, keracunan MBG, and anggaran MBG. A raw corpus of $N = 5,310$ tweets was captured.</w:t>
      </w:r>
    </w:p>
    <w:p>
      <w:pPr>
        <w:spacing w:line="240" w:lineRule="auto" w:after="120"/>
      </w:pPr>
      <w:r/>
      <w:r>
        <w:rPr>
          <w:rFonts w:ascii="Times New Roman" w:hAnsi="Times New Roman"/>
          <w:sz w:val="22"/>
        </w:rPr>
        <w:t>Preprocessing was implemented in Python using regular expressions and custom Indonesian linguistic dictionaries:</w:t>
        <w:br/>
        <w:t>- Denoising: Stripping URLs, redundant white spaces, punctuation cascades, and platform metadata artifacts.</w:t>
        <w:br/>
        <w:t>- Entity Preservation: Extracting user mentions (@username) for network edge formulation prior to text masking.</w:t>
        <w:br/>
        <w:t>- Emoji Demarcation: Converting raw UTF-8 emoji glyphs into semantic text descriptors (e.g., 🤡 to :clown_face:, 🤮 to :vomiting_face:) to preserve pragmatic sentiment valence.</w:t>
        <w:br/>
        <w:t>- Slang Normalization: Replacing non-standard conversational slang (kata gaul/singkatan) with standard formal lemmas using a curated Indonesian informal lexicon (e.g., 'bgt' to 'banget', 'bener2' to 'benar-benar', 'ancur' to 'hancur').</w:t>
        <w:br/>
        <w:t>- Deduplication: Removing exact duplicate retweets, resulting in a clean corpus of $N = 5,309$ records (data/processed/data_clean.csv), which was subsequently filtered to $N = 5,263$ high-integrity tweets for final inference.</w:t>
      </w:r>
    </w:p>
    <w:p>
      <w:pPr>
        <w:spacing w:before="200" w:after="80"/>
      </w:pPr>
      <w:r/>
      <w:r>
        <w:rPr>
          <w:rFonts w:ascii="Times New Roman" w:hAnsi="Times New Roman"/>
          <w:sz w:val="22"/>
        </w:rPr>
        <w:t>3.3 Fine-Tuning IndoBERT for 9 Granular Emotions</w:t>
        <w:br/>
        <w:t xml:space="preserve">We adapted Robert Plutchik's psycho-evolutionary emotion taxonomy into 9 operational classes: </w:t>
      </w:r>
      <w:r>
        <w:rPr>
          <w:rFonts w:ascii="Times New Roman" w:hAnsi="Times New Roman"/>
          <w:i/>
          <w:sz w:val="22"/>
        </w:rPr>
        <w:t>Disgust (Jijik), Trust (Percaya), Neutral (Netral), Anticipation (Antisipasi/Tertarik), Anger (Marah), Sadness (Sedih), Joy (Senang), Surprise (Terkejut), and Fear (Takut)</w:t>
      </w:r>
      <w:r>
        <w:rPr>
          <w:rFonts w:ascii="Times New Roman" w:hAnsi="Times New Roman"/>
          <w:sz w:val="22"/>
        </w:rPr>
        <w:t>.</w:t>
      </w:r>
    </w:p>
    <w:p>
      <w:pPr>
        <w:spacing w:line="240" w:lineRule="auto" w:after="120"/>
      </w:pPr>
      <w:r/>
      <w:r>
        <w:rPr>
          <w:rFonts w:ascii="Times New Roman" w:hAnsi="Times New Roman"/>
          <w:sz w:val="22"/>
        </w:rPr>
        <w:t>- Base Architecture: indobenchmark/indobert-base-p2 (12 transformer layers, 768 hidden dimensions, 12 self-attention heads, 124.5 million parameters).</w:t>
        <w:br/>
        <w:t>- Dataset Partitioning: Stratified splitting of annotated data into 80% training set ($N = 4,210$) and 20% independent holdout test set ($n = 1,053$).</w:t>
        <w:br/>
        <w:t>- Hyperparameter Specifications:</w:t>
        <w:br/>
        <w:t xml:space="preserve">  - Optimizer: AdamW with weight decay $\lambda = 0.01$.</w:t>
        <w:br/>
        <w:t xml:space="preserve">  - Learning Rate: $\eta = 2 </w:t>
        <w:tab/>
        <w:t>imes 10^{-5}$ with linear learning rate warmup.</w:t>
        <w:br/>
        <w:t xml:space="preserve">  - Batch Size: 16 per device.</w:t>
        <w:br/>
        <w:t xml:space="preserve">  - Epochs: 3 epochs (following Devlin et al., 2018 and Wilie et al., 2020 to prevent catastrophic forgetting and overfitting).</w:t>
        <w:br/>
        <w:t xml:space="preserve">  - Maximum Sequence Length: 128 tokens.</w:t>
        <w:br/>
        <w:t xml:space="preserve">  - Checkpoint Selection: Evaluated per epoch; optimal weights extracted at step 792 (checkpoint-792).</w:t>
      </w:r>
    </w:p>
    <w:p>
      <w:pPr>
        <w:spacing w:before="200" w:after="80"/>
      </w:pPr>
      <w:r/>
      <w:r>
        <w:rPr>
          <w:rFonts w:ascii="Times New Roman" w:hAnsi="Times New Roman"/>
          <w:sz w:val="22"/>
        </w:rPr>
        <w:t>3.4 Pragmatic Sarcasm Validation Algorithm</w:t>
        <w:br/>
        <w:t>Sarcasm detection was operationalized on a dedicated corpus of $N = 3,395$ tweets. An algorithmic rule-based matcher evaluated tweets based on two formal linguistic criteria:</w:t>
        <w:br/>
        <w:t>Tweets matching combinations of praise adjectives with complaint context, or positive polarity text with derisive emojis, were flagged and subjected to manual inter-annotator verification, yielding 315 validated sarcastic tweets ($9.28\%$).</w:t>
      </w:r>
    </w:p>
    <w:p>
      <w:pPr>
        <w:spacing w:before="200" w:after="80"/>
      </w:pPr>
      <w:r/>
      <w:r>
        <w:rPr>
          <w:rFonts w:ascii="Times New Roman" w:hAnsi="Times New Roman"/>
          <w:sz w:val="22"/>
        </w:rPr>
        <w:t>3.5 Social Network Modeling and Community Partitions</w:t>
        <w:br/>
        <w:t>The interaction network was modeled as a directed, weighted graph $G = (V, E)$, where V represents unique X user accounts ($|V| = 971$) and E represents directed communication ties ($|E| = 666$ unique edges, originating from 692 raw interaction instances including mentions, replies, and quotes).</w:t>
      </w:r>
    </w:p>
    <w:p>
      <w:pPr>
        <w:spacing w:line="240" w:lineRule="auto" w:after="120"/>
      </w:pPr>
      <w:r/>
      <w:r>
        <w:rPr>
          <w:rFonts w:ascii="Times New Roman" w:hAnsi="Times New Roman"/>
          <w:sz w:val="22"/>
        </w:rPr>
        <w:t>- Structural Centrality:</w:t>
        <w:br/>
        <w:t xml:space="preserve">  - In-Degree Centrality ($C_{</w:t>
        <w:tab/>
        <w:t>ext{in}}(v)$): Quantifies prestige and attention received.</w:t>
        <w:br/>
        <w:t xml:space="preserve">  - Out-Degree Centrality ($C_{</w:t>
        <w:tab/>
        <w:t>ext{out}}(v)$): Quantifies active communicative broadcasting.</w:t>
        <w:br/>
        <w:t xml:space="preserve">  - Betweenness Centrality ($C_B(v)$): Identifies structural brokers bridging otherwise disconnected clusters.</w:t>
        <w:br/>
        <w:t>- Community Detection: Modularity optimization using the Louvain heuristic algorithm (Blondel et al., 2008).</w:t>
      </w:r>
    </w:p>
    <w:p>
      <w:pPr>
        <w:spacing w:before="200" w:after="80"/>
      </w:pPr>
      <w:r/>
      <w:r>
        <w:rPr>
          <w:rFonts w:ascii="Times New Roman" w:hAnsi="Times New Roman"/>
          <w:sz w:val="22"/>
        </w:rPr>
        <w:t>3.6 Thematic Aspect-Based Sentiment Analysis (ABSA)</w:t>
        <w:br/>
        <w:t xml:space="preserve">To measure the </w:t>
      </w:r>
      <w:r>
        <w:rPr>
          <w:rFonts w:ascii="Times New Roman" w:hAnsi="Times New Roman"/>
          <w:i/>
          <w:sz w:val="22"/>
        </w:rPr>
        <w:t>Phygital Gap</w:t>
      </w:r>
      <w:r>
        <w:rPr>
          <w:rFonts w:ascii="Times New Roman" w:hAnsi="Times New Roman"/>
          <w:sz w:val="22"/>
        </w:rPr>
        <w:t>, tweets were mapped into three operational pillars of the MBG program using domain-specific lexical expansion:</w:t>
        <w:br/>
        <w:t xml:space="preserve">1. </w:t>
      </w:r>
      <w:r>
        <w:rPr>
          <w:rFonts w:ascii="Times New Roman" w:hAnsi="Times New Roman"/>
          <w:b/>
          <w:sz w:val="22"/>
        </w:rPr>
        <w:t>Logistics &amp; Distribution:</w:t>
      </w:r>
      <w:r>
        <w:rPr>
          <w:rFonts w:ascii="Times New Roman" w:hAnsi="Times New Roman"/>
          <w:sz w:val="22"/>
        </w:rPr>
        <w:t xml:space="preserve"> keywords related to delivery delays, cold food, vendor packaging, and distribution timing.</w:t>
        <w:br/>
        <w:t xml:space="preserve">2. </w:t>
      </w:r>
      <w:r>
        <w:rPr>
          <w:rFonts w:ascii="Times New Roman" w:hAnsi="Times New Roman"/>
          <w:b/>
          <w:sz w:val="22"/>
        </w:rPr>
        <w:t>Budget &amp; Vendor Allocation:</w:t>
      </w:r>
      <w:r>
        <w:rPr>
          <w:rFonts w:ascii="Times New Roman" w:hAnsi="Times New Roman"/>
          <w:sz w:val="22"/>
        </w:rPr>
        <w:t xml:space="preserve"> keywords related to per-meal unit costs (e.g., Rp15.000 vs Rp10.000), corruption, tender transparency, and supplier markups.</w:t>
        <w:br/>
        <w:t xml:space="preserve">3. </w:t>
      </w:r>
      <w:r>
        <w:rPr>
          <w:rFonts w:ascii="Times New Roman" w:hAnsi="Times New Roman"/>
          <w:b/>
          <w:sz w:val="22"/>
        </w:rPr>
        <w:t>Food Nutritional Quality:</w:t>
      </w:r>
      <w:r>
        <w:rPr>
          <w:rFonts w:ascii="Times New Roman" w:hAnsi="Times New Roman"/>
          <w:sz w:val="22"/>
        </w:rPr>
        <w:t xml:space="preserve"> keywords related to taste, spoiled milk, rotten fruit, small portion sizes, and hygienic safety.</w:t>
        <w:br/>
        <w:t>Affective distributions were calculated across each aspect to verify where public disgust concentrated.</w:t>
      </w:r>
    </w:p>
    <w:p>
      <w:pPr>
        <w:spacing w:line="240" w:lineRule="auto" w:after="120"/>
      </w:pPr>
      <w:r>
        <w:rPr>
          <w:rFonts w:ascii="Times New Roman" w:hAnsi="Times New Roman"/>
          <w:sz w:val="24"/>
        </w:rPr>
        <w:t>---</w:t>
      </w:r>
    </w:p>
    <w:p>
      <w:pPr>
        <w:spacing w:before="280" w:after="120"/>
      </w:pPr>
      <w:r>
        <w:rPr>
          <w:rFonts w:ascii="Times New Roman" w:hAnsi="Times New Roman"/>
          <w:b/>
          <w:sz w:val="24"/>
        </w:rPr>
        <w:t>RESULTS AND DISCUSSION</w:t>
      </w:r>
    </w:p>
    <w:p>
      <w:pPr>
        <w:spacing w:before="200" w:after="80"/>
      </w:pPr>
      <w:r/>
      <w:r>
        <w:rPr>
          <w:rFonts w:ascii="Times New Roman" w:hAnsi="Times New Roman"/>
          <w:sz w:val="22"/>
        </w:rPr>
        <w:t>4.1 Granular Emotion Distribution (IndoBERT Inference)</w:t>
        <w:br/>
        <w:t>Inference across the complete corpus ($N = 5,263$) established an overwhelming concentration of negative visceral affect:</w:t>
      </w:r>
    </w:p>
    <w:p>
      <w:pPr>
        <w:spacing w:line="240" w:lineRule="auto" w:after="120"/>
      </w:pPr>
      <w:r/>
      <w:r>
        <w:rPr>
          <w:rFonts w:ascii="Times New Roman" w:hAnsi="Times New Roman"/>
          <w:sz w:val="22"/>
        </w:rPr>
        <w:t>The distribution demonstrates that public opposition to the MBG program is not driven by generalized ideological Anger ($1.05\%$), but by visceral physical Disgust ($56.24\%$).</w:t>
      </w:r>
    </w:p>
    <w:p>
      <w:pPr>
        <w:spacing w:before="200" w:after="80"/>
      </w:pPr>
      <w:r/>
      <w:r>
        <w:rPr>
          <w:rFonts w:ascii="Times New Roman" w:hAnsi="Times New Roman"/>
          <w:sz w:val="22"/>
        </w:rPr>
        <w:t>4.2 Sarcasm and Pragmatic Semiotic Subversion</w:t>
        <w:br/>
        <w:t>Analysis of the validated sarcasm corpus ($N = 3,395$) verified that 315 tweets (9.28%) operated as explicit sarcasm, while 3,080 tweets (90.72%) operated as literal communication. Within the sarcastic corpus, 181 tweets exhibited acute binary lexical oppositions.</w:t>
      </w:r>
    </w:p>
    <w:p>
      <w:pPr>
        <w:spacing w:line="240" w:lineRule="auto" w:after="120"/>
      </w:pPr>
      <w:r/>
      <w:r>
        <w:rPr>
          <w:rFonts w:ascii="Times New Roman" w:hAnsi="Times New Roman"/>
          <w:sz w:val="22"/>
        </w:rPr>
        <w:t>Representative qualitative examples include:</w:t>
        <w:br/>
        <w:t xml:space="preserve">- </w:t>
      </w:r>
      <w:r>
        <w:rPr>
          <w:rFonts w:ascii="Times New Roman" w:hAnsi="Times New Roman"/>
          <w:i/>
          <w:sz w:val="22"/>
        </w:rPr>
        <w:t>Cuitan 1:</w:t>
      </w:r>
      <w:r>
        <w:rPr>
          <w:rFonts w:ascii="Times New Roman" w:hAnsi="Times New Roman"/>
          <w:sz w:val="22"/>
        </w:rPr>
        <w:t xml:space="preserve"> 'Menu MBG hari ini mewah banget, nasinya bisa buat nimpuk maling, ayamnya seukuran upil 🤡👍' (Pragmatic praise </w:t>
      </w:r>
      <w:r>
        <w:rPr>
          <w:rFonts w:ascii="Times New Roman" w:hAnsi="Times New Roman"/>
          <w:i/>
          <w:sz w:val="22"/>
        </w:rPr>
        <w:t>'mewah banget'</w:t>
      </w:r>
      <w:r>
        <w:rPr>
          <w:rFonts w:ascii="Times New Roman" w:hAnsi="Times New Roman"/>
          <w:sz w:val="22"/>
        </w:rPr>
        <w:t xml:space="preserve"> directly contradicted by abusive physical descriptions and clown emoji).</w:t>
        <w:br/>
        <w:t xml:space="preserve">- </w:t>
      </w:r>
      <w:r>
        <w:rPr>
          <w:rFonts w:ascii="Times New Roman" w:hAnsi="Times New Roman"/>
          <w:i/>
          <w:sz w:val="22"/>
        </w:rPr>
        <w:t>Cuitan 2:</w:t>
      </w:r>
      <w:r>
        <w:rPr>
          <w:rFonts w:ascii="Times New Roman" w:hAnsi="Times New Roman"/>
          <w:sz w:val="22"/>
        </w:rPr>
        <w:t xml:space="preserve"> 'Terima kasih program gizi gratis, anak-anak kenyang langsung masuk IGD rumah sakit 🤮' (Gratitude formula undermined by hospital casualty outcome and vomiting emoji).</w:t>
      </w:r>
    </w:p>
    <w:p>
      <w:pPr>
        <w:spacing w:before="200" w:after="80"/>
      </w:pPr>
      <w:r>
        <w:rPr>
          <w:rFonts w:ascii="Times New Roman" w:hAnsi="Times New Roman"/>
          <w:b/>
          <w:i/>
          <w:sz w:val="22"/>
        </w:rPr>
        <w:t>4.3 Social Network Topology and Reciprocity Breakdown</w:t>
        <w:br/>
        <w:t>Mathematical graph modeling of the 971 participating X users generated the following network topological parameters:</w:t>
      </w:r>
    </w:p>
    <w:p>
      <w:pPr>
        <w:spacing w:line="240" w:lineRule="auto" w:after="120"/>
      </w:pPr>
      <w:r/>
      <w:r>
        <w:rPr>
          <w:rFonts w:ascii="Times New Roman" w:hAnsi="Times New Roman"/>
          <w:sz w:val="22"/>
        </w:rPr>
        <w:t>The network density of $0.0011 and reciprocity of 1.21\%$ indicate an absolute breakdown of conversational exchange. Citizens were not talking to one another, nor were institutions conversing with citizens. Instead, discourse manifested as outward broadcasting into an echo chamber void.</w:t>
      </w:r>
    </w:p>
    <w:p>
      <w:pPr>
        <w:spacing w:before="200" w:after="80"/>
      </w:pPr>
      <w:r>
        <w:rPr>
          <w:rFonts w:ascii="Times New Roman" w:hAnsi="Times New Roman"/>
          <w:b/>
          <w:i/>
          <w:sz w:val="22"/>
        </w:rPr>
        <w:t>4.4 Structural Power Asymmetry: The Algorithmic Oracle vs. Institutional Silence</w:t>
        <w:br/>
        <w:t>Centrality calculations exposed an acute disparity between formal political power and digital communicative authority:</w:t>
      </w:r>
    </w:p>
    <w:p>
      <w:pPr>
        <w:spacing w:line="240" w:lineRule="auto" w:after="120"/>
      </w:pPr>
      <w:r/>
      <w:r>
        <w:rPr>
          <w:rFonts w:ascii="Times New Roman" w:hAnsi="Times New Roman"/>
          <w:sz w:val="22"/>
        </w:rPr>
        <w:t>While the executive head of state (@prabowo) accumulated the highest In-Degree (15) as the designated target of public accountability, his Out-Degree remained absolute zero ($C_{</w:t>
        <w:tab/>
        <w:t>ext{out}} = 0$). Government figures acted as passive receptacles of grievance, offering zero digital engagement.</w:t>
      </w:r>
    </w:p>
    <w:p>
      <w:pPr>
        <w:spacing w:line="240" w:lineRule="auto" w:after="120"/>
      </w:pPr>
      <w:r/>
      <w:r>
        <w:rPr>
          <w:rFonts w:ascii="Times New Roman" w:hAnsi="Times New Roman"/>
          <w:sz w:val="22"/>
        </w:rPr>
        <w:t>In stark contrast, xAI's conversational agent (@grok) commanded the highest Out-Degree in the entire network ($C_{</w:t>
        <w:tab/>
        <w:t>ext{out}} = 42$). When netizens sought verification regarding meal pricing formulas or poisoning statistics, they tagged @grok to synthesize facts. The artificial intelligence agent thus stepped in as an Algorithmic Oracle, assuming the communicative role abandoned by state public relations.</w:t>
      </w:r>
    </w:p>
    <w:p>
      <w:pPr>
        <w:spacing w:before="200" w:after="80"/>
      </w:pPr>
      <w:r/>
      <w:r>
        <w:rPr>
          <w:rFonts w:ascii="Times New Roman" w:hAnsi="Times New Roman"/>
          <w:sz w:val="22"/>
        </w:rPr>
        <w:t>4.5 Model Performance and Evaluation</w:t>
        <w:br/>
        <w:t>Evaluating IndoBERT (checkpoint-792) on the independent test set ($n = 1,053$) yielded the following per-class metrics:</w:t>
      </w:r>
    </w:p>
    <w:p>
      <w:pPr>
        <w:spacing w:line="240" w:lineRule="auto" w:after="120"/>
      </w:pPr>
      <w:r/>
      <w:r>
        <w:rPr>
          <w:rFonts w:ascii="Times New Roman" w:hAnsi="Times New Roman"/>
          <w:sz w:val="22"/>
        </w:rPr>
        <w:t>On the balanced binary benchmark for sarcasm detection, the pipeline achieved an overall accuracy of 83.00% and a Macro F1 of 0.8122. In 9-class modeling, the model prioritized sensitivity to the primary crisis driver, capturing $96.92\%$ of all empirical Disgust instances. Confusion matrix analysis revealed that misclassifications primarily stemmed from linguistic overlap: sarcastic Trust texts were remapped into Disgust due to the model detecting embedded physical complaint lemmas.</w:t>
      </w:r>
    </w:p>
    <w:p>
      <w:pPr>
        <w:spacing w:before="200" w:after="80"/>
      </w:pPr>
      <w:r>
        <w:rPr>
          <w:rFonts w:ascii="Times New Roman" w:hAnsi="Times New Roman"/>
          <w:b/>
          <w:i/>
          <w:sz w:val="22"/>
        </w:rPr>
        <w:t>4.6 Empirical Validation of the Phygital Gap (ABSA Results)</w:t>
        <w:br/>
        <w:t>Thematic aspect-based affective distribution across the three physical dimensions of the MBG program confirmed that public disgust was anchored in physical execution failures:</w:t>
      </w:r>
    </w:p>
    <w:p>
      <w:pPr>
        <w:spacing w:line="240" w:lineRule="auto" w:after="120"/>
      </w:pPr>
      <w:r/>
      <w:r>
        <w:rPr>
          <w:rFonts w:ascii="Times New Roman" w:hAnsi="Times New Roman"/>
          <w:sz w:val="22"/>
        </w:rPr>
        <w:t>Across all three operational aspects, Disgust exceeded $70\%$, peaking at $78.91\% in Logistics and 77.01\%$ in Budget Allocation. This provides empirical proof of the Phygital Gap: negative affect was not an abstract political grievance, but an intense rejection of operational failures in delivery timing, budget misappropriation, and inadequate dietary portion sizes.</w:t>
      </w:r>
    </w:p>
    <w:p>
      <w:pPr>
        <w:spacing w:line="240" w:lineRule="auto" w:after="120"/>
      </w:pPr>
      <w:r>
        <w:rPr>
          <w:rFonts w:ascii="Times New Roman" w:hAnsi="Times New Roman"/>
          <w:sz w:val="24"/>
        </w:rPr>
        <w:t>---</w:t>
      </w:r>
    </w:p>
    <w:p>
      <w:pPr>
        <w:spacing w:before="160" w:after="80"/>
      </w:pPr>
      <w:r>
        <w:rPr>
          <w:i/>
          <w:sz w:val="20"/>
        </w:rPr>
        <w:t>Table 1. Distribution of 9 Granular Emotions in MBG Discourse on X (N=5,263)</w:t>
      </w:r>
    </w:p>
    <w:tbl>
      <w:tblPr>
        <w:tblW w:type="auto" w:w="0"/>
        <w:jc w:val="center"/>
        <w:tblLook w:firstColumn="1" w:firstRow="1" w:lastColumn="0" w:lastRow="0" w:noHBand="0" w:noVBand="1" w:val="04A0"/>
      </w:tblPr>
      <w:tblGrid>
        <w:gridCol w:w="2257"/>
        <w:gridCol w:w="2257"/>
        <w:gridCol w:w="2257"/>
        <w:gridCol w:w="2257"/>
      </w:tblGrid>
      <w:tr>
        <w:tc>
          <w:tcPr>
            <w:tcW w:type="dxa" w:w="2257"/>
            <w:tcBorders>
              <w:top w:val="single" w:sz="6" w:space="0" w:color="000000"/>
              <w:bottom w:val="single" w:sz="6" w:space="0" w:color="000000"/>
            </w:tcBorders>
          </w:tcPr>
          <w:p>
            <w:r>
              <w:rPr>
                <w:b/>
                <w:sz w:val="20"/>
              </w:rPr>
              <w:t>Emotion Class</w:t>
            </w:r>
          </w:p>
        </w:tc>
        <w:tc>
          <w:tcPr>
            <w:tcW w:type="dxa" w:w="2257"/>
            <w:tcBorders>
              <w:top w:val="single" w:sz="6" w:space="0" w:color="000000"/>
              <w:bottom w:val="single" w:sz="6" w:space="0" w:color="000000"/>
            </w:tcBorders>
          </w:tcPr>
          <w:p>
            <w:r>
              <w:rPr>
                <w:b/>
                <w:sz w:val="20"/>
              </w:rPr>
              <w:t>Indonesian Label</w:t>
            </w:r>
          </w:p>
        </w:tc>
        <w:tc>
          <w:tcPr>
            <w:tcW w:type="dxa" w:w="2257"/>
            <w:tcBorders>
              <w:top w:val="single" w:sz="6" w:space="0" w:color="000000"/>
              <w:bottom w:val="single" w:sz="6" w:space="0" w:color="000000"/>
            </w:tcBorders>
          </w:tcPr>
          <w:p>
            <w:r>
              <w:rPr>
                <w:b/>
                <w:sz w:val="20"/>
              </w:rPr>
              <w:t>Tweet Count</w:t>
            </w:r>
          </w:p>
        </w:tc>
        <w:tc>
          <w:tcPr>
            <w:tcW w:type="dxa" w:w="2257"/>
            <w:tcBorders>
              <w:top w:val="single" w:sz="6" w:space="0" w:color="000000"/>
              <w:bottom w:val="single" w:sz="6" w:space="0" w:color="000000"/>
            </w:tcBorders>
          </w:tcPr>
          <w:p>
            <w:r>
              <w:rPr>
                <w:b/>
                <w:sz w:val="20"/>
              </w:rPr>
              <w:t>Percentage (%)</w:t>
            </w:r>
          </w:p>
        </w:tc>
      </w:tr>
      <w:tr>
        <w:tc>
          <w:tcPr>
            <w:tcW w:type="dxa" w:w="2257"/>
          </w:tcPr>
          <w:p>
            <w:r>
              <w:rPr>
                <w:sz w:val="20"/>
              </w:rPr>
              <w:t>Disgust</w:t>
            </w:r>
          </w:p>
        </w:tc>
        <w:tc>
          <w:tcPr>
            <w:tcW w:type="dxa" w:w="2257"/>
          </w:tcPr>
          <w:p>
            <w:r>
              <w:rPr>
                <w:sz w:val="20"/>
              </w:rPr>
              <w:t>Jijik / Mual</w:t>
            </w:r>
          </w:p>
        </w:tc>
        <w:tc>
          <w:tcPr>
            <w:tcW w:type="dxa" w:w="2257"/>
          </w:tcPr>
          <w:p>
            <w:r>
              <w:rPr>
                <w:sz w:val="20"/>
              </w:rPr>
              <w:t>2,960</w:t>
            </w:r>
          </w:p>
        </w:tc>
        <w:tc>
          <w:tcPr>
            <w:tcW w:type="dxa" w:w="2257"/>
          </w:tcPr>
          <w:p>
            <w:r>
              <w:rPr>
                <w:sz w:val="20"/>
              </w:rPr>
              <w:t>56.24%</w:t>
            </w:r>
          </w:p>
        </w:tc>
      </w:tr>
      <w:tr>
        <w:tc>
          <w:tcPr>
            <w:tcW w:type="dxa" w:w="2257"/>
          </w:tcPr>
          <w:p>
            <w:r>
              <w:rPr>
                <w:sz w:val="20"/>
              </w:rPr>
              <w:t>Trust</w:t>
            </w:r>
          </w:p>
        </w:tc>
        <w:tc>
          <w:tcPr>
            <w:tcW w:type="dxa" w:w="2257"/>
          </w:tcPr>
          <w:p>
            <w:r>
              <w:rPr>
                <w:sz w:val="20"/>
              </w:rPr>
              <w:t>Percaya</w:t>
            </w:r>
          </w:p>
        </w:tc>
        <w:tc>
          <w:tcPr>
            <w:tcW w:type="dxa" w:w="2257"/>
          </w:tcPr>
          <w:p>
            <w:r>
              <w:rPr>
                <w:sz w:val="20"/>
              </w:rPr>
              <w:t>1,073</w:t>
            </w:r>
          </w:p>
        </w:tc>
        <w:tc>
          <w:tcPr>
            <w:tcW w:type="dxa" w:w="2257"/>
          </w:tcPr>
          <w:p>
            <w:r>
              <w:rPr>
                <w:sz w:val="20"/>
              </w:rPr>
              <w:t>20.39%</w:t>
            </w:r>
          </w:p>
        </w:tc>
      </w:tr>
      <w:tr>
        <w:tc>
          <w:tcPr>
            <w:tcW w:type="dxa" w:w="2257"/>
          </w:tcPr>
          <w:p>
            <w:r>
              <w:rPr>
                <w:sz w:val="20"/>
              </w:rPr>
              <w:t>Neutral</w:t>
            </w:r>
          </w:p>
        </w:tc>
        <w:tc>
          <w:tcPr>
            <w:tcW w:type="dxa" w:w="2257"/>
          </w:tcPr>
          <w:p>
            <w:r>
              <w:rPr>
                <w:sz w:val="20"/>
              </w:rPr>
              <w:t>Netral</w:t>
            </w:r>
          </w:p>
        </w:tc>
        <w:tc>
          <w:tcPr>
            <w:tcW w:type="dxa" w:w="2257"/>
          </w:tcPr>
          <w:p>
            <w:r>
              <w:rPr>
                <w:sz w:val="20"/>
              </w:rPr>
              <w:t>649</w:t>
            </w:r>
          </w:p>
        </w:tc>
        <w:tc>
          <w:tcPr>
            <w:tcW w:type="dxa" w:w="2257"/>
          </w:tcPr>
          <w:p>
            <w:r>
              <w:rPr>
                <w:sz w:val="20"/>
              </w:rPr>
              <w:t>12.33%</w:t>
            </w:r>
          </w:p>
        </w:tc>
      </w:tr>
      <w:tr>
        <w:tc>
          <w:tcPr>
            <w:tcW w:type="dxa" w:w="2257"/>
          </w:tcPr>
          <w:p>
            <w:r>
              <w:rPr>
                <w:sz w:val="20"/>
              </w:rPr>
              <w:t>Anticipation</w:t>
            </w:r>
          </w:p>
        </w:tc>
        <w:tc>
          <w:tcPr>
            <w:tcW w:type="dxa" w:w="2257"/>
          </w:tcPr>
          <w:p>
            <w:r>
              <w:rPr>
                <w:sz w:val="20"/>
              </w:rPr>
              <w:t>Antisipasi / Tertarik</w:t>
            </w:r>
          </w:p>
        </w:tc>
        <w:tc>
          <w:tcPr>
            <w:tcW w:type="dxa" w:w="2257"/>
          </w:tcPr>
          <w:p>
            <w:r>
              <w:rPr>
                <w:sz w:val="20"/>
              </w:rPr>
              <w:t>505</w:t>
            </w:r>
          </w:p>
        </w:tc>
        <w:tc>
          <w:tcPr>
            <w:tcW w:type="dxa" w:w="2257"/>
          </w:tcPr>
          <w:p>
            <w:r>
              <w:rPr>
                <w:sz w:val="20"/>
              </w:rPr>
              <w:t>9.60%</w:t>
            </w:r>
          </w:p>
        </w:tc>
      </w:tr>
      <w:tr>
        <w:tc>
          <w:tcPr>
            <w:tcW w:type="dxa" w:w="2257"/>
            <w:tcBorders>
              <w:bottom w:val="single" w:sz="6" w:space="0" w:color="000000"/>
            </w:tcBorders>
          </w:tcPr>
          <w:p>
            <w:r>
              <w:rPr>
                <w:sz w:val="20"/>
              </w:rPr>
              <w:t>Other (Anger, Sadness, Fear, etc.)</w:t>
            </w:r>
          </w:p>
        </w:tc>
        <w:tc>
          <w:tcPr>
            <w:tcW w:type="dxa" w:w="2257"/>
            <w:tcBorders>
              <w:bottom w:val="single" w:sz="6" w:space="0" w:color="000000"/>
            </w:tcBorders>
          </w:tcPr>
          <w:p>
            <w:r>
              <w:rPr>
                <w:sz w:val="20"/>
              </w:rPr>
              <w:t>Marah, Sedih, Takut, dll.</w:t>
            </w:r>
          </w:p>
        </w:tc>
        <w:tc>
          <w:tcPr>
            <w:tcW w:type="dxa" w:w="2257"/>
            <w:tcBorders>
              <w:bottom w:val="single" w:sz="6" w:space="0" w:color="000000"/>
            </w:tcBorders>
          </w:tcPr>
          <w:p>
            <w:r>
              <w:rPr>
                <w:sz w:val="20"/>
              </w:rPr>
              <w:t>76</w:t>
            </w:r>
          </w:p>
        </w:tc>
        <w:tc>
          <w:tcPr>
            <w:tcW w:type="dxa" w:w="2257"/>
            <w:tcBorders>
              <w:bottom w:val="single" w:sz="6" w:space="0" w:color="000000"/>
            </w:tcBorders>
          </w:tcPr>
          <w:p>
            <w:r>
              <w:rPr>
                <w:sz w:val="20"/>
              </w:rPr>
              <w:t>1.44%</w:t>
            </w:r>
          </w:p>
        </w:tc>
      </w:tr>
    </w:tbl>
    <w:p>
      <w:pPr>
        <w:spacing w:before="160" w:after="80"/>
      </w:pPr>
      <w:r>
        <w:rPr>
          <w:i/>
          <w:sz w:val="20"/>
        </w:rPr>
        <w:t>Table 2. Macro-Topological Parameters of the MBG Interaction Network</w:t>
      </w:r>
    </w:p>
    <w:tbl>
      <w:tblPr>
        <w:tblW w:type="auto" w:w="0"/>
        <w:jc w:val="center"/>
        <w:tblLook w:firstColumn="1" w:firstRow="1" w:lastColumn="0" w:lastRow="0" w:noHBand="0" w:noVBand="1" w:val="04A0"/>
      </w:tblPr>
      <w:tblGrid>
        <w:gridCol w:w="3010"/>
        <w:gridCol w:w="3010"/>
        <w:gridCol w:w="3010"/>
      </w:tblGrid>
      <w:tr>
        <w:tc>
          <w:tcPr>
            <w:tcW w:type="dxa" w:w="3010"/>
            <w:tcBorders>
              <w:top w:val="single" w:sz="6" w:space="0" w:color="000000"/>
              <w:bottom w:val="single" w:sz="6" w:space="0" w:color="000000"/>
            </w:tcBorders>
          </w:tcPr>
          <w:p>
            <w:r>
              <w:rPr>
                <w:b/>
                <w:sz w:val="20"/>
              </w:rPr>
              <w:t>Network Parameter</w:t>
            </w:r>
          </w:p>
        </w:tc>
        <w:tc>
          <w:tcPr>
            <w:tcW w:type="dxa" w:w="3010"/>
            <w:tcBorders>
              <w:top w:val="single" w:sz="6" w:space="0" w:color="000000"/>
              <w:bottom w:val="single" w:sz="6" w:space="0" w:color="000000"/>
            </w:tcBorders>
          </w:tcPr>
          <w:p>
            <w:r>
              <w:rPr>
                <w:b/>
                <w:sz w:val="20"/>
              </w:rPr>
              <w:t>Empirical Value</w:t>
            </w:r>
          </w:p>
        </w:tc>
        <w:tc>
          <w:tcPr>
            <w:tcW w:type="dxa" w:w="3010"/>
            <w:tcBorders>
              <w:top w:val="single" w:sz="6" w:space="0" w:color="000000"/>
              <w:bottom w:val="single" w:sz="6" w:space="0" w:color="000000"/>
            </w:tcBorders>
          </w:tcPr>
          <w:p>
            <w:r>
              <w:rPr>
                <w:b/>
                <w:sz w:val="20"/>
              </w:rPr>
              <w:t>Theoretical Significance</w:t>
            </w:r>
          </w:p>
        </w:tc>
      </w:tr>
      <w:tr>
        <w:tc>
          <w:tcPr>
            <w:tcW w:type="dxa" w:w="3010"/>
          </w:tcPr>
          <w:p>
            <w:r>
              <w:rPr>
                <w:sz w:val="20"/>
              </w:rPr>
              <w:t>Total Nodes (|V|)</w:t>
            </w:r>
          </w:p>
        </w:tc>
        <w:tc>
          <w:tcPr>
            <w:tcW w:type="dxa" w:w="3010"/>
          </w:tcPr>
          <w:p>
            <w:r>
              <w:rPr>
                <w:sz w:val="20"/>
              </w:rPr>
              <w:t>971</w:t>
            </w:r>
          </w:p>
        </w:tc>
        <w:tc>
          <w:tcPr>
            <w:tcW w:type="dxa" w:w="3010"/>
          </w:tcPr>
          <w:p>
            <w:r>
              <w:rPr>
                <w:sz w:val="20"/>
              </w:rPr>
              <w:t>Active user accounts in MBG communication</w:t>
            </w:r>
          </w:p>
        </w:tc>
      </w:tr>
      <w:tr>
        <w:tc>
          <w:tcPr>
            <w:tcW w:type="dxa" w:w="3010"/>
          </w:tcPr>
          <w:p>
            <w:r>
              <w:rPr>
                <w:sz w:val="20"/>
              </w:rPr>
              <w:t>Unique Directed Edges (|E|)</w:t>
            </w:r>
          </w:p>
        </w:tc>
        <w:tc>
          <w:tcPr>
            <w:tcW w:type="dxa" w:w="3010"/>
          </w:tcPr>
          <w:p>
            <w:r>
              <w:rPr>
                <w:sz w:val="20"/>
              </w:rPr>
              <w:t>666</w:t>
            </w:r>
          </w:p>
        </w:tc>
        <w:tc>
          <w:tcPr>
            <w:tcW w:type="dxa" w:w="3010"/>
          </w:tcPr>
          <w:p>
            <w:r>
              <w:rPr>
                <w:sz w:val="20"/>
              </w:rPr>
              <w:t>Directed mention and reply ties</w:t>
            </w:r>
          </w:p>
        </w:tc>
      </w:tr>
      <w:tr>
        <w:tc>
          <w:tcPr>
            <w:tcW w:type="dxa" w:w="3010"/>
          </w:tcPr>
          <w:p>
            <w:r>
              <w:rPr>
                <w:sz w:val="20"/>
              </w:rPr>
              <w:t>Graph Density</w:t>
            </w:r>
          </w:p>
        </w:tc>
        <w:tc>
          <w:tcPr>
            <w:tcW w:type="dxa" w:w="3010"/>
          </w:tcPr>
          <w:p>
            <w:r>
              <w:rPr>
                <w:sz w:val="20"/>
              </w:rPr>
              <w:t>0.0011</w:t>
            </w:r>
          </w:p>
        </w:tc>
        <w:tc>
          <w:tcPr>
            <w:tcW w:type="dxa" w:w="3010"/>
          </w:tcPr>
          <w:p>
            <w:r>
              <w:rPr>
                <w:sz w:val="20"/>
              </w:rPr>
              <w:t>Extremely sparse interaction topology</w:t>
            </w:r>
          </w:p>
        </w:tc>
      </w:tr>
      <w:tr>
        <w:tc>
          <w:tcPr>
            <w:tcW w:type="dxa" w:w="3010"/>
          </w:tcPr>
          <w:p>
            <w:r>
              <w:rPr>
                <w:sz w:val="20"/>
              </w:rPr>
              <w:t>Reciprocity Rate</w:t>
            </w:r>
          </w:p>
        </w:tc>
        <w:tc>
          <w:tcPr>
            <w:tcW w:type="dxa" w:w="3010"/>
          </w:tcPr>
          <w:p>
            <w:r>
              <w:rPr>
                <w:sz w:val="20"/>
              </w:rPr>
              <w:t>1.21%</w:t>
            </w:r>
          </w:p>
        </w:tc>
        <w:tc>
          <w:tcPr>
            <w:tcW w:type="dxa" w:w="3010"/>
          </w:tcPr>
          <w:p>
            <w:r>
              <w:rPr>
                <w:sz w:val="20"/>
              </w:rPr>
              <w:t>98.79% unidirectional communication (monologue)</w:t>
            </w:r>
          </w:p>
        </w:tc>
      </w:tr>
      <w:tr>
        <w:tc>
          <w:tcPr>
            <w:tcW w:type="dxa" w:w="3010"/>
            <w:tcBorders>
              <w:bottom w:val="single" w:sz="6" w:space="0" w:color="000000"/>
            </w:tcBorders>
          </w:tcPr>
          <w:p>
            <w:r>
              <w:rPr>
                <w:sz w:val="20"/>
              </w:rPr>
              <w:t>Louvain Modularity (Q)</w:t>
            </w:r>
          </w:p>
        </w:tc>
        <w:tc>
          <w:tcPr>
            <w:tcW w:type="dxa" w:w="3010"/>
            <w:tcBorders>
              <w:bottom w:val="single" w:sz="6" w:space="0" w:color="000000"/>
            </w:tcBorders>
          </w:tcPr>
          <w:p>
            <w:r>
              <w:rPr>
                <w:sz w:val="20"/>
              </w:rPr>
              <w:t>0.9837</w:t>
            </w:r>
          </w:p>
        </w:tc>
        <w:tc>
          <w:tcPr>
            <w:tcW w:type="dxa" w:w="3010"/>
            <w:tcBorders>
              <w:bottom w:val="single" w:sz="6" w:space="0" w:color="000000"/>
            </w:tcBorders>
          </w:tcPr>
          <w:p>
            <w:r>
              <w:rPr>
                <w:sz w:val="20"/>
              </w:rPr>
              <w:t>Hyper-fragmentation into 332 isolated echo chambers</w:t>
            </w:r>
          </w:p>
        </w:tc>
      </w:tr>
    </w:tbl>
    <w:p>
      <w:pPr>
        <w:spacing w:before="160" w:after="80"/>
      </w:pPr>
      <w:r>
        <w:rPr>
          <w:i/>
          <w:sz w:val="20"/>
        </w:rPr>
        <w:t>Table 3. Centrality Ranking and Power Asymmetry in MBG Network</w:t>
      </w:r>
    </w:p>
    <w:tbl>
      <w:tblPr>
        <w:tblW w:type="auto" w:w="0"/>
        <w:jc w:val="center"/>
        <w:tblLook w:firstColumn="1" w:firstRow="1" w:lastColumn="0" w:lastRow="0" w:noHBand="0" w:noVBand="1" w:val="04A0"/>
      </w:tblPr>
      <w:tblGrid>
        <w:gridCol w:w="2257"/>
        <w:gridCol w:w="2257"/>
        <w:gridCol w:w="2257"/>
        <w:gridCol w:w="2257"/>
      </w:tblGrid>
      <w:tr>
        <w:tc>
          <w:tcPr>
            <w:tcW w:type="dxa" w:w="2257"/>
            <w:tcBorders>
              <w:top w:val="single" w:sz="6" w:space="0" w:color="000000"/>
              <w:bottom w:val="single" w:sz="6" w:space="0" w:color="000000"/>
            </w:tcBorders>
          </w:tcPr>
          <w:p>
            <w:r>
              <w:rPr>
                <w:b/>
                <w:sz w:val="20"/>
              </w:rPr>
              <w:t>Account Username</w:t>
            </w:r>
          </w:p>
        </w:tc>
        <w:tc>
          <w:tcPr>
            <w:tcW w:type="dxa" w:w="2257"/>
            <w:tcBorders>
              <w:top w:val="single" w:sz="6" w:space="0" w:color="000000"/>
              <w:bottom w:val="single" w:sz="6" w:space="0" w:color="000000"/>
            </w:tcBorders>
          </w:tcPr>
          <w:p>
            <w:r>
              <w:rPr>
                <w:b/>
                <w:sz w:val="20"/>
              </w:rPr>
              <w:t>In-Degree</w:t>
            </w:r>
          </w:p>
        </w:tc>
        <w:tc>
          <w:tcPr>
            <w:tcW w:type="dxa" w:w="2257"/>
            <w:tcBorders>
              <w:top w:val="single" w:sz="6" w:space="0" w:color="000000"/>
              <w:bottom w:val="single" w:sz="6" w:space="0" w:color="000000"/>
            </w:tcBorders>
          </w:tcPr>
          <w:p>
            <w:r>
              <w:rPr>
                <w:b/>
                <w:sz w:val="20"/>
              </w:rPr>
              <w:t>Out-Degree</w:t>
            </w:r>
          </w:p>
        </w:tc>
        <w:tc>
          <w:tcPr>
            <w:tcW w:type="dxa" w:w="2257"/>
            <w:tcBorders>
              <w:top w:val="single" w:sz="6" w:space="0" w:color="000000"/>
              <w:bottom w:val="single" w:sz="6" w:space="0" w:color="000000"/>
            </w:tcBorders>
          </w:tcPr>
          <w:p>
            <w:r>
              <w:rPr>
                <w:b/>
                <w:sz w:val="20"/>
              </w:rPr>
              <w:t>Structural Role in Discourse Network</w:t>
            </w:r>
          </w:p>
        </w:tc>
      </w:tr>
      <w:tr>
        <w:tc>
          <w:tcPr>
            <w:tcW w:type="dxa" w:w="2257"/>
          </w:tcPr>
          <w:p>
            <w:r>
              <w:rPr>
                <w:sz w:val="20"/>
              </w:rPr>
              <w:t>@grok</w:t>
            </w:r>
          </w:p>
        </w:tc>
        <w:tc>
          <w:tcPr>
            <w:tcW w:type="dxa" w:w="2257"/>
          </w:tcPr>
          <w:p>
            <w:r>
              <w:rPr>
                <w:sz w:val="20"/>
              </w:rPr>
              <w:t>0</w:t>
            </w:r>
          </w:p>
        </w:tc>
        <w:tc>
          <w:tcPr>
            <w:tcW w:type="dxa" w:w="2257"/>
          </w:tcPr>
          <w:p>
            <w:r>
              <w:rPr>
                <w:sz w:val="20"/>
              </w:rPr>
              <w:t>42</w:t>
            </w:r>
          </w:p>
        </w:tc>
        <w:tc>
          <w:tcPr>
            <w:tcW w:type="dxa" w:w="2257"/>
          </w:tcPr>
          <w:p>
            <w:r>
              <w:rPr>
                <w:sz w:val="20"/>
              </w:rPr>
              <w:t>Algorithmic Oracle (Primary Verification Hub)</w:t>
            </w:r>
          </w:p>
        </w:tc>
      </w:tr>
      <w:tr>
        <w:tc>
          <w:tcPr>
            <w:tcW w:type="dxa" w:w="2257"/>
          </w:tcPr>
          <w:p>
            <w:r>
              <w:rPr>
                <w:sz w:val="20"/>
              </w:rPr>
              <w:t>@prabowo</w:t>
            </w:r>
          </w:p>
        </w:tc>
        <w:tc>
          <w:tcPr>
            <w:tcW w:type="dxa" w:w="2257"/>
          </w:tcPr>
          <w:p>
            <w:r>
              <w:rPr>
                <w:sz w:val="20"/>
              </w:rPr>
              <w:t>15</w:t>
            </w:r>
          </w:p>
        </w:tc>
        <w:tc>
          <w:tcPr>
            <w:tcW w:type="dxa" w:w="2257"/>
          </w:tcPr>
          <w:p>
            <w:r>
              <w:rPr>
                <w:sz w:val="20"/>
              </w:rPr>
              <w:t>0</w:t>
            </w:r>
          </w:p>
        </w:tc>
        <w:tc>
          <w:tcPr>
            <w:tcW w:type="dxa" w:w="2257"/>
          </w:tcPr>
          <w:p>
            <w:r>
              <w:rPr>
                <w:sz w:val="20"/>
              </w:rPr>
              <w:t>Institutional Power Vacuum (Passive Target)</w:t>
            </w:r>
          </w:p>
        </w:tc>
      </w:tr>
      <w:tr>
        <w:tc>
          <w:tcPr>
            <w:tcW w:type="dxa" w:w="2257"/>
          </w:tcPr>
          <w:p>
            <w:r>
              <w:rPr>
                <w:sz w:val="20"/>
              </w:rPr>
              <w:t>@4Y4NKZ</w:t>
            </w:r>
          </w:p>
        </w:tc>
        <w:tc>
          <w:tcPr>
            <w:tcW w:type="dxa" w:w="2257"/>
          </w:tcPr>
          <w:p>
            <w:r>
              <w:rPr>
                <w:sz w:val="20"/>
              </w:rPr>
              <w:t>1</w:t>
            </w:r>
          </w:p>
        </w:tc>
        <w:tc>
          <w:tcPr>
            <w:tcW w:type="dxa" w:w="2257"/>
          </w:tcPr>
          <w:p>
            <w:r>
              <w:rPr>
                <w:sz w:val="20"/>
              </w:rPr>
              <w:t>8</w:t>
            </w:r>
          </w:p>
        </w:tc>
        <w:tc>
          <w:tcPr>
            <w:tcW w:type="dxa" w:w="2257"/>
          </w:tcPr>
          <w:p>
            <w:r>
              <w:rPr>
                <w:sz w:val="20"/>
              </w:rPr>
              <w:t>Structural Broker (Betweenness = 0.000016)</w:t>
            </w:r>
          </w:p>
        </w:tc>
      </w:tr>
      <w:tr>
        <w:tc>
          <w:tcPr>
            <w:tcW w:type="dxa" w:w="2257"/>
            <w:tcBorders>
              <w:bottom w:val="single" w:sz="6" w:space="0" w:color="000000"/>
            </w:tcBorders>
          </w:tcPr>
          <w:p>
            <w:r>
              <w:rPr>
                <w:sz w:val="20"/>
              </w:rPr>
              <w:t>@jokowi</w:t>
            </w:r>
          </w:p>
        </w:tc>
        <w:tc>
          <w:tcPr>
            <w:tcW w:type="dxa" w:w="2257"/>
            <w:tcBorders>
              <w:bottom w:val="single" w:sz="6" w:space="0" w:color="000000"/>
            </w:tcBorders>
          </w:tcPr>
          <w:p>
            <w:r>
              <w:rPr>
                <w:sz w:val="20"/>
              </w:rPr>
              <w:t>9</w:t>
            </w:r>
          </w:p>
        </w:tc>
        <w:tc>
          <w:tcPr>
            <w:tcW w:type="dxa" w:w="2257"/>
            <w:tcBorders>
              <w:bottom w:val="single" w:sz="6" w:space="0" w:color="000000"/>
            </w:tcBorders>
          </w:tcPr>
          <w:p>
            <w:r>
              <w:rPr>
                <w:sz w:val="20"/>
              </w:rPr>
              <w:t>0</w:t>
            </w:r>
          </w:p>
        </w:tc>
        <w:tc>
          <w:tcPr>
            <w:tcW w:type="dxa" w:w="2257"/>
            <w:tcBorders>
              <w:bottom w:val="single" w:sz="6" w:space="0" w:color="000000"/>
            </w:tcBorders>
          </w:tcPr>
          <w:p>
            <w:r>
              <w:rPr>
                <w:sz w:val="20"/>
              </w:rPr>
              <w:t>Secondary Institutional Target</w:t>
            </w:r>
          </w:p>
        </w:tc>
      </w:tr>
    </w:tbl>
    <w:p>
      <w:pPr>
        <w:spacing w:line="240" w:lineRule="auto" w:after="120"/>
      </w:pPr>
      <w:r>
        <w:rPr>
          <w:rFonts w:ascii="Times New Roman" w:hAnsi="Times New Roman"/>
          <w:sz w:val="24"/>
        </w:rPr>
        <w:t>The qualitative deconstruction of the 315 validated sarcastic tweets demonstrates that Indonesian netizens have developed a sophisticated, multi-layered rhetorical repertoire to circumvent digital surveillance. In our corpus, sarcasm manifested primarily across three distinct rhetorical modes: first, hyper-exaggerated gratitude (e.g., praising the meal as fit for royalty while displaying miniature rations); second, ironic medicalization (e.g., complimenting the state for providing free emergency room visits following food poisoning incidents); and third, fiscal juxtaposition (e.g., calculating the disparity between a Rp15,000 budget allocation and a single tempeh slice valued at Rp500). In each instance, the pragmatic force of the utterance is entirely inverted by contextual knowledge shared within the digital public sphere. Conventional lexicon models that rely on isolated keyword matching inevitably classify these statements as supportive, completely misinterpreting civic resistance as policy endorsement.</w:t>
      </w:r>
    </w:p>
    <w:p>
      <w:pPr>
        <w:spacing w:line="240" w:lineRule="auto" w:after="120"/>
      </w:pPr>
      <w:r>
        <w:rPr>
          <w:rFonts w:ascii="Times New Roman" w:hAnsi="Times New Roman"/>
          <w:sz w:val="24"/>
        </w:rPr>
        <w:t>Furthermore, the communicative dominance of @grok (Out-Degree = 42) compared to the absolute silence of state actors (@prabowo Out-Degree = 0) represents a profound transformation in how epistemic authority is established during a public crisis. In classic Habermasian theory, the public sphere relies on communicative rationality where participants exchange arguments to reach consensus. In this digital crisis, however, communicative rationality broke down: the state refused to enter the deliberative arena, and citizens abandoned the expectation of dialogic accountability from elected leaders. Instead, participants delegated the task of objective truth-seeking to an autonomous synthetic agent. Netizens treated the AI not as an entertainment chatbot, but as an impartial public auditor capable of parsing budget spreadsheets and verifying medical reports free from political bias. This emergence of the Algorithmic Oracle suggests that future models of crisis communication must theorize triadic interactions involving citizens, silent institutions, and autonomous artificial intelligence intermediaries.</w:t>
      </w:r>
    </w:p>
    <w:p>
      <w:pPr>
        <w:spacing w:before="200" w:after="80"/>
      </w:pPr>
      <w:r/>
      <w:r>
        <w:rPr>
          <w:rFonts w:ascii="Times New Roman" w:hAnsi="Times New Roman"/>
          <w:sz w:val="22"/>
        </w:rPr>
        <w:t>5.1 The Anatomy of the Phygital Gap in Public Sector Governance</w:t>
        <w:br/>
        <w:t xml:space="preserve">The empirical findings substantiate the central theoretical proposition of this study: the crisis of the MBG program represents a textbook manifestation of the </w:t>
      </w:r>
      <w:r>
        <w:rPr>
          <w:rFonts w:ascii="Times New Roman" w:hAnsi="Times New Roman"/>
          <w:b/>
          <w:sz w:val="22"/>
        </w:rPr>
        <w:t>Phygital Gap</w:t>
      </w:r>
      <w:r>
        <w:rPr>
          <w:rFonts w:ascii="Times New Roman" w:hAnsi="Times New Roman"/>
          <w:sz w:val="22"/>
        </w:rPr>
        <w:t xml:space="preserve"> (Kotler et al., 2023) transposed into public policy communication. In corporate marketing, a phygital gap erodes brand equity; in public governance, it destroys democratic legitimacy. The government succeeded in crafting an appealing digital vision of national nutritional sovereignty across press releases, social media infographics, and broadcast announcements. However, when the physical deliverable—the meal tray—arrived at schools in unhygienic states or with minimal portions, citizens experienced sharp sensory betrayal.</w:t>
      </w:r>
    </w:p>
    <w:p>
      <w:pPr>
        <w:spacing w:line="240" w:lineRule="auto" w:after="120"/>
      </w:pPr>
      <w:r/>
      <w:r>
        <w:rPr>
          <w:rFonts w:ascii="Times New Roman" w:hAnsi="Times New Roman"/>
          <w:sz w:val="22"/>
        </w:rPr>
        <w:t xml:space="preserve">The dominance of </w:t>
      </w:r>
      <w:r>
        <w:rPr>
          <w:rFonts w:ascii="Times New Roman" w:hAnsi="Times New Roman"/>
          <w:b/>
          <w:sz w:val="22"/>
        </w:rPr>
        <w:t>Disgust (56.24%)</w:t>
      </w:r>
      <w:r>
        <w:rPr>
          <w:rFonts w:ascii="Times New Roman" w:hAnsi="Times New Roman"/>
          <w:sz w:val="22"/>
        </w:rPr>
        <w:t xml:space="preserve"> over </w:t>
      </w:r>
      <w:r>
        <w:rPr>
          <w:rFonts w:ascii="Times New Roman" w:hAnsi="Times New Roman"/>
          <w:b/>
          <w:sz w:val="22"/>
        </w:rPr>
        <w:t>Anger (1.05%)</w:t>
      </w:r>
      <w:r>
        <w:rPr>
          <w:rFonts w:ascii="Times New Roman" w:hAnsi="Times New Roman"/>
          <w:sz w:val="22"/>
        </w:rPr>
        <w:t xml:space="preserve"> is sociologically profound. In political psychology, anger is an approach-oriented emotion that motivates political activism, protest, and demands for institutional reform. Disgust, conversely, is an avoidance-oriented visceral emotion triggered by physical contaminants, spoiled food, and moral revulsion. By failing at the physical touchpoint, the government reduced a multi-trillion rupiah national policy into an object of physical disgust.</w:t>
      </w:r>
    </w:p>
    <w:p>
      <w:pPr>
        <w:spacing w:before="200" w:after="80"/>
      </w:pPr>
      <w:r/>
      <w:r>
        <w:rPr>
          <w:rFonts w:ascii="Times New Roman" w:hAnsi="Times New Roman"/>
          <w:sz w:val="22"/>
        </w:rPr>
        <w:t>5.2 Hyper-Fragmentation and the Death of Deliberative Space</w:t>
        <w:br/>
        <w:t>Habermas (2006) cautioned that internet-mediated public spheres risk communicative anarchism without institutional mediating structures. The topological network metrics of the MBG discourse provide startling empirical support for this warning. A modularity score of $Q = 0.9837$ is extraordinarily high in political communication networks, where modularity typically ranges between $0.40 and 0.65$ (Newman, 2006). Rather than dividing into a classic bi-polar structure (e.g., government supporters vs. opposition partisans), the discourse disintegrated into 332 isolated communicative islands.</w:t>
      </w:r>
    </w:p>
    <w:p>
      <w:pPr>
        <w:spacing w:line="240" w:lineRule="auto" w:after="120"/>
      </w:pPr>
      <w:r/>
      <w:r>
        <w:rPr>
          <w:rFonts w:ascii="Times New Roman" w:hAnsi="Times New Roman"/>
          <w:sz w:val="22"/>
        </w:rPr>
        <w:t>Coupled with a reciprocity rate of only 1.21%, this reveals that the digital discourse was functionally dead as a deliberative space. Citizens broadcasted their frustration into localized micro-clusters, while government actors failed to engage in reciprocal dialogue. The giant component captured only $9.17\%$ of nodes, proving that no single narrative could bridge the fragmented silos.</w:t>
      </w:r>
    </w:p>
    <w:p>
      <w:pPr>
        <w:spacing w:before="200" w:after="80"/>
      </w:pPr>
      <w:r/>
      <w:r>
        <w:rPr>
          <w:rFonts w:ascii="Times New Roman" w:hAnsi="Times New Roman"/>
          <w:sz w:val="22"/>
        </w:rPr>
        <w:t>5.3 The Emergence of the 'Algorithmic Oracle'</w:t>
        <w:br/>
        <w:t>Perhaps the most transformative empirical finding is the communicative role assumed by artificial intelligence. In classical crisis communication models (Coombs, 2007), epistemic authority rests with institutional leaders, official spokespersons, or verified investigative journalists. In this network, however, @grok achieved an Out-Degree of 42, dominating the graph's broadcasting capability, while @prabowo remained silent ($C_{</w:t>
        <w:tab/>
        <w:t>ext{out}} = 0$).</w:t>
      </w:r>
    </w:p>
    <w:p>
      <w:pPr>
        <w:spacing w:line="240" w:lineRule="auto" w:after="120"/>
      </w:pPr>
      <w:r/>
      <w:r>
        <w:rPr>
          <w:rFonts w:ascii="Times New Roman" w:hAnsi="Times New Roman"/>
          <w:sz w:val="22"/>
        </w:rPr>
        <w:t xml:space="preserve">When state actors create a </w:t>
      </w:r>
      <w:r>
        <w:rPr>
          <w:rFonts w:ascii="Times New Roman" w:hAnsi="Times New Roman"/>
          <w:b/>
          <w:sz w:val="22"/>
        </w:rPr>
        <w:t>Power Vacuum</w:t>
      </w:r>
      <w:r>
        <w:rPr>
          <w:rFonts w:ascii="Times New Roman" w:hAnsi="Times New Roman"/>
          <w:sz w:val="22"/>
        </w:rPr>
        <w:t xml:space="preserve"> by failing to respond to legitimate operational queries, digital citizens do not abandon inquiry; instead, they pivot to synthetic authority. Netizens tagged @grok to verify contract values, calculate vendor margins, and cross-reference nutritional standards. The AI agent operated as an impartial </w:t>
      </w:r>
      <w:r>
        <w:rPr>
          <w:rFonts w:ascii="Times New Roman" w:hAnsi="Times New Roman"/>
          <w:i/>
          <w:sz w:val="22"/>
        </w:rPr>
        <w:t>Algorithmic Oracle</w:t>
      </w:r>
      <w:r>
        <w:rPr>
          <w:rFonts w:ascii="Times New Roman" w:hAnsi="Times New Roman"/>
          <w:sz w:val="22"/>
        </w:rPr>
        <w:t>, synthesizing facts in real time. This signals a historic paradigm shift in digital public relations: future state communication strategies will not merely interact with human journalists or influencers, but must contend with autonomous algorithms operating as primary epistemic gatekeepers in the network.</w:t>
      </w:r>
    </w:p>
    <w:p>
      <w:pPr>
        <w:spacing w:before="200" w:after="80"/>
      </w:pPr>
      <w:r/>
      <w:r>
        <w:rPr>
          <w:rFonts w:ascii="Times New Roman" w:hAnsi="Times New Roman"/>
          <w:sz w:val="22"/>
        </w:rPr>
        <w:t>5.4 Sarcasm as Rhetorical Counter-Surveillance</w:t>
        <w:br/>
        <w:t>The identification of 315 validated sarcastic tweets ($9.28\%$) and 181 sharp binary contradictions reflects the tactical adaptation of Indonesian digital rhetoric. Facing potential legal consequences under defamation and electronic information laws (UU ITE), citizens weaponized Pretense Theory (Clark &amp; Gerrig, 1984). Netizens praised the program's 'luxury' while attaching emojis indicating nausea (🤮) or foolishness (🤡). This semiotic incongruity served as an effective cloaking mechanism against automated sentiment tracking systems that rely on superficial keyword dictionaries, preserving critical dissent within algorithmic public spheres.</w:t>
      </w:r>
    </w:p>
    <w:p>
      <w:pPr>
        <w:spacing w:line="240" w:lineRule="auto" w:after="120"/>
      </w:pPr>
      <w:r>
        <w:rPr>
          <w:rFonts w:ascii="Times New Roman" w:hAnsi="Times New Roman"/>
          <w:sz w:val="24"/>
        </w:rPr>
        <w:t>---</w:t>
      </w:r>
    </w:p>
    <w:p>
      <w:pPr>
        <w:spacing w:before="280" w:after="120"/>
      </w:pPr>
      <w:r>
        <w:rPr>
          <w:rFonts w:ascii="Times New Roman" w:hAnsi="Times New Roman"/>
          <w:b/>
          <w:sz w:val="24"/>
        </w:rPr>
        <w:t>CONCLUSION</w:t>
      </w:r>
    </w:p>
    <w:p>
      <w:pPr>
        <w:spacing w:before="200" w:after="80"/>
      </w:pPr>
      <w:r>
        <w:rPr>
          <w:rFonts w:ascii="Times New Roman" w:hAnsi="Times New Roman"/>
          <w:b/>
          <w:i/>
          <w:sz w:val="22"/>
        </w:rPr>
        <w:t>Theoretical and Practical Contributions</w:t>
      </w:r>
    </w:p>
    <w:p>
      <w:pPr>
        <w:spacing w:line="240" w:lineRule="auto" w:after="120"/>
      </w:pPr>
      <w:r/>
      <w:r>
        <w:rPr>
          <w:rFonts w:ascii="Times New Roman" w:hAnsi="Times New Roman"/>
          <w:b/>
          <w:sz w:val="24"/>
        </w:rPr>
        <w:t>6.1 Theoretical Contributions</w:t>
        <w:br/>
        <w:t xml:space="preserve">1. </w:t>
      </w:r>
      <w:r>
        <w:rPr>
          <w:rFonts w:ascii="Times New Roman" w:hAnsi="Times New Roman"/>
          <w:b/>
          <w:sz w:val="24"/>
        </w:rPr>
        <w:t>Extension of Marketing 6.0 into Public Administration:</w:t>
      </w:r>
      <w:r>
        <w:rPr>
          <w:rFonts w:ascii="Times New Roman" w:hAnsi="Times New Roman"/>
          <w:b/>
          <w:sz w:val="24"/>
        </w:rPr>
        <w:t xml:space="preserve"> This study demonstrates that the </w:t>
      </w:r>
      <w:r>
        <w:rPr>
          <w:rFonts w:ascii="Times New Roman" w:hAnsi="Times New Roman"/>
          <w:b/>
          <w:i/>
          <w:sz w:val="24"/>
        </w:rPr>
        <w:t>Phygital Gap</w:t>
      </w:r>
      <w:r>
        <w:rPr>
          <w:rFonts w:ascii="Times New Roman" w:hAnsi="Times New Roman"/>
          <w:b/>
          <w:sz w:val="24"/>
        </w:rPr>
        <w:t xml:space="preserve"> is a rigorous, quantifiable construct for evaluating state policy crises, bridging marketing theory with public administration.</w:t>
        <w:br/>
        <w:t xml:space="preserve">2. </w:t>
      </w:r>
      <w:r>
        <w:rPr>
          <w:rFonts w:ascii="Times New Roman" w:hAnsi="Times New Roman"/>
          <w:b/>
          <w:sz w:val="24"/>
        </w:rPr>
        <w:t>Tri-Layer CSS Methodological Synthesis:</w:t>
      </w:r>
      <w:r>
        <w:rPr>
          <w:rFonts w:ascii="Times New Roman" w:hAnsi="Times New Roman"/>
          <w:b/>
          <w:sz w:val="24"/>
        </w:rPr>
        <w:t xml:space="preserve"> By synchronizing transformer deep learning (IndoBERT), pragmatics-informed sarcasm detection, and topological SNA, this research presents an integrative blueprint for computational communication science that avoids the reductionism of isolated text or network studies.</w:t>
        <w:br/>
        <w:t xml:space="preserve">3. </w:t>
      </w:r>
      <w:r>
        <w:rPr>
          <w:rFonts w:ascii="Times New Roman" w:hAnsi="Times New Roman"/>
          <w:b/>
          <w:sz w:val="24"/>
        </w:rPr>
        <w:t>Conceptualization of the Algorithmic Oracle:</w:t>
      </w:r>
      <w:r>
        <w:rPr>
          <w:rFonts w:ascii="Times New Roman" w:hAnsi="Times New Roman"/>
          <w:b/>
          <w:sz w:val="24"/>
        </w:rPr>
        <w:t xml:space="preserve"> We provide the first empirical documentation of an AI agent functioning as a central communicative authority in an Indonesian public policy crisis network, redefining theories of networked gatekeeping.</w:t>
      </w:r>
    </w:p>
    <w:p>
      <w:pPr>
        <w:spacing w:line="240" w:lineRule="auto" w:after="120"/>
      </w:pPr>
      <w:r/>
      <w:r>
        <w:rPr>
          <w:rFonts w:ascii="Times New Roman" w:hAnsi="Times New Roman"/>
          <w:b/>
          <w:sz w:val="24"/>
        </w:rPr>
        <w:t>6.2 Practical Policy and PR Implications</w:t>
        <w:br/>
        <w:t xml:space="preserve">1. </w:t>
      </w:r>
      <w:r>
        <w:rPr>
          <w:rFonts w:ascii="Times New Roman" w:hAnsi="Times New Roman"/>
          <w:b/>
          <w:sz w:val="24"/>
        </w:rPr>
        <w:t>Closing the Physical Touchpoint:</w:t>
      </w:r>
      <w:r>
        <w:rPr>
          <w:rFonts w:ascii="Times New Roman" w:hAnsi="Times New Roman"/>
          <w:b/>
          <w:sz w:val="24"/>
        </w:rPr>
        <w:t xml:space="preserve"> Public sector communication teams cannot cure an operational crisis with digital spin. PR resources must be directed toward auditing ground-level operational logistics before launching promotional digital campaigns.</w:t>
        <w:br/>
        <w:t xml:space="preserve">2. </w:t>
      </w:r>
      <w:r>
        <w:rPr>
          <w:rFonts w:ascii="Times New Roman" w:hAnsi="Times New Roman"/>
          <w:b/>
          <w:sz w:val="24"/>
        </w:rPr>
        <w:t>Eliminating the Power Vacuum:</w:t>
      </w:r>
      <w:r>
        <w:rPr>
          <w:rFonts w:ascii="Times New Roman" w:hAnsi="Times New Roman"/>
          <w:b/>
          <w:sz w:val="24"/>
        </w:rPr>
        <w:t xml:space="preserve"> Institutional communicators must abandon one-way broadcast practices. Establishing responsive, interactive social listening units capable of engaging with citizen inquiries is essential to raise network reciprocity and restore institutional trust.</w:t>
        <w:br/>
        <w:t xml:space="preserve">3. </w:t>
      </w:r>
      <w:r>
        <w:rPr>
          <w:rFonts w:ascii="Times New Roman" w:hAnsi="Times New Roman"/>
          <w:b/>
          <w:sz w:val="24"/>
        </w:rPr>
        <w:t>Deprecating Binary Sentiment Tools:</w:t>
      </w:r>
      <w:r>
        <w:rPr>
          <w:rFonts w:ascii="Times New Roman" w:hAnsi="Times New Roman"/>
          <w:b/>
          <w:sz w:val="24"/>
        </w:rPr>
        <w:t xml:space="preserve"> Government monitoring dashboards must replace obsolete positive/negative lexicon tools with contextual transformer models capable of decoding sarcasm and granular disgust.</w:t>
      </w:r>
    </w:p>
    <w:p>
      <w:pPr>
        <w:spacing w:line="240" w:lineRule="auto" w:after="120"/>
      </w:pPr>
      <w:r>
        <w:rPr>
          <w:rFonts w:ascii="Times New Roman" w:hAnsi="Times New Roman"/>
          <w:sz w:val="24"/>
        </w:rPr>
        <w:t>---</w:t>
      </w:r>
    </w:p>
    <w:p>
      <w:pPr>
        <w:spacing w:before="200" w:after="80"/>
      </w:pPr>
      <w:r>
        <w:rPr>
          <w:rFonts w:ascii="Times New Roman" w:hAnsi="Times New Roman"/>
          <w:b/>
          <w:i/>
          <w:sz w:val="22"/>
        </w:rPr>
        <w:t>Research Limitations and Future Research Agenda</w:t>
      </w:r>
    </w:p>
    <w:p>
      <w:pPr>
        <w:spacing w:line="240" w:lineRule="auto" w:after="120"/>
      </w:pPr>
      <w:r/>
      <w:r>
        <w:rPr>
          <w:rFonts w:ascii="Times New Roman" w:hAnsi="Times New Roman"/>
          <w:sz w:val="22"/>
        </w:rPr>
        <w:t>In compliance with academic rigor, this study identifies five methodological boundaries:</w:t>
        <w:br/>
        <w:t>1. Demographic Platform Bias: Data is derived solely from Platform X, which disproportionately represents urban, educated, and politically active demographics; findings cannot be generalized to the entire offline Indonesian populace.</w:t>
        <w:br/>
        <w:t>2. Class Imbalance in Granular Modeling: Natural class imbalance in crisis data resulted in low Macro F1 scores for minority emotion classes (Fear, Sadness, Joy), despite high Recall on the dominant Disgust class ($96.92\%$).</w:t>
        <w:br/>
        <w:t>3. Lexical Aspect Extraction: Aspect extraction in ABSA utilized curated domain lexicons rather than an end-to-end supervised dependency parser.</w:t>
        <w:br/>
        <w:t>4. Cross-Platform Omission: Visual and video-based platforms (TikTok, Instagram) where the physical food was visually documented were not included in this computational pipeline.</w:t>
        <w:br/>
        <w:t>5. Temporal Horizon: The study captures the initial rollout phase (January–March 2026); long-term longitudinal shifts in network topology remain unobserved.</w:t>
      </w:r>
    </w:p>
    <w:p>
      <w:pPr>
        <w:spacing w:line="240" w:lineRule="auto" w:after="120"/>
      </w:pPr>
      <w:r>
        <w:rPr>
          <w:rFonts w:ascii="Times New Roman" w:hAnsi="Times New Roman"/>
          <w:sz w:val="24"/>
        </w:rPr>
        <w:t>---</w:t>
      </w:r>
    </w:p>
    <w:p>
      <w:pPr>
        <w:spacing w:before="200" w:after="80"/>
      </w:pPr>
      <w:r>
        <w:rPr>
          <w:rFonts w:ascii="Times New Roman" w:hAnsi="Times New Roman"/>
          <w:b/>
          <w:i/>
          <w:sz w:val="22"/>
        </w:rPr>
        <w:t>Concluding Remarks</w:t>
      </w:r>
    </w:p>
    <w:p>
      <w:pPr>
        <w:spacing w:line="240" w:lineRule="auto" w:after="120"/>
      </w:pPr>
      <w:r/>
      <w:r>
        <w:rPr>
          <w:rFonts w:ascii="Times New Roman" w:hAnsi="Times New Roman"/>
          <w:sz w:val="22"/>
        </w:rPr>
        <w:t>This study mapped the digital crisis of Indonesia's Free Nutritious Meal (MBG) program through an integrated tri-layer computational communication architecture. The empirical findings validate that public resistance was fundamentally driven by a Phygital Gap—an irreconcilable discrepancy between the state's polished digital narrative and the substandard physical reality of food delivery. IndoBERT modeling revealed an overwhelming predominance of Disgust (56.24%), while sarcasm detection identified sophisticated linguistic pretense weaponizing incongruous emojis against automated surveillance. Topologically, discourse was paralyzed by near-zero reciprocity ($1.21\%$) and severe hyper-fragmentation ($Q = 0.9837$) across 332 isolated clusters. In the face of an institutional Power Vacuum, an artificial intelligence bot (@grok) emerged as an Algorithmic Oracle, signaling a historic evolution in digital communication where algorithms adjudicate policy truths when physical delivery fails.</w:t>
      </w:r>
    </w:p>
    <w:p>
      <w:pPr>
        <w:spacing w:line="240" w:lineRule="auto" w:after="120"/>
      </w:pPr>
      <w:r>
        <w:rPr>
          <w:rFonts w:ascii="Times New Roman" w:hAnsi="Times New Roman"/>
          <w:sz w:val="24"/>
        </w:rPr>
        <w:t>---</w:t>
      </w:r>
    </w:p>
    <w:p>
      <w:pPr>
        <w:spacing w:before="280" w:after="120"/>
      </w:pPr>
      <w:r>
        <w:rPr>
          <w:rFonts w:ascii="Times New Roman" w:hAnsi="Times New Roman"/>
          <w:b/>
          <w:sz w:val="24"/>
        </w:rPr>
        <w:t>ACKNOWLEDGMENTS</w:t>
      </w:r>
    </w:p>
    <w:p>
      <w:pPr>
        <w:spacing w:line="240" w:lineRule="auto" w:after="120"/>
      </w:pPr>
      <w:r>
        <w:rPr>
          <w:rFonts w:ascii="Times New Roman" w:hAnsi="Times New Roman"/>
          <w:sz w:val="24"/>
        </w:rPr>
        <w:t>The authors express sincere gratitude to the Master of Communication Science Program, Faculty of Social and Political Sciences, Universitas Pembangunan Nasional 'Veteran' Jawa Timur for providing academic and institutional research facilities.</w:t>
      </w:r>
    </w:p>
    <w:p>
      <w:pPr>
        <w:spacing w:before="280" w:after="120"/>
      </w:pPr>
      <w:r>
        <w:rPr>
          <w:rFonts w:ascii="Times New Roman" w:hAnsi="Times New Roman"/>
          <w:b/>
          <w:sz w:val="24"/>
        </w:rPr>
        <w:t>REFERENCES</w:t>
      </w:r>
    </w:p>
    <w:p>
      <w:pPr>
        <w:spacing w:line="240" w:lineRule="auto" w:after="80"/>
        <w:ind w:left="576" w:hanging="576"/>
      </w:pPr>
      <w:r>
        <w:rPr>
          <w:rFonts w:ascii="Times New Roman" w:hAnsi="Times New Roman"/>
          <w:sz w:val="20"/>
        </w:rPr>
        <w:t>Blondel, V. D., Guillaume, J.-L., Lambiotte, R., &amp; Lefebvre, E. (2008). Fast unfolding of communities in large networks. Journal of Statistical Mechanics: Theory and Experiment, 2008(10), P10008. https://doi.org/10.1088/1742-5468/2008/10/P10008</w:t>
      </w:r>
    </w:p>
    <w:p>
      <w:pPr>
        <w:spacing w:line="240" w:lineRule="auto" w:after="80"/>
        <w:ind w:left="576" w:hanging="576"/>
      </w:pPr>
      <w:r>
        <w:rPr>
          <w:rFonts w:ascii="Times New Roman" w:hAnsi="Times New Roman"/>
          <w:sz w:val="20"/>
        </w:rPr>
        <w:t>Boyd, D., &amp; Crawford, K. (2012). Critical questions for big data: Provocations for a cultural, technological, and scholarly phenomenon. Information, Communication &amp; Society, 15(5), 662–679. https://doi.org/10.1080/1369118X.2012.678878</w:t>
      </w:r>
    </w:p>
    <w:p>
      <w:pPr>
        <w:spacing w:line="240" w:lineRule="auto" w:after="80"/>
        <w:ind w:left="576" w:hanging="576"/>
      </w:pPr>
      <w:r>
        <w:rPr>
          <w:rFonts w:ascii="Times New Roman" w:hAnsi="Times New Roman"/>
          <w:sz w:val="20"/>
        </w:rPr>
        <w:t>Camp, E. (2012). Sarcasm, pretense, and the semantics/pragmatics distinction. Noûs, 46(4), 587–634. https://doi.org/10.1111/j.1468-0068.2010.00822.x</w:t>
      </w:r>
    </w:p>
    <w:p>
      <w:pPr>
        <w:spacing w:line="240" w:lineRule="auto" w:after="80"/>
        <w:ind w:left="576" w:hanging="576"/>
      </w:pPr>
      <w:r>
        <w:rPr>
          <w:rFonts w:ascii="Times New Roman" w:hAnsi="Times New Roman"/>
          <w:sz w:val="20"/>
        </w:rPr>
        <w:t>Chiorrini, A., Diamantini, C., Mircoli, A., &amp; Potena, D. (2021). Emotion and sentiment analysis of tweets using BERT. CEUR Workshop Proceedings, 2841, 1–10.</w:t>
      </w:r>
    </w:p>
    <w:p>
      <w:pPr>
        <w:spacing w:line="240" w:lineRule="auto" w:after="80"/>
        <w:ind w:left="576" w:hanging="576"/>
      </w:pPr>
      <w:r>
        <w:rPr>
          <w:rFonts w:ascii="Times New Roman" w:hAnsi="Times New Roman"/>
          <w:sz w:val="20"/>
        </w:rPr>
        <w:t>Clark, H. H., &amp; Gerrig, R. J. (1984). On the pretense theory of irony. Journal of Experimental Psychology: General, 113(1), 121–126. https://doi.org/10.1037/0096-3445.113.1.121</w:t>
      </w:r>
    </w:p>
    <w:p>
      <w:pPr>
        <w:spacing w:line="240" w:lineRule="auto" w:after="80"/>
        <w:ind w:left="576" w:hanging="576"/>
      </w:pPr>
      <w:r>
        <w:rPr>
          <w:rFonts w:ascii="Times New Roman" w:hAnsi="Times New Roman"/>
          <w:sz w:val="20"/>
        </w:rPr>
        <w:t>Coombs, W. T. (2007). Protecting organization reputations during a crisis: The development and application of situational crisis communication theory. Corporate Reputation Review, 10(3), 163–176. https://doi.org/10.1057/palgrave.crr.1550049</w:t>
      </w:r>
    </w:p>
    <w:p>
      <w:pPr>
        <w:spacing w:line="240" w:lineRule="auto" w:after="80"/>
        <w:ind w:left="576" w:hanging="576"/>
      </w:pPr>
      <w:r>
        <w:rPr>
          <w:rFonts w:ascii="Times New Roman" w:hAnsi="Times New Roman"/>
          <w:sz w:val="20"/>
        </w:rPr>
        <w:t>Devlin, J., Chang, M.-W., Lee, K., &amp; Toutanova, K. (2018). BERT: Pre-training of deep bidirectional transformers for language understanding. arXiv Preprint arXiv:1810.04805.</w:t>
      </w:r>
    </w:p>
    <w:p>
      <w:pPr>
        <w:spacing w:line="240" w:lineRule="auto" w:after="80"/>
        <w:ind w:left="576" w:hanging="576"/>
      </w:pPr>
      <w:r>
        <w:rPr>
          <w:rFonts w:ascii="Times New Roman" w:hAnsi="Times New Roman"/>
          <w:sz w:val="20"/>
        </w:rPr>
        <w:t>Freeman, L. C. (1979). Centrality in social networks: Conceptual clarification. Social Networks, 1(3), 215–239. https://doi.org/10.1016/0378-8733(78)90021-7</w:t>
      </w:r>
    </w:p>
    <w:p>
      <w:pPr>
        <w:spacing w:line="240" w:lineRule="auto" w:after="80"/>
        <w:ind w:left="576" w:hanging="576"/>
      </w:pPr>
      <w:r>
        <w:rPr>
          <w:rFonts w:ascii="Times New Roman" w:hAnsi="Times New Roman"/>
          <w:sz w:val="20"/>
        </w:rPr>
        <w:t>Grice, H. P. (1975). Logic and conversation. In P. Cole &amp; J. L. Morgan (Eds.), Syntax and Semantics: Speech Acts (Vol. 3, pp. 41–58). Academic Press.</w:t>
      </w:r>
    </w:p>
    <w:p>
      <w:pPr>
        <w:spacing w:line="240" w:lineRule="auto" w:after="80"/>
        <w:ind w:left="576" w:hanging="576"/>
      </w:pPr>
      <w:r>
        <w:rPr>
          <w:rFonts w:ascii="Times New Roman" w:hAnsi="Times New Roman"/>
          <w:sz w:val="20"/>
        </w:rPr>
        <w:t>Habermas, J. (1989). The structural transformation of the public sphere: An inquiry into a category of bourgeois society. MIT Press.</w:t>
      </w:r>
    </w:p>
    <w:p>
      <w:pPr>
        <w:spacing w:line="240" w:lineRule="auto" w:after="80"/>
        <w:ind w:left="576" w:hanging="576"/>
      </w:pPr>
      <w:r>
        <w:rPr>
          <w:rFonts w:ascii="Times New Roman" w:hAnsi="Times New Roman"/>
          <w:sz w:val="20"/>
        </w:rPr>
        <w:t>Habermas, J. (2006). Political communication in media society: Does democracy still enjoy an epistemic dimension? Communication Theory, 16(4), 411–426. https://doi.org/10.1111/j.1468-2885.2006.00280.x</w:t>
      </w:r>
    </w:p>
    <w:p>
      <w:pPr>
        <w:spacing w:line="240" w:lineRule="auto" w:after="80"/>
        <w:ind w:left="576" w:hanging="576"/>
      </w:pPr>
      <w:r>
        <w:rPr>
          <w:rFonts w:ascii="Times New Roman" w:hAnsi="Times New Roman"/>
          <w:sz w:val="20"/>
        </w:rPr>
        <w:t>Kotler, P., Kartajaya, H., &amp; Setiawan, I. (2023). Marketing 6.0: The future is immersive. John Wiley &amp; Sons.</w:t>
      </w:r>
    </w:p>
    <w:p>
      <w:pPr>
        <w:spacing w:line="240" w:lineRule="auto" w:after="80"/>
        <w:ind w:left="576" w:hanging="576"/>
      </w:pPr>
      <w:r>
        <w:rPr>
          <w:rFonts w:ascii="Times New Roman" w:hAnsi="Times New Roman"/>
          <w:sz w:val="20"/>
        </w:rPr>
        <w:t>Koto, F., Rahimi, A., Lau, J. H., &amp; Baldwin, T. (2020). IndoLEM and IndoBERT: A benchmark dataset and pre-trained language model for Indonesian NLP. Proceedings of COLING 2020, 757–770.</w:t>
      </w:r>
    </w:p>
    <w:p>
      <w:pPr>
        <w:spacing w:line="240" w:lineRule="auto" w:after="80"/>
        <w:ind w:left="576" w:hanging="576"/>
      </w:pPr>
      <w:r>
        <w:rPr>
          <w:rFonts w:ascii="Times New Roman" w:hAnsi="Times New Roman"/>
          <w:sz w:val="20"/>
        </w:rPr>
        <w:t>Mediator Editorial Team. (2026). Public sentiment toward Indonesia’s Free Nutritious Meal program on X: A systematic review. Mediator: Jurnal Komunikasi, 17(1), 1–14.</w:t>
      </w:r>
    </w:p>
    <w:p>
      <w:pPr>
        <w:spacing w:line="240" w:lineRule="auto" w:after="80"/>
        <w:ind w:left="576" w:hanging="576"/>
      </w:pPr>
      <w:r>
        <w:rPr>
          <w:rFonts w:ascii="Times New Roman" w:hAnsi="Times New Roman"/>
          <w:sz w:val="20"/>
        </w:rPr>
        <w:t>Newman, M. E. J. (2006). Modularity and community structure in networks. Proceedings of the National Academy of Sciences, 103(23), 8577–8582. https://doi.org/10.1073/pnas.0601602103</w:t>
      </w:r>
    </w:p>
    <w:p>
      <w:pPr>
        <w:spacing w:line="240" w:lineRule="auto" w:after="80"/>
        <w:ind w:left="576" w:hanging="576"/>
      </w:pPr>
      <w:r>
        <w:rPr>
          <w:rFonts w:ascii="Times New Roman" w:hAnsi="Times New Roman"/>
          <w:sz w:val="20"/>
        </w:rPr>
        <w:t>Papacharissi, Z. (2015). Affective publics: Sentiment, technology, and politics. Oxford University Press.</w:t>
      </w:r>
    </w:p>
    <w:p>
      <w:pPr>
        <w:spacing w:line="240" w:lineRule="auto" w:after="80"/>
        <w:ind w:left="576" w:hanging="576"/>
      </w:pPr>
      <w:r>
        <w:rPr>
          <w:rFonts w:ascii="Times New Roman" w:hAnsi="Times New Roman"/>
          <w:sz w:val="20"/>
        </w:rPr>
        <w:t>Pariser, E. (2011). The filter bubble: What the internet is hiding from you. Penguin Press.</w:t>
      </w:r>
    </w:p>
    <w:p>
      <w:pPr>
        <w:spacing w:line="240" w:lineRule="auto" w:after="80"/>
        <w:ind w:left="576" w:hanging="576"/>
      </w:pPr>
      <w:r>
        <w:rPr>
          <w:rFonts w:ascii="Times New Roman" w:hAnsi="Times New Roman"/>
          <w:sz w:val="20"/>
        </w:rPr>
        <w:t>Plutchik, R. (1980). A general psychoevolutionary theory of emotion. In Theories of Emotion (pp. 3–33). Academic Press.</w:t>
      </w:r>
    </w:p>
    <w:p>
      <w:pPr>
        <w:spacing w:line="240" w:lineRule="auto" w:after="80"/>
        <w:ind w:left="576" w:hanging="576"/>
      </w:pPr>
      <w:r>
        <w:rPr>
          <w:rFonts w:ascii="Times New Roman" w:hAnsi="Times New Roman"/>
          <w:sz w:val="20"/>
        </w:rPr>
        <w:t>Riza, A., &amp; Charibaldi, N. (2021). Implementasi deteksi emosi pada teks bahasa Indonesia menggunakan FastText dan LSTM. Jurnal RESTI, 5(2), 241–248. https://doi.org/10.29207/resti.v5i2.2896</w:t>
      </w:r>
    </w:p>
    <w:p>
      <w:pPr>
        <w:spacing w:line="240" w:lineRule="auto" w:after="80"/>
        <w:ind w:left="576" w:hanging="576"/>
      </w:pPr>
      <w:r>
        <w:rPr>
          <w:rFonts w:ascii="Times New Roman" w:hAnsi="Times New Roman"/>
          <w:sz w:val="20"/>
        </w:rPr>
        <w:t>Saputri, M. S., Mahendra, R., &amp; Adriani, M. (2018). Emotion classification on Indonesian Twitter dataset. 2018 International Conference on Asian Language Processing (IALP), 90–95. https://doi.org/10.1109/IALP.2018.8629145</w:t>
      </w:r>
    </w:p>
    <w:p>
      <w:pPr>
        <w:spacing w:line="240" w:lineRule="auto" w:after="80"/>
        <w:ind w:left="576" w:hanging="576"/>
      </w:pPr>
      <w:r>
        <w:rPr>
          <w:rFonts w:ascii="Times New Roman" w:hAnsi="Times New Roman"/>
          <w:sz w:val="20"/>
        </w:rPr>
        <w:t>Schultz, F., Utz, S., &amp; Göritz, A. (2011). Is the medium the message? Perceptions of and reactions to crisis communication via Twitter, blogs and traditional media. Public Relations Review, 37(1), 20–27. https://doi.org/10.1016/j.pubrev.2010.12.001</w:t>
      </w:r>
    </w:p>
    <w:p>
      <w:pPr>
        <w:spacing w:line="240" w:lineRule="auto" w:after="80"/>
        <w:ind w:left="576" w:hanging="576"/>
      </w:pPr>
      <w:r>
        <w:rPr>
          <w:rFonts w:ascii="Times New Roman" w:hAnsi="Times New Roman"/>
          <w:sz w:val="20"/>
        </w:rPr>
        <w:t>Shaw, P., LaCasse, K., &amp; Champagne, C. (2025). Transfer learning for emotion classification in low-resource Indonesian social discourse. Social Network Analysis and Mining, 15(1), 42–58. https://doi.org/10.1007/s13278-024-01201-4</w:t>
      </w:r>
    </w:p>
    <w:p>
      <w:pPr>
        <w:spacing w:line="240" w:lineRule="auto" w:after="80"/>
        <w:ind w:left="576" w:hanging="576"/>
      </w:pPr>
      <w:r>
        <w:rPr>
          <w:rFonts w:ascii="Times New Roman" w:hAnsi="Times New Roman"/>
          <w:sz w:val="20"/>
        </w:rPr>
        <w:t>Suaib, A., &amp; Pratiwi, R. (2025). Social network analysis in the dissemination of MBG program information on social media X. Jurnal Studi Komunikasi, 9(1), 112–129.</w:t>
      </w:r>
    </w:p>
    <w:p>
      <w:pPr>
        <w:spacing w:line="240" w:lineRule="auto" w:after="80"/>
        <w:ind w:left="576" w:hanging="576"/>
      </w:pPr>
      <w:r>
        <w:rPr>
          <w:rFonts w:ascii="Times New Roman" w:hAnsi="Times New Roman"/>
          <w:sz w:val="20"/>
        </w:rPr>
        <w:t>Sulafasyah, L. (2026). Analisis jaringan komunikasi isu keracunan MBG di Twitter [Unpublished master's thesis]. Universitas Pembangunan Nasional 'Veteran' Jawa Timur.</w:t>
      </w:r>
    </w:p>
    <w:p>
      <w:pPr>
        <w:spacing w:line="240" w:lineRule="auto" w:after="80"/>
        <w:ind w:left="576" w:hanging="576"/>
      </w:pPr>
      <w:r>
        <w:rPr>
          <w:rFonts w:ascii="Times New Roman" w:hAnsi="Times New Roman"/>
          <w:sz w:val="20"/>
        </w:rPr>
        <w:t>Sunstein, C. R. (2017). #Republic: Divided democracy in the age of social media. Princeton University Press.</w:t>
      </w:r>
    </w:p>
    <w:p>
      <w:pPr>
        <w:spacing w:line="240" w:lineRule="auto" w:after="80"/>
        <w:ind w:left="576" w:hanging="576"/>
      </w:pPr>
      <w:r>
        <w:rPr>
          <w:rFonts w:ascii="Times New Roman" w:hAnsi="Times New Roman"/>
          <w:sz w:val="20"/>
        </w:rPr>
        <w:t>Wasserman, S., &amp; Faust, K. (1994). Social network analysis: Methods and applications. Cambridge University Press.</w:t>
      </w:r>
    </w:p>
    <w:p>
      <w:pPr>
        <w:spacing w:line="240" w:lineRule="auto" w:after="80"/>
        <w:ind w:left="576" w:hanging="576"/>
      </w:pPr>
      <w:r>
        <w:rPr>
          <w:rFonts w:ascii="Times New Roman" w:hAnsi="Times New Roman"/>
          <w:sz w:val="20"/>
        </w:rPr>
        <w:t>Wilie, B., Vincentio, K., Winata, G. I., Cahyawijaya, S., Li, X., Lim, Z. Y., Soleman, S., Mahendra, R., Fung, P., Bahar, S., &amp; Purwarianti, A. (2020). IndoNLU: Benchmark and resources for evaluating Indonesian natural language understanding. Proceedings of AACL-IJCNLP 2020, 843–860.</w:t>
      </w:r>
    </w:p>
    <w:sectPr w:rsidR="00FC693F" w:rsidRPr="0006063C" w:rsidSect="00034616">
      <w:pgSz w:w="11909" w:h="16834"/>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after="120"/>
    </w:pPr>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