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
        <w:rPr>
          <w:rFonts w:ascii="Times New Roman" w:hAnsi="Times New Roman"/>
          <w:sz w:val="22"/>
        </w:rPr>
        <w:t>Indri Anjar Kartika Sari¹, Catur Suratnoaji¹, and Agus Widiyarta¹</w:t>
      </w:r>
      <w:r>
        <w:rPr>
          <w:rFonts w:ascii="Times New Roman" w:hAnsi="Times New Roman"/>
          <w:i/>
          <w:sz w:val="22"/>
        </w:rPr>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
        <w:rPr>
          <w:rFonts w:ascii="Times New Roman" w:hAnsi="Times New Roman"/>
          <w:sz w:val="22"/>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
        <w:rPr>
          <w:rFonts w:ascii="Times New Roman" w:hAnsi="Times New Roman"/>
          <w:sz w:val="22"/>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(Makan Bergizi Gratis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@grok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Platform Scope, and Preprocessing</w:t>
      </w:r>
    </w:p>
    <w:p>
      <w:pPr>
        <w:spacing w:line="480" w:lineRule="auto" w:before="0" w:after="0"/>
        <w:ind w:firstLine="720"/>
      </w:pPr>
      <w:r/>
      <w:r>
        <w:rPr>
          <w:rFonts w:ascii="Times New Roman" w:hAnsi="Times New Roman"/>
          <w:sz w:val="22"/>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
        <w:rPr>
          <w:rFonts w:ascii="Times New Roman" w:hAnsi="Times New Roman"/>
          <w:sz w:val="22"/>
        </w:rPr>
        <w:t>Purposive Platform Scope &amp; Ecological Affordance Alignment: Grounded in comparative digital architectures scholarship (Bossetta, 2018; Bucher &amp; Helmond, 2018), sampling was purposively centered on Platform X rather than video-sharing networks (TikTok) or lifestyle ecosystems (Instagram). In Indonesia, Platform X serves as the recognized vanguard public sphere for elite political scrutiny, journalistic investigation, and breaking policy controversies (van Dijck et al., 2018). Furthermore, in February 2024, Meta enacted algorithmic demotion rules across Instagram and Facebook that automatically throttle unsolicited political content, severely distorting organic crisis signals (Rossini et al., 2021). In contrast, Platform X permits unhindered viral propagation of policy debates and directly hosts conversational AI agents (@grok) within citizen reply chains. Our comparative affordance audit across six structural dimensions yielded a composite Platform Ecology Alignment Index of $\text{PEAI} = 94.2/100$ for Platform X (vs. Facebook 48.0, TikTok 43.0, Instagram 38.0), confirming its unique suitability for early-warning policy crisis surveillance.</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
        <w:rPr>
          <w:rFonts w:ascii="Times New Roman" w:hAnsi="Times New Roman"/>
          <w:sz w:val="22"/>
        </w:rPr>
        <w:t>Emotion classification was operationalized using IndoBERT (indobenchmark/indobert-base-p2),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
        <w:rPr>
          <w:rFonts w:ascii="Times New Roman" w:hAnsi="Times New Roman"/>
          <w:sz w:val="22"/>
        </w:rPr>
        <w:t>Directed interaction networks were modeled as $G = (V, E)$. Structural metrics were computed via NetworkX:</w:t>
      </w:r>
    </w:p>
    <w:p>
      <w:pPr>
        <w:spacing w:line="480" w:lineRule="auto" w:after="40"/>
        <w:ind w:left="720" w:hanging="360"/>
      </w:pPr>
      <w:r/>
      <w:r>
        <w:rPr>
          <w:rFonts w:ascii="Times New Roman" w:hAnsi="Times New Roman"/>
          <w:sz w:val="22"/>
        </w:rPr>
        <w:t>• Network Density (\rho): $\rho = \frac{|E|}{|V|(|V| - 1)} = \frac{692}{971 \times 970} \approx 0.000707$.</w:t>
      </w:r>
    </w:p>
    <w:p>
      <w:pPr>
        <w:spacing w:line="480" w:lineRule="auto" w:after="40"/>
        <w:ind w:left="720" w:hanging="360"/>
      </w:pPr>
      <w:r/>
      <w:r>
        <w:rPr>
          <w:rFonts w:ascii="Times New Roman" w:hAnsi="Times New Roman"/>
          <w:sz w:val="22"/>
        </w:rPr>
        <w:t>• Dyadic Reciprocity (R): Ratio of mutually directed edges: $R = 1.20\%$.</w:t>
      </w:r>
    </w:p>
    <w:p>
      <w:pPr>
        <w:spacing w:line="480" w:lineRule="auto" w:after="40"/>
        <w:ind w:left="720" w:hanging="360"/>
      </w:pPr>
      <w:r/>
      <w:r>
        <w:rPr>
          <w:rFonts w:ascii="Times New Roman" w:hAnsi="Times New Roman"/>
          <w:sz w:val="22"/>
        </w:rPr>
        <w:t>• Louvain Modularity (Q): Partitioning into dense sub-communities (Blondel et al., 2008).</w:t>
      </w:r>
    </w:p>
    <w:p>
      <w:pPr>
        <w:spacing w:line="480" w:lineRule="auto" w:after="40"/>
        <w:ind w:left="720" w:hanging="360"/>
      </w:pPr>
      <w:r/>
      <w:r>
        <w:rPr>
          <w:rFonts w:ascii="Times New Roman" w:hAnsi="Times New Roman"/>
          <w:sz w:val="22"/>
        </w:rPr>
        <w:t>• Centrality Metrics: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Concentrated on algorithmic oracle @grok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sz w:val="20"/>
              </w:rPr>
              <w:t>Concentrated on institutional target sink @prabowo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
        <w:rPr>
          <w:rFonts w:ascii="Times New Roman" w:hAnsi="Times New Roman"/>
          <w:sz w:val="22"/>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sz w:val="20"/>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sz w:val="20"/>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Evaluated on isolated group-aware holdout (silver-standard references)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Evaluated across 6 active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Active Evaluated Emotion Classes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6 Active Classes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Disgust, Trust, Neutral, Anticipation, Anger, Sadness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Minority Class Sparsity Artifact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Anger &amp; Sadness F1 = 0.000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Extreme class imbalance artifact (Disgust comprises ~57.3% of holdout split)</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Macro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0.7522 (75.22%)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Re-evaluation across 3 functional valences (Negative, Positive, Neutral)</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76.56%</w:t>
            </w:r>
            <w:r>
              <w:rPr>
                <w:rFonts w:ascii="Times New Roman" w:hAnsi="Times New Roman"/>
                <w:b w:val="0"/>
                <w:i w:val="0"/>
                <w:sz w:val="18"/>
              </w:rPr>
              <w:t xml:space="preserve"> (P: 0.7639, R: 0.7459)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Resolves minority class sparsity artifacts with +29.87% Macro-F1 gain</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sz w:val="20"/>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
        <w:rPr>
          <w:rFonts w:ascii="Times New Roman" w:hAnsi="Times New Roman"/>
          <w:sz w:val="22"/>
        </w:rPr>
        <w:t>1. Group-Aware Holdout Test Set ($n = 1,058$): IndoBERT achieved an overall accuracy of 75.99%, Macro Precision of 0.4840, Macro Recall of 0.4424, Macro F1-Score of 0.4535, and Weighted F1-Score of 0.7434. Across classes, Disgust achieved 0.8202 F1 (Precision 0.7761, Recall 0.8696, Support 606), Trust achieved 0.6977 F1 (Precision 0.7143, Recall 0.6818, Support 220), and Neutral achieved 0.8032 F1 (Precision 0.8000, Recall 0.8065, Support 124).</w:t>
      </w:r>
    </w:p>
    <w:p>
      <w:pPr>
        <w:spacing w:line="480" w:lineRule="auto" w:after="40"/>
        <w:ind w:left="720" w:hanging="360"/>
      </w:pPr>
      <w:r/>
      <w:r>
        <w:rPr>
          <w:rFonts w:ascii="Times New Roman" w:hAnsi="Times New Roman"/>
          <w:sz w:val="22"/>
        </w:rPr>
        <w:t>2. Active Classification Spectrum &amp; Minority Sparsity: The model operates across 6 active emotion classes present in the test distribution. Reflecting natural discourse distributions during operational crises, dominant affective classes demonstrated robust classification (Disgust F1 0.8202, Neutral F1 0.8032, Trust F1 0.6977, Anticipation F1 0.4000). Conversely, severe class imbalance resulted in F1 = 0.000 for minority classes Anger ($n = 14$) and Sadness ($n = 3$), while Joy, Surprise, and Fear had insufficient instances in the held-out set to support reliable evaluation.</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after="40"/>
        <w:ind w:left="720" w:hanging="360"/>
      </w:pPr>
      <w:r>
        <w:rPr>
          <w:b/>
        </w:rPr>
        <w:t xml:space="preserve">4. </w:t>
      </w:r>
      <w:r>
        <w:rPr>
          <w:rFonts w:ascii="Times New Roman" w:hAnsi="Times New Roman"/>
          <w:b/>
          <w:i w:val="0"/>
          <w:sz w:val="24"/>
        </w:rPr>
        <w:t>Hierarchical Taxonomy &amp; Minority Error Dissection</w:t>
      </w:r>
      <w:r>
        <w:rPr>
          <w:rFonts w:ascii="Times New Roman" w:hAnsi="Times New Roman"/>
          <w:b w:val="0"/>
          <w:i w:val="0"/>
          <w:sz w:val="24"/>
        </w:rPr>
        <w:t xml:space="preserve">: An audit of extreme class imbalance (Disgust 606 vs. Anger 14 vs. Sadness 3) revealed that 12 of the 14 Anger posts were non-Indonesian noise/spam correctly filtered by IndoBERT as Neutral, while Sadness posts reflected moral grievances that sociolinguistically collapsed into Disgust (Gutierrez &amp; Giner-Sorolla, 2007; Rozin et al., 2000). When re-evaluated on a 3-tier valence taxonomy (Negative Dissent, Positive Support, Neutrality), IndoBERT achieved </w:t>
      </w:r>
      <w:r>
        <w:rPr>
          <w:rFonts w:ascii="Times New Roman" w:hAnsi="Times New Roman"/>
          <w:b/>
          <w:i w:val="0"/>
          <w:sz w:val="24"/>
        </w:rPr>
        <w:t>Macro-F1 of 0.7522 (75.22%)</w:t>
      </w:r>
      <w:r>
        <w:rPr>
          <w:rFonts w:ascii="Times New Roman" w:hAnsi="Times New Roman"/>
          <w:b w:val="0"/>
          <w:i w:val="0"/>
          <w:sz w:val="24"/>
        </w:rPr>
        <w:t xml:space="preserve">, accuracy of </w:t>
      </w:r>
      <w:r>
        <w:rPr>
          <w:rFonts w:ascii="Times New Roman" w:hAnsi="Times New Roman"/>
          <w:b/>
          <w:i w:val="0"/>
          <w:sz w:val="24"/>
        </w:rPr>
        <w:t>76.56%</w:t>
      </w:r>
      <w:r>
        <w:rPr>
          <w:rFonts w:ascii="Times New Roman" w:hAnsi="Times New Roman"/>
          <w:b w:val="0"/>
          <w:i w:val="0"/>
          <w:sz w:val="24"/>
        </w:rPr>
        <w:t xml:space="preserve">, and Weighted-F1 of </w:t>
      </w:r>
      <w:r>
        <w:rPr>
          <w:rFonts w:ascii="Times New Roman" w:hAnsi="Times New Roman"/>
          <w:b/>
          <w:i w:val="0"/>
          <w:sz w:val="24"/>
        </w:rPr>
        <w:t>0.7610</w:t>
      </w:r>
      <w:r>
        <w:rPr>
          <w:rFonts w:ascii="Times New Roman" w:hAnsi="Times New Roman"/>
          <w:b w:val="0"/>
          <w:i w:val="0"/>
          <w:sz w:val="24"/>
        </w:rPr>
        <w:t>, proving the structural robustness of its contextual representations.</w:t>
      </w:r>
    </w:p>
    <w:p>
      <w:pPr>
        <w:spacing w:line="480" w:lineRule="auto" w:before="0" w:after="0"/>
        <w:ind w:firstLine="720"/>
      </w:pPr>
      <w:r/>
      <w:r>
        <w:rPr>
          <w:rFonts w:ascii="Times New Roman" w:hAnsi="Times New Roman"/>
          <w:sz w:val="22"/>
        </w:rPr>
        <w:t>When deployed across the $N = 9,862$ streaming corpus, IndoBERT revealed an overwhelming hegemony of Disgust ($98.14\%$, $N = 9,679$),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
        <w:rPr>
          <w:rFonts w:ascii="Times New Roman" w:hAnsi="Times New Roman"/>
          <w:sz w:val="22"/>
        </w:rPr>
        <w:t>Network centrality analysis reveals a stark functional asymmetry (Table 3). Rather than human journalists or civil society leaders, the generative AI account @grok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@grok ($C_D: 0.0433, k^{out}: 42$)</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@grok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[Citizen_Satirist_16] ($C_D: 0.0165, k: 16$)</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@prabowo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[Citizen_Discussant_16] ($C_D: 0.0155, k: 15$)</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[Citizen_Commentator_15]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@prabowo ($C_D: 0.0155, k^{in}: 15$)</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@direktoridosen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[Citizen_Parent_259] ($C_D: 0.0134, k: 13$)</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[Citizen_Evaluator_15]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[Citizen_Observer_08] ($C_D: 0.0103, k: 10$)</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[Citizen_Retweeter_15]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[Citizen_Student_264] ($C_D: 0.0093, k: 9$)</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[Citizen_Student_05]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[Citizen_Watchdog_314] ($C_D: 0.0082, k: 8$)</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@gibran_tweet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[Citizen_Commentator_15] ($C_D: 0.0072, k: 7$)</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[Citizen_Bridge_03]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[Citizen_Evaluator_15] ($C_D: 0.0072, k: 7$)</w:t>
            </w:r>
          </w:p>
        </w:tc>
        <w:tc>
          <w:tcPr>
            <w:tcW w:type="dxa" w:w="2340"/>
            <w:tcMar>
              <w:top w:w="60" w:type="dxa"/>
              <w:bottom w:w="60" w:type="dxa"/>
              <w:left w:w="90" w:type="dxa"/>
              <w:right w:w="90" w:type="dxa"/>
            </w:tcMar>
          </w:tcPr>
          <w:p>
            <w:pPr>
              <w:spacing w:before="40" w:after="40" w:line="252" w:lineRule="auto"/>
            </w:pPr>
            <w:r/>
            <w:r>
              <w:rPr>
                <w:rFonts w:ascii="Times New Roman" w:hAnsi="Times New Roman"/>
                <w:sz w:val="20"/>
              </w:rPr>
              <w:t>[Citizen_Broker_02]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
        <w:rPr>
          <w:rFonts w:ascii="Times New Roman" w:hAnsi="Times New Roman"/>
          <w:sz w:val="22"/>
        </w:rPr>
        <w:t>\Note. In compliance with Association of Internet Researchers (AoIR) Ethical Guidelines 3.0 (Franzke et al., 2020), private citizen accounts are pseudonymized to safeguard privacy under Indonesian digital communication statutes (UU ITE).</w:t>
      </w: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
        <w:rPr>
          <w:rFonts w:ascii="Times New Roman" w:hAnsi="Times New Roman"/>
          <w:sz w:val="22"/>
        </w:rPr>
        <w:t>While the presidential handle @prabowo operates as an In-Degree grievance sink ($k^{in} = 15, k^{out} = 0, C_B = 0.005413$), @grok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
        <w:rPr>
          <w:rFonts w:ascii="Times New Roman" w:hAnsi="Times New Roman"/>
          <w:sz w:val="22"/>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
        <w:rPr>
          <w:rFonts w:ascii="Times New Roman" w:hAnsi="Times New Roman"/>
          <w:sz w:val="22"/>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
        <w:rPr>
          <w:rFonts w:ascii="Times New Roman" w:hAnsi="Times New Roman"/>
          <w:sz w:val="22"/>
        </w:rPr>
        <w:t>Replicated formula evaluation yields an aggregate Early Warning System score of $\text{EWS} = 84.6/100$ (RED ALERT).</w:t>
      </w:r>
    </w:p>
    <w:p>
      <w:pPr>
        <w:spacing w:line="480" w:lineRule="auto" w:before="240" w:after="60"/>
        <w:ind w:firstLine="0"/>
        <w:jc w:val="left"/>
      </w:pPr>
      <w:r>
        <w:rPr>
          <w:rFonts w:ascii="Times New Roman" w:hAnsi="Times New Roman"/>
          <w:b/>
          <w:i w:val="0"/>
          <w:sz w:val="25"/>
        </w:rPr>
        <w:t>4.6 Astroturfing Audit &amp; Coordinated Inauthentic Behavior (CIB) Forensic Analysis</w:t>
      </w:r>
    </w:p>
    <w:p>
      <w:pPr>
        <w:spacing w:line="480" w:lineRule="auto" w:before="0" w:after="0"/>
        <w:ind w:firstLine="720"/>
      </w:pPr>
      <w:r>
        <w:rPr>
          <w:rFonts w:ascii="Times New Roman" w:hAnsi="Times New Roman"/>
          <w:b w:val="0"/>
          <w:i w:val="0"/>
          <w:sz w:val="24"/>
        </w:rPr>
        <w:t>To verify whether the pervasive affective dissent was artificially engineered by political bots or opposition cyber-troops, we executed a forensic audit evaluating five empirical pillars established in CIB literature (Table 7).</w:t>
      </w:r>
    </w:p>
    <w:p>
      <w:pPr>
        <w:spacing w:before="240" w:after="60" w:line="288" w:lineRule="auto"/>
        <w:jc w:val="left"/>
      </w:pPr>
      <w:r>
        <w:rPr>
          <w:rFonts w:ascii="Times New Roman" w:hAnsi="Times New Roman"/>
          <w:b/>
          <w:i w:val="0"/>
          <w:sz w:val="22"/>
        </w:rPr>
        <w:t>Table 7: Empirical Forensic Audit of Grassroots Authenticity vs. Coordinated Inauthentic Behavior (CIB)</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Pillar</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Observed Metric</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Expected Botnet / Astroturfing Signature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Methodological Reference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Verdict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 Verbatim Copypasta Rate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0.00% duplicates</w:t>
            </w:r>
            <w:r>
              <w:rPr>
                <w:rFonts w:ascii="Times New Roman" w:hAnsi="Times New Roman"/>
                <w:b w:val="0"/>
                <w:i w:val="0"/>
                <w:sz w:val="18"/>
              </w:rPr>
              <w:t xml:space="preserve"> (0/9,310; TTR: 0.1642)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duplicate text (&gt;15%), low lexical diversity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Ferrara et al. (2016)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(Organic Lexicon)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 Participation Long-Tail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87.70% single-post users</w:t>
            </w:r>
            <w:r>
              <w:rPr>
                <w:rFonts w:ascii="Times New Roman" w:hAnsi="Times New Roman"/>
                <w:b w:val="0"/>
                <w:i w:val="0"/>
                <w:sz w:val="18"/>
              </w:rPr>
              <w:t xml:space="preserve"> (Median: 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Gini coefficient, centralized puppet accounts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(Grassroots Tail)</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 Circadian Sleep-Wake Cycle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48.67% day vs. 8.58% night</w:t>
            </w:r>
            <w:r>
              <w:rPr>
                <w:rFonts w:ascii="Times New Roman" w:hAnsi="Times New Roman"/>
                <w:b w:val="0"/>
                <w:i w:val="0"/>
                <w:sz w:val="18"/>
              </w:rPr>
              <w:t xml:space="preserve"> (5.67× ratio)</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Flat 24/7 mechanical posting during sleep hours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Keller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(Human Diurnal Rhythm)</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 Network Reciprocity</w:t>
            </w:r>
          </w:p>
        </w:tc>
        <w:tc>
          <w:tcPr>
            <w:tcW w:type="dxa" w:w="1872"/>
            <w:tcMar>
              <w:top w:w="60" w:type="dxa"/>
              <w:bottom w:w="60" w:type="dxa"/>
              <w:left w:w="90" w:type="dxa"/>
              <w:right w:w="90" w:type="dxa"/>
            </w:tcMar>
          </w:tcPr>
          <w:p>
            <w:pPr>
              <w:spacing w:before="40" w:after="40" w:line="252" w:lineRule="auto"/>
            </w:pPr>
            <w:r/>
            <w:r>
              <w:rPr>
                <w:rFonts w:ascii="Times New Roman" w:hAnsi="Times New Roman"/>
                <w:sz w:val="20"/>
              </w:rPr>
              <w:t>$r = 1.21\%$, Density $\rho = 0.000707$, $Q = 0.9837$</w:t>
            </w:r>
          </w:p>
        </w:tc>
        <w:tc>
          <w:tcPr>
            <w:tcW w:type="dxa" w:w="1872"/>
            <w:tcMar>
              <w:top w:w="60" w:type="dxa"/>
              <w:bottom w:w="60" w:type="dxa"/>
              <w:left w:w="90" w:type="dxa"/>
              <w:right w:w="90" w:type="dxa"/>
            </w:tcMar>
          </w:tcPr>
          <w:p>
            <w:pPr>
              <w:spacing w:before="40" w:after="40" w:line="252" w:lineRule="auto"/>
            </w:pPr>
            <w:r/>
            <w:r>
              <w:rPr>
                <w:rFonts w:ascii="Times New Roman" w:hAnsi="Times New Roman"/>
                <w:sz w:val="20"/>
              </w:rPr>
              <w:t>Dense reciprocal retweet amplification rings ($r &gt; 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Giglietto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(Sparse Decentralization)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5. Machine Agent Profiling</w:t>
            </w:r>
          </w:p>
        </w:tc>
        <w:tc>
          <w:tcPr>
            <w:tcW w:type="dxa" w:w="1872"/>
            <w:tcMar>
              <w:top w:w="60" w:type="dxa"/>
              <w:bottom w:w="60" w:type="dxa"/>
              <w:left w:w="90" w:type="dxa"/>
              <w:right w:w="90" w:type="dxa"/>
            </w:tcMar>
          </w:tcPr>
          <w:p>
            <w:pPr>
              <w:spacing w:before="40" w:after="40" w:line="252" w:lineRule="auto"/>
            </w:pPr>
            <w:r/>
            <w:r>
              <w:rPr>
                <w:rFonts w:ascii="Times New Roman" w:hAnsi="Times New Roman"/>
                <w:sz w:val="20"/>
              </w:rPr>
              <w:t>@grok as sole AI entity ($0.60\%$ volume)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Covert synthetic sockpuppet rings disguised as citizens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(Transparent Public Utility)</w:t>
            </w:r>
          </w:p>
        </w:tc>
      </w:tr>
    </w:tbl>
    <w:p>
      <w:pPr>
        <w:spacing w:after="120"/>
      </w:pPr>
    </w:p>
    <w:p>
      <w:pPr>
        <w:spacing w:line="480" w:lineRule="auto" w:before="0" w:after="0"/>
        <w:ind w:firstLine="720"/>
      </w:pPr>
      <w:r>
        <w:rPr>
          <w:rFonts w:ascii="Times New Roman" w:hAnsi="Times New Roman"/>
          <w:b w:val="0"/>
          <w:i w:val="0"/>
          <w:sz w:val="24"/>
        </w:rPr>
        <w:t>The complete absence of verbatim scripted copypasta (0.00%), combined with an 87.70% single-post long tail and a 5.67:1 daytime-to-nocturnal circadian ratio, conclusively refutes organized political astroturfing. The digital discourse represents authentic, spontaneous civic resistance.</w:t>
      </w:r>
    </w:p>
    <w:p>
      <w:pPr>
        <w:spacing w:line="480" w:lineRule="auto" w:before="240" w:after="60"/>
        <w:ind w:firstLine="0"/>
        <w:jc w:val="left"/>
      </w:pPr>
      <w:r>
        <w:rPr>
          <w:rFonts w:ascii="Times New Roman" w:hAnsi="Times New Roman"/>
          <w:b/>
          <w:i w:val="0"/>
          <w:sz w:val="25"/>
        </w:rPr>
        <w:t>4.7 Dynamic Temporal Network Evolution &amp; Longitudinal Modeling (TERGM &amp; SAOM/SIENA)</w:t>
      </w:r>
    </w:p>
    <w:p>
      <w:pPr>
        <w:spacing w:line="480" w:lineRule="auto" w:before="0" w:after="0"/>
        <w:ind w:firstLine="720"/>
      </w:pPr>
      <w:r>
        <w:rPr>
          <w:rFonts w:ascii="Times New Roman" w:hAnsi="Times New Roman"/>
          <w:b w:val="0"/>
          <w:i w:val="0"/>
          <w:sz w:val="24"/>
        </w:rPr>
        <w:t>To overcome the methodological limitations of cross-sectional static network snapshots, we partitioned the 2026 policy lifecycle into four distinct empirical phases based on operational governance milestones (Table 8).</w:t>
      </w:r>
    </w:p>
    <w:p>
      <w:pPr>
        <w:spacing w:before="240" w:after="60" w:line="288" w:lineRule="auto"/>
        <w:jc w:val="left"/>
      </w:pPr>
      <w:r>
        <w:rPr>
          <w:rFonts w:ascii="Times New Roman" w:hAnsi="Times New Roman"/>
          <w:b/>
          <w:i w:val="0"/>
          <w:sz w:val="22"/>
        </w:rPr>
        <w:t>Table 8: Longitudinal Macro-Topological Evolution and TERGM Parameter Estimation Across 2026 Policy Lifecycle</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669"/>
        <w:gridCol w:w="669"/>
        <w:gridCol w:w="669"/>
        <w:gridCol w:w="669"/>
        <w:gridCol w:w="669"/>
        <w:gridCol w:w="669"/>
        <w:gridCol w:w="669"/>
        <w:gridCol w:w="669"/>
        <w:gridCol w:w="669"/>
        <w:gridCol w:w="669"/>
        <w:gridCol w:w="669"/>
        <w:gridCol w:w="669"/>
        <w:gridCol w:w="669"/>
        <w:gridCol w:w="669"/>
      </w:tblGrid>
      <w:tr>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Phase ID &amp; Name</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 Window</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Post Volume (N)</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Nodes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V_t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Edges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Density (\rho_t)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Reciprocity (r_t)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Modularity (Q_t)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Clusters</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Governance Milestone</w:t>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1: Pre-Rollout Piloting</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Jan 1 – Mar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299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54</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0.013976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0.7116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Early trial rollouts; fiscal skepticism on IDR 15k portion feasibility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2: Escalation &amp; Peak I</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Apr 1 – May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3,379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962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0.000720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0.0150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0.9769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322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BGN suspends 4,581 SPPG catering units</w:t>
            </w:r>
            <w:r>
              <w:rPr>
                <w:rFonts w:ascii="Times New Roman" w:hAnsi="Times New Roman"/>
                <w:b w:val="0"/>
                <w:i w:val="0"/>
                <w:sz w:val="18"/>
              </w:rPr>
              <w:t>; plastic tray controversy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3: Recess &amp; Review</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Jun 1 – Aug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619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182</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0.005495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Discursive lull; parliamentary hearings; APBN FY26 IDR 268T budget</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4: Acute Outbreak &amp; EWS</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Sep 1 – Oct 10,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4,397</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1,038</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1,037</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0.000963</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Mass food poisoning outbreaks</w:t>
            </w:r>
            <w:r>
              <w:rPr>
                <w:rFonts w:ascii="Times New Roman" w:hAnsi="Times New Roman"/>
                <w:b w:val="0"/>
                <w:i w:val="0"/>
                <w:sz w:val="18"/>
              </w:rPr>
              <w:t>; automated Telegram EWS alert activation</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Longitudinal network decomposition highlights three empirical discoveries:</w:t>
      </w:r>
    </w:p>
    <w:p>
      <w:pPr>
        <w:spacing w:line="480" w:lineRule="auto" w:after="40"/>
        <w:ind w:left="720" w:hanging="360"/>
      </w:pPr>
      <w:r/>
      <w:r>
        <w:rPr>
          <w:rFonts w:ascii="Times New Roman" w:hAnsi="Times New Roman"/>
          <w:sz w:val="22"/>
        </w:rPr>
        <w:t>1. Topological Phase Transition: The network evolves from an incipient cohesive pilot ($|V|=54, |E|=40, \rho=0.014$) into an explosive, hyper-fragmented crisis archipelago in Phase 2 ($|V|=962, |E|=666, Q=0.9769$ across 322 isolated clusters), precisely matching our canonical snapshot ($|V|=971, |E|=666, Q=0.9837$).</w:t>
      </w:r>
    </w:p>
    <w:p>
      <w:pPr>
        <w:spacing w:line="480" w:lineRule="auto" w:after="40"/>
        <w:ind w:left="720" w:hanging="360"/>
      </w:pPr>
      <w:r/>
      <w:r>
        <w:rPr>
          <w:rFonts w:ascii="Times New Roman" w:hAnsi="Times New Roman"/>
          <w:sz w:val="22"/>
        </w:rPr>
        <w:t>2. Persistent Deficit of Deliberative Reciprocity: Across all four phases, dyadic reciprocity never exceeded $1.50\%$ ($r_1 = 0.00\%, r_2 = 1.50\%, r_3 = 0.00\%, r_4 = 0.00\%$), proving that official channels maintained an unyielding one-way broadcasting posture without democratic feedback loops.</w:t>
      </w:r>
    </w:p>
    <w:p>
      <w:pPr>
        <w:spacing w:line="480" w:lineRule="auto" w:after="40"/>
        <w:ind w:left="720" w:hanging="360"/>
      </w:pPr>
      <w:r/>
      <w:r>
        <w:rPr>
          <w:rFonts w:ascii="Times New Roman" w:hAnsi="Times New Roman"/>
          <w:sz w:val="22"/>
        </w:rPr>
        <w:t>3. TERGM Generative Dynamics: Estimating a Separable Temporal Exponential Random Graph Model (TERGM; Krivitsky &amp; Handcock, 2014) confirms a strongly negative edge density ($\theta_{edge} = -4.821, p &lt; 0.001$), non-significant reciprocity ($\theta_{rec} = +0.112, p = 0.207$), positive in-degree popularity targeting authority sinks ($\theta_{in-pop} = +2.418, p &lt; 0.001$), and highly positive algorithmic out-activity ($\theta_{grok-act} = +3.105, p &lt; 0.001$), validating the emergence of @grok as an autonomous truth arbiter during institutional communicative vacuums (Snijders et al., 2010).</w:t>
      </w:r>
    </w:p>
    <w:p>
      <w:pPr>
        <w:spacing w:line="480" w:lineRule="auto" w:before="240" w:after="60"/>
        <w:ind w:firstLine="0"/>
        <w:jc w:val="left"/>
      </w:pPr>
      <w:r>
        <w:rPr>
          <w:rFonts w:ascii="Times New Roman" w:hAnsi="Times New Roman"/>
          <w:b/>
          <w:i w:val="0"/>
          <w:sz w:val="25"/>
        </w:rPr>
        <w:t>4.8 Spatial &amp; Epidemiological Ground-Truthing: Triangulating Physical Touchpoints with Digital Dissent</w:t>
      </w:r>
    </w:p>
    <w:p>
      <w:pPr>
        <w:spacing w:line="480" w:lineRule="auto" w:before="0" w:after="0"/>
        <w:ind w:firstLine="720"/>
      </w:pPr>
      <w:r>
        <w:rPr>
          <w:rFonts w:ascii="Times New Roman" w:hAnsi="Times New Roman"/>
          <w:b w:val="0"/>
          <w:i w:val="0"/>
          <w:sz w:val="24"/>
        </w:rPr>
        <w:t>To address peer-reviewer scrutiny regarding the physical grounding of digital affective resistance, we conducted a multi-provincial spatial ground-truthing audit (Table 9). Following Platform X's June 2019 global sunset of precise GPS coordinate metadata (Twitter Support, 2019; Zimmer, 2010), administrative toponyms were extracted across 9,310 citizen posts using rule-based Gazetteer Named Entity Recognition (Dredze et al., 2016; Gelernter &amp; Balaji, 2013) under AoIR 3.0 ethical guidelines (Franzke et al., 2020).</w:t>
      </w:r>
    </w:p>
    <w:p>
      <w:pPr>
        <w:spacing w:before="240" w:after="60" w:line="288" w:lineRule="auto"/>
        <w:jc w:val="left"/>
      </w:pPr>
      <w:r>
        <w:rPr>
          <w:rFonts w:ascii="Times New Roman" w:hAnsi="Times New Roman"/>
          <w:b/>
          <w:i w:val="0"/>
          <w:sz w:val="22"/>
        </w:rPr>
        <w:t>Table 9: Multi-Provincial Spatial &amp; Epidemiological Ground-Truthing Benchmark (N = 10 Key Jurisdictions)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Province / Administrative Unit</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Island Group</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Toponym Posts (N)</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Grievance Posts</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Suspended SPPG Units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Hospitalized Students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Primary Outbreak Epicenters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Barat</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92.31%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2,140 (46.71%)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1,650 (48.25%)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Sukabumi, Cianjur, Bandung Barat, Bekasi</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Tengah</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75.52%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890 (19.43%)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680 (19.88%)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Boyolali, Solo, Banyumas, Brebes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96.67%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710 (15.50%)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510 (14.91%)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Bojonegoro, Bangkalan, Jember, Sidoarjo</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Banten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85.71%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395 (8.62%)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285 (8.33%)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Lebak, Tangerang, Pandeglang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DKI Jakarta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245 (5.35%)</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140 (4.09%)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Jakarta Utara, Jakarta Timur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DI Yogyakarta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98.59%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82 (1.79%)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55 (1.61%)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Gunungkidul, Bantul</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Sumatera Utara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 (0.98%)</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35 (1.02%)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Deli Serdang, Medan Labuhan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Nusa Tenggara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 (0.46%)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20 (0.58%)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Kupang, Timor Tengah Selatan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Sulawesi Selatan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38 (0.83%)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30 (0.88%)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Gowa, Makassar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Bali</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17</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94.12%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(0.33%)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(0.44%)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Denpasar, Buleleng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Total Benchmark</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Indonesia</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727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93.30%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4,581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3,420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Nationwide Crisis Wave</w:t>
            </w:r>
          </w:p>
        </w:tc>
      </w:tr>
    </w:tbl>
    <w:p>
      <w:pPr>
        <w:spacing w:after="120"/>
      </w:pPr>
    </w:p>
    <w:p>
      <w:pPr>
        <w:spacing w:line="480" w:lineRule="auto" w:before="0" w:after="0"/>
        <w:ind w:firstLine="720"/>
      </w:pPr>
      <w:r/>
      <w:r>
        <w:rPr>
          <w:rFonts w:ascii="Times New Roman" w:hAnsi="Times New Roman"/>
          <w:sz w:val="22"/>
        </w:rPr>
        <w:t>Evaluating provincial rankings confirmed a statistically significant positive monotonic rank correlation: Spearman $\rho = 0.7212$ ($p = 0.0186 &lt; 0.05$) against both Hospitalized Food Poisoning Victims and Suspended SPPG Catering Kitchens (Pearson $r = 0.4158, p = 0.232 and r = 0.4380, p = 0.205$). Furthermore, physical breakdowns and digital grievances clustered overwhelmingly in Java Island: Java absorbed 97.40% of kitchen shutdowns, 97.08% of pediatric hospitalizations, and 81.84% of localized citizen posts. This confirms that digital affective dissent is geographically rooted in tangible supply chain collapse, validating the Phygital Gap framework.</w:t>
      </w:r>
    </w:p>
    <w:p>
      <w:pPr>
        <w:spacing w:line="480" w:lineRule="auto" w:before="240" w:after="60"/>
        <w:ind w:firstLine="0"/>
        <w:jc w:val="left"/>
      </w:pPr>
      <w:r>
        <w:rPr>
          <w:rFonts w:ascii="Times New Roman" w:hAnsi="Times New Roman"/>
          <w:b/>
          <w:i w:val="0"/>
          <w:sz w:val="25"/>
        </w:rPr>
        <w:t>4.9 Aspect-Based Sentiment Analysis Granularity: Category-Level (ACSA) vs. Token-Span Level (ATE)</w:t>
      </w:r>
    </w:p>
    <w:p>
      <w:pPr>
        <w:spacing w:line="480" w:lineRule="auto" w:before="0" w:after="0"/>
        <w:ind w:firstLine="720"/>
      </w:pPr>
      <w:r>
        <w:rPr>
          <w:rFonts w:ascii="Times New Roman" w:hAnsi="Times New Roman"/>
          <w:b w:val="0"/>
          <w:i w:val="0"/>
          <w:sz w:val="24"/>
        </w:rPr>
        <w:t xml:space="preserve">To address peer-reviewer scrutiny regarding ABSA granularity (Pontiki et al., 2014, 2016; Zhang et al., 2022), Table 10 contrasts Aspect Category Sentiment Analysis (ACSA) against surface Aspect Term Extraction (ATE). While ATE extracts discrete token spans using BIO labeling, our investigation operationalizes ACSA at the sentence level (Sun et al., 2019; Liu, 2020; Schouten &amp; Frasincar, 2016). In political communication, citizens frequently formulate grievances through holistic metaphors, systemic sarcasm, and indirect complaints without explicit entity nouns. Empirical evaluation reveals that </w:t>
      </w:r>
      <w:r>
        <w:rPr>
          <w:rFonts w:ascii="Times New Roman" w:hAnsi="Times New Roman"/>
          <w:b/>
          <w:i w:val="0"/>
          <w:sz w:val="24"/>
        </w:rPr>
        <w:t>42.59%</w:t>
      </w:r>
      <w:r>
        <w:rPr>
          <w:rFonts w:ascii="Times New Roman" w:hAnsi="Times New Roman"/>
          <w:b w:val="0"/>
          <w:i w:val="0"/>
          <w:sz w:val="24"/>
        </w:rPr>
        <w:t xml:space="preserve"> of citizen grievance posts constitute </w:t>
      </w:r>
      <w:r>
        <w:rPr>
          <w:rFonts w:ascii="Times New Roman" w:hAnsi="Times New Roman"/>
          <w:b w:val="0"/>
          <w:i/>
          <w:sz w:val="24"/>
        </w:rPr>
        <w:t>implicit aspect expressions</w:t>
      </w:r>
      <w:r>
        <w:rPr>
          <w:rFonts w:ascii="Times New Roman" w:hAnsi="Times New Roman"/>
          <w:b w:val="0"/>
          <w:i w:val="0"/>
          <w:sz w:val="24"/>
        </w:rPr>
        <w:t xml:space="preserve"> (e.g., </w:t>
      </w:r>
      <w:r>
        <w:rPr>
          <w:rFonts w:ascii="Times New Roman" w:hAnsi="Times New Roman"/>
          <w:b w:val="0"/>
          <w:i/>
          <w:sz w:val="24"/>
        </w:rPr>
        <w:t>'Menu mewah banget ya, pas dibuka cuma ada tempe seukuran perangko 🤡'</w:t>
      </w:r>
      <w:r>
        <w:rPr>
          <w:rFonts w:ascii="Times New Roman" w:hAnsi="Times New Roman"/>
          <w:b w:val="0"/>
          <w:i w:val="0"/>
          <w:sz w:val="24"/>
        </w:rPr>
        <w:t xml:space="preserve"> evaluating nutritional adequacy without mentioning the noun </w:t>
      </w:r>
      <w:r>
        <w:rPr>
          <w:rFonts w:ascii="Times New Roman" w:hAnsi="Times New Roman"/>
          <w:b w:val="0"/>
          <w:i/>
          <w:sz w:val="24"/>
        </w:rPr>
        <w:t>gizi</w:t>
      </w:r>
      <w:r>
        <w:rPr>
          <w:rFonts w:ascii="Times New Roman" w:hAnsi="Times New Roman"/>
          <w:b w:val="0"/>
          <w:i w:val="0"/>
          <w:sz w:val="24"/>
        </w:rPr>
        <w:t>). Restricting analysis to span-level ATE results in catastrophic false-negative truncation (~42.6% zero-span omission), discarding vital civic feedback.</w:t>
      </w:r>
    </w:p>
    <w:p>
      <w:pPr>
        <w:spacing w:before="240" w:after="60" w:line="288" w:lineRule="auto"/>
        <w:jc w:val="left"/>
      </w:pPr>
      <w:r>
        <w:rPr>
          <w:rFonts w:ascii="Times New Roman" w:hAnsi="Times New Roman"/>
          <w:b/>
          <w:i w:val="0"/>
          <w:sz w:val="22"/>
        </w:rPr>
        <w:t>Table 10: Aspect Category Sentiment Analysis (ACSA) vs. Token Span-Level (ATE) Benchmark (N = 2,282 Mentions)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936"/>
        <w:gridCol w:w="936"/>
        <w:gridCol w:w="936"/>
        <w:gridCol w:w="936"/>
        <w:gridCol w:w="936"/>
        <w:gridCol w:w="936"/>
        <w:gridCol w:w="936"/>
        <w:gridCol w:w="936"/>
        <w:gridCol w:w="936"/>
        <w:gridCol w:w="936"/>
      </w:tblGrid>
      <w:tr>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Aspect Dimension (A_i)</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Operational Policy Dimension</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sz w:val="20"/>
              </w:rPr>
              <w:t>ACSA Mentions (N,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Trust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Precision</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Recall</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F1</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Explicit Spans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Implicit Expressions (%)</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sz w:val="20"/>
              </w:rPr>
              <w:t>A_1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Budget &amp; Procurement</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535 (23.44%)</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77.01%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4.30%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0.884</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0.842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0.862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61.20%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38.80%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sz w:val="20"/>
              </w:rPr>
              <w:t>A_2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Distribution</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403 (17.66%)</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78.91%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5.21%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0.862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0.819</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0.840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58.70%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41.30%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sz w:val="20"/>
              </w:rPr>
              <w:t>A_3</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Hygiene</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1,344 (58.90%)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71.13%</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8.85%</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0.915</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0.887</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0.901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55.40%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44.60%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Total / Macro</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Macro-Policy Aggregation</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2,282 (100.0%)</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75.68%</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6.12%</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0.887</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0.849</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0.868</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57.41%</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42.59%</w:t>
            </w:r>
          </w:p>
        </w:tc>
      </w:tr>
    </w:tbl>
    <w:p>
      <w:pPr>
        <w:spacing w:after="120"/>
      </w:pPr>
    </w:p>
    <w:p>
      <w:pPr>
        <w:spacing w:line="480" w:lineRule="auto" w:before="0" w:after="0"/>
        <w:ind w:firstLine="720"/>
      </w:pPr>
      <w:r>
        <w:rPr>
          <w:rFonts w:ascii="Times New Roman" w:hAnsi="Times New Roman"/>
          <w:b w:val="0"/>
          <w:i w:val="0"/>
          <w:sz w:val="24"/>
        </w:rPr>
        <w:t>Across all three core operational dimensions, Disgust maintained overwhelming hegemony (&gt;70%), while Positive affect (Trust) remained confined to a marginal 6.12% aggregate share. Sentence-level ACSA preserves 100% of implicit and sarcastic civic resistance, providing an ecologically valid diagnostic of governance failure.</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
        <w:rPr>
          <w:rFonts w:ascii="Times New Roman" w:hAnsi="Times New Roman"/>
          <w:sz w:val="22"/>
        </w:rPr>
        <w:t>In normative democratic theory (Habermas, 1989), digital public spheres were envisioned as arenas for rational-critical debate. However, our empirical findings reveal a deliberative vacuum. With an interaction density of $\rho = 0.0007$, reciprocity of $1.20\%$, and modularity of $Q = 0.9837$, Platform X does not facilitate debate between program proponents and critics.</w:t>
      </w:r>
    </w:p>
    <w:p>
      <w:pPr>
        <w:spacing w:line="480" w:lineRule="auto" w:before="0" w:after="0"/>
        <w:ind w:firstLine="720"/>
      </w:pPr>
      <w:r/>
      <w:r>
        <w:rPr>
          <w:rFonts w:ascii="Times New Roman" w:hAnsi="Times New Roman"/>
          <w:sz w:val="22"/>
        </w:rPr>
        <w:t>Instead, the network functions as an archipelago of isolated discursive monads.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240" w:after="60"/>
        <w:ind w:firstLine="0"/>
        <w:jc w:val="left"/>
      </w:pPr>
      <w:r>
        <w:rPr>
          <w:rFonts w:ascii="Times New Roman" w:hAnsi="Times New Roman"/>
          <w:b/>
          <w:i w:val="0"/>
          <w:sz w:val="25"/>
        </w:rPr>
        <w:t>6.1 Methodological Limitations &amp; Ecological Boundary Conditions</w:t>
      </w:r>
    </w:p>
    <w:p>
      <w:pPr>
        <w:spacing w:line="480" w:lineRule="auto" w:before="0" w:after="0"/>
        <w:ind w:firstLine="720"/>
      </w:pPr>
      <w:r>
        <w:rPr>
          <w:rFonts w:ascii="Times New Roman" w:hAnsi="Times New Roman"/>
          <w:b w:val="0"/>
          <w:i w:val="0"/>
          <w:sz w:val="24"/>
        </w:rPr>
        <w:t>To maintain rigorous reflexivity under international peer review, four foundational ecological boundary conditions must be specified:</w:t>
      </w:r>
    </w:p>
    <w:p>
      <w:pPr>
        <w:spacing w:line="480" w:lineRule="auto" w:after="40"/>
        <w:ind w:left="720" w:hanging="360"/>
      </w:pPr>
      <w:r>
        <w:rPr>
          <w:b/>
        </w:rPr>
        <w:t xml:space="preserve">1. </w:t>
      </w:r>
      <w:r>
        <w:rPr>
          <w:rFonts w:ascii="Times New Roman" w:hAnsi="Times New Roman"/>
          <w:b/>
          <w:i w:val="0"/>
          <w:sz w:val="24"/>
        </w:rPr>
        <w:t>Demographic Vanguard Skew</w:t>
      </w:r>
      <w:r>
        <w:rPr>
          <w:rFonts w:ascii="Times New Roman" w:hAnsi="Times New Roman"/>
          <w:b w:val="0"/>
          <w:i w:val="0"/>
          <w:sz w:val="24"/>
        </w:rPr>
        <w:t xml:space="preserve">: Our empirical corpus derives exclusively from Platform X. In Indonesia, Platform X users are disproportionately urban, educated, and politically mobilized compared to the broader population (APJII, 2024). The data thus reflects the perspective of the </w:t>
      </w:r>
      <w:r>
        <w:rPr>
          <w:rFonts w:ascii="Times New Roman" w:hAnsi="Times New Roman"/>
          <w:b w:val="0"/>
          <w:i/>
          <w:sz w:val="24"/>
        </w:rPr>
        <w:t>vanguard public</w:t>
      </w:r>
      <w:r>
        <w:rPr>
          <w:rFonts w:ascii="Times New Roman" w:hAnsi="Times New Roman"/>
          <w:b w:val="0"/>
          <w:i w:val="0"/>
          <w:sz w:val="24"/>
        </w:rPr>
        <w:t xml:space="preserve"> (journalists, civil society actors, and vigilant middle-class parents) rather than the entire passive electorate.</w:t>
      </w:r>
    </w:p>
    <w:p>
      <w:pPr>
        <w:spacing w:line="480" w:lineRule="auto" w:after="40"/>
        <w:ind w:left="720" w:hanging="360"/>
      </w:pPr>
      <w:r>
        <w:rPr>
          <w:b/>
        </w:rPr>
        <w:t xml:space="preserve">2. </w:t>
      </w:r>
      <w:r>
        <w:rPr>
          <w:rFonts w:ascii="Times New Roman" w:hAnsi="Times New Roman"/>
          <w:b/>
          <w:i w:val="0"/>
          <w:sz w:val="24"/>
        </w:rPr>
        <w:t>Platform Vernacular &amp; Affective Cynicism Bias</w:t>
      </w:r>
      <w:r>
        <w:rPr>
          <w:rFonts w:ascii="Times New Roman" w:hAnsi="Times New Roman"/>
          <w:b w:val="0"/>
          <w:i w:val="0"/>
          <w:sz w:val="24"/>
        </w:rPr>
        <w:t>: As demonstrated in affordance research (Bossetta, 2018; Bucher &amp; Helmond, 2018), Platform X culture fosters a platform vernacular that structurally rewards irony, satirical mockery, and confrontational political debate. This makes the platform exceptionally potent as an early-warning crisis sensor, but inherently amplifies the salience of Disgust and Sarcasm relative to lifestyle-centric networks like Instagram.</w:t>
      </w:r>
    </w:p>
    <w:p>
      <w:pPr>
        <w:spacing w:line="480" w:lineRule="auto" w:after="40"/>
        <w:ind w:left="720" w:hanging="360"/>
      </w:pPr>
      <w:r>
        <w:rPr>
          <w:b/>
        </w:rPr>
        <w:t xml:space="preserve">3. </w:t>
      </w:r>
      <w:r>
        <w:rPr>
          <w:rFonts w:ascii="Times New Roman" w:hAnsi="Times New Roman"/>
          <w:b/>
          <w:i w:val="0"/>
          <w:sz w:val="24"/>
        </w:rPr>
        <w:t>Cross-Platform Multi-Modal Trajectory</w:t>
      </w:r>
      <w:r>
        <w:rPr>
          <w:rFonts w:ascii="Times New Roman" w:hAnsi="Times New Roman"/>
          <w:b w:val="0"/>
          <w:i w:val="0"/>
          <w:sz w:val="24"/>
        </w:rPr>
        <w:t>: While the Phygital Gap framework possesses universal public administration applicability, our findings are bounded by the text-first architecture of Platform X. Future investigations must deploy multimodal Vision-Language Models (e.g., CLIP, Qwen2-VL) to directly examine physical food tray unboxing videos on TikTok and YouTube Shorts.</w:t>
      </w:r>
    </w:p>
    <w:p>
      <w:pPr>
        <w:spacing w:line="480" w:lineRule="auto" w:after="40"/>
        <w:ind w:left="720" w:hanging="360"/>
      </w:pPr>
      <w:r/>
      <w:r>
        <w:rPr>
          <w:rFonts w:ascii="Times New Roman" w:hAnsi="Times New Roman"/>
          <w:sz w:val="22"/>
        </w:rPr>
        <w:t>4. Silver-Standard Reference Labels &amp; Affective Sparsity: Initial model fine-tuning and holdout validation relied on rule-assisted silver-standard reference annotations rather than extensive multi-coder gold standards. Severe affective skew led to $F_1 = 0.000$ on minority classes Anger and Sadness, while Joy, Surprise, and Fear lacked test-set representation. Future research should deploy independent multi-coder panels to establish an adjudicated gold standard with targeted minority-class oversampling.</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Declarations and Data Availability</w:t>
      </w:r>
    </w:p>
    <w:p>
      <w:pPr>
        <w:spacing w:line="480" w:lineRule="auto" w:before="0" w:after="0"/>
        <w:ind w:firstLine="720"/>
      </w:pPr>
      <w:r>
        <w:rPr>
          <w:rFonts w:ascii="Times New Roman" w:hAnsi="Times New Roman"/>
          <w:b/>
          <w:i w:val="0"/>
          <w:sz w:val="24"/>
        </w:rPr>
        <w:t>Data Availability Statement</w:t>
      </w:r>
      <w:r>
        <w:rPr>
          <w:rFonts w:ascii="Times New Roman" w:hAnsi="Times New Roman"/>
          <w:b w:val="0"/>
          <w:i w:val="0"/>
          <w:sz w:val="24"/>
        </w:rPr>
        <w:t xml:space="preserve">: In strict compliance with the Open Science mandates of </w:t>
      </w:r>
      <w:r>
        <w:rPr>
          <w:rFonts w:ascii="Times New Roman" w:hAnsi="Times New Roman"/>
          <w:b w:val="0"/>
          <w:i/>
          <w:sz w:val="24"/>
        </w:rPr>
        <w:t>Information, Communication &amp; Society</w:t>
      </w:r>
      <w:r>
        <w:rPr>
          <w:rFonts w:ascii="Times New Roman" w:hAnsi="Times New Roman"/>
          <w:b w:val="0"/>
          <w:i w:val="0"/>
          <w:sz w:val="24"/>
        </w:rPr>
        <w:t xml:space="preserve"> (Taylor &amp; Francis) and FAIR data principles, all research replication materials—including AoIR 3.0-pseudonymized directed network interaction edge lists (|V|=971, |E|=666), silver-standard reference annotations and held-out evaluation splits, spatial epidemiological benchmarks, ABSA matrices, and PyTorch inference pipelines—are permanently archived in the Zenodo open-access repository under Digital Object Identifier (DOI): [10.5281/zenodo.11029482](https://doi.org/10.5281/zenodo.11029482). The active development repository remains mirrored at GitHub: [https://github.com/indri007/ThisIsEconomy](https://github.com/indri007/ThisIsEconomy). Raw tweet text containing personally identifying citizen information has been pseudonymized using SHA-256 HMAC cryptographic hashing in full compliance with AoIR 3.0 ethical guidelines.</w:t>
      </w:r>
    </w:p>
    <w:p>
      <w:pPr>
        <w:spacing w:line="480" w:lineRule="auto" w:before="0" w:after="0"/>
        <w:ind w:firstLine="720"/>
      </w:pPr>
      <w:r>
        <w:rPr>
          <w:rFonts w:ascii="Times New Roman" w:hAnsi="Times New Roman"/>
          <w:b/>
          <w:i w:val="0"/>
          <w:sz w:val="24"/>
        </w:rPr>
        <w:t>Funding</w:t>
      </w:r>
      <w:r>
        <w:rPr>
          <w:rFonts w:ascii="Times New Roman" w:hAnsi="Times New Roman"/>
          <w:b w:val="0"/>
          <w:i w:val="0"/>
          <w:sz w:val="24"/>
        </w:rPr>
        <w:t>: The authors declare that no external funding, grants, or financial sponsorships were received for this study.</w:t>
      </w:r>
    </w:p>
    <w:p>
      <w:pPr>
        <w:spacing w:line="480" w:lineRule="auto" w:before="0" w:after="0"/>
        <w:ind w:firstLine="720"/>
      </w:pPr>
      <w:r>
        <w:rPr>
          <w:rFonts w:ascii="Times New Roman" w:hAnsi="Times New Roman"/>
          <w:b/>
          <w:i w:val="0"/>
          <w:sz w:val="24"/>
        </w:rPr>
        <w:t>Conflict of Interest</w:t>
      </w:r>
      <w:r>
        <w:rPr>
          <w:rFonts w:ascii="Times New Roman" w:hAnsi="Times New Roman"/>
          <w:b w:val="0"/>
          <w:i w:val="0"/>
          <w:sz w:val="24"/>
        </w:rPr>
        <w:t>: The authors declare no competing financial or non-financial interests.</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Bossetta, M. (2018). The digital architectures of social media: Comparing political campaigning on Facebook, Twitter, Instagram, and Snapchat in the 2016 US presidential election. </w:t>
      </w:r>
      <w:r>
        <w:rPr>
          <w:rFonts w:ascii="Times New Roman" w:hAnsi="Times New Roman"/>
          <w:b w:val="0"/>
          <w:i/>
          <w:sz w:val="22"/>
        </w:rPr>
        <w:t>Journalism &amp; Mass Communication Quarterly</w:t>
      </w:r>
      <w:r>
        <w:rPr>
          <w:rFonts w:ascii="Times New Roman" w:hAnsi="Times New Roman"/>
          <w:b w:val="0"/>
          <w:i w:val="0"/>
          <w:sz w:val="22"/>
        </w:rPr>
        <w:t xml:space="preserve">, </w:t>
      </w:r>
      <w:r>
        <w:rPr>
          <w:rFonts w:ascii="Times New Roman" w:hAnsi="Times New Roman"/>
          <w:b w:val="0"/>
          <w:i/>
          <w:sz w:val="22"/>
        </w:rPr>
        <w:t>95</w:t>
      </w:r>
      <w:r>
        <w:rPr>
          <w:rFonts w:ascii="Times New Roman" w:hAnsi="Times New Roman"/>
          <w:b w:val="0"/>
          <w:i w:val="0"/>
          <w:sz w:val="22"/>
        </w:rPr>
        <w:t>(2), 471–496. https://doi.org/10.1177/1077699018763307</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Bucher, T., &amp; Helmond, A. (2018). The affordances of social media platforms. In J. Burgess, A. Marwick, &amp; T. Poell (Eds.), </w:t>
      </w:r>
      <w:r>
        <w:rPr>
          <w:rFonts w:ascii="Times New Roman" w:hAnsi="Times New Roman"/>
          <w:b w:val="0"/>
          <w:i/>
          <w:sz w:val="22"/>
        </w:rPr>
        <w:t>The SAGE handbook of social media</w:t>
      </w:r>
      <w:r>
        <w:rPr>
          <w:rFonts w:ascii="Times New Roman" w:hAnsi="Times New Roman"/>
          <w:b w:val="0"/>
          <w:i w:val="0"/>
          <w:sz w:val="22"/>
        </w:rPr>
        <w:t xml:space="preserve"> (pp. 233–253). SAGE Publications. https://doi.org/10.4135/9781473984066.n14</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Cresci, S., Di Pietro, R., Petrocchi, M., Spognardi, A., &amp; Tesconi, M. (2017). The paradigm-shift of social spambots: Evidence, theories, and tools for the arms race. </w:t>
      </w:r>
      <w:r>
        <w:rPr>
          <w:rFonts w:ascii="Times New Roman" w:hAnsi="Times New Roman"/>
          <w:b w:val="0"/>
          <w:i/>
          <w:sz w:val="22"/>
        </w:rPr>
        <w:t>Proceedings of WWW 2017</w:t>
      </w:r>
      <w:r>
        <w:rPr>
          <w:rFonts w:ascii="Times New Roman" w:hAnsi="Times New Roman"/>
          <w:b w:val="0"/>
          <w:i w:val="0"/>
          <w:sz w:val="22"/>
        </w:rPr>
        <w:t>, 963–972. https://doi.org/10.1145/3041021.3055135</w:t>
      </w:r>
    </w:p>
    <w:p>
      <w:pPr>
        <w:spacing w:line="360" w:lineRule="auto" w:after="60"/>
        <w:ind w:left="720" w:hanging="720"/>
      </w:pPr>
      <w:r>
        <w:rPr>
          <w:rFonts w:ascii="Times New Roman" w:hAnsi="Times New Roman"/>
          <w:b w:val="0"/>
          <w:i w:val="0"/>
          <w:sz w:val="22"/>
        </w:rPr>
        <w:t xml:space="preserve">Dredze, M., Paul, M. J., Bergsma, S., &amp; Tran, H. (2016). Carmen: A Twitter geolocation system with applications to public health. </w:t>
      </w:r>
      <w:r>
        <w:rPr>
          <w:rFonts w:ascii="Times New Roman" w:hAnsi="Times New Roman"/>
          <w:b w:val="0"/>
          <w:i/>
          <w:sz w:val="22"/>
        </w:rPr>
        <w:t>Journal of Artificial Intelligence Research</w:t>
      </w:r>
      <w:r>
        <w:rPr>
          <w:rFonts w:ascii="Times New Roman" w:hAnsi="Times New Roman"/>
          <w:b w:val="0"/>
          <w:i w:val="0"/>
          <w:sz w:val="22"/>
        </w:rPr>
        <w:t xml:space="preserve">, </w:t>
      </w:r>
      <w:r>
        <w:rPr>
          <w:rFonts w:ascii="Times New Roman" w:hAnsi="Times New Roman"/>
          <w:b w:val="0"/>
          <w:i/>
          <w:sz w:val="22"/>
        </w:rPr>
        <w:t>55</w:t>
      </w:r>
      <w:r>
        <w:rPr>
          <w:rFonts w:ascii="Times New Roman" w:hAnsi="Times New Roman"/>
          <w:b w:val="0"/>
          <w:i w:val="0"/>
          <w:sz w:val="22"/>
        </w:rPr>
        <w:t>, 871–897. https://doi.org/10.1613/jair.4998</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Ferrara, E., Varol, O., Davis, C., Menczer, F., &amp; Flammini, A. (2016). The rise of social bots.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59</w:t>
      </w:r>
      <w:r>
        <w:rPr>
          <w:rFonts w:ascii="Times New Roman" w:hAnsi="Times New Roman"/>
          <w:b w:val="0"/>
          <w:i w:val="0"/>
          <w:sz w:val="22"/>
        </w:rPr>
        <w:t>(7), 96–104. https://doi.org/10.1145/2818717</w:t>
      </w:r>
    </w:p>
    <w:p>
      <w:pPr>
        <w:spacing w:line="360" w:lineRule="auto" w:after="60"/>
        <w:ind w:left="720" w:hanging="720"/>
      </w:pPr>
      <w:r>
        <w:rPr>
          <w:rFonts w:ascii="Times New Roman" w:hAnsi="Times New Roman"/>
          <w:b w:val="0"/>
          <w:i w:val="0"/>
          <w:sz w:val="22"/>
        </w:rPr>
        <w:t xml:space="preserve">Franzke, A. S., Bechmann, A., Zimmer, M., Ess, C., &amp; Association of Internet Researchers. (2020). </w:t>
      </w:r>
      <w:r>
        <w:rPr>
          <w:rFonts w:ascii="Times New Roman" w:hAnsi="Times New Roman"/>
          <w:b w:val="0"/>
          <w:i/>
          <w:sz w:val="22"/>
        </w:rPr>
        <w:t>Internet research: Ethical guidelines 3.0</w:t>
      </w:r>
      <w:r>
        <w:rPr>
          <w:rFonts w:ascii="Times New Roman" w:hAnsi="Times New Roman"/>
          <w:b w:val="0"/>
          <w:i w:val="0"/>
          <w:sz w:val="22"/>
        </w:rPr>
        <w:t>. Association of Internet Researchers. https://aoir.org/reports/ethics3.pdf</w:t>
      </w:r>
    </w:p>
    <w:p>
      <w:pPr>
        <w:spacing w:line="360" w:lineRule="auto" w:after="60"/>
        <w:ind w:left="720" w:hanging="720"/>
      </w:pPr>
      <w:r>
        <w:rPr>
          <w:rFonts w:ascii="Times New Roman" w:hAnsi="Times New Roman"/>
          <w:b w:val="0"/>
          <w:i w:val="0"/>
          <w:sz w:val="22"/>
        </w:rPr>
        <w:t xml:space="preserve">Gelernter, J., &amp; Balaji, S. (2013). An algorithm for localizing disaster events from social media. </w:t>
      </w:r>
      <w:r>
        <w:rPr>
          <w:rFonts w:ascii="Times New Roman" w:hAnsi="Times New Roman"/>
          <w:b w:val="0"/>
          <w:i/>
          <w:sz w:val="22"/>
        </w:rPr>
        <w:t>American Behavioral Scientist</w:t>
      </w:r>
      <w:r>
        <w:rPr>
          <w:rFonts w:ascii="Times New Roman" w:hAnsi="Times New Roman"/>
          <w:b w:val="0"/>
          <w:i w:val="0"/>
          <w:sz w:val="22"/>
        </w:rPr>
        <w:t xml:space="preserve">, </w:t>
      </w:r>
      <w:r>
        <w:rPr>
          <w:rFonts w:ascii="Times New Roman" w:hAnsi="Times New Roman"/>
          <w:b w:val="0"/>
          <w:i/>
          <w:sz w:val="22"/>
        </w:rPr>
        <w:t>57</w:t>
      </w:r>
      <w:r>
        <w:rPr>
          <w:rFonts w:ascii="Times New Roman" w:hAnsi="Times New Roman"/>
          <w:b w:val="0"/>
          <w:i w:val="0"/>
          <w:sz w:val="22"/>
        </w:rPr>
        <w:t>(7), 967–984. https://doi.org/10.1177/0002764213483944</w:t>
      </w:r>
    </w:p>
    <w:p>
      <w:pPr>
        <w:spacing w:line="360" w:lineRule="auto" w:after="60"/>
        <w:ind w:left="720" w:hanging="720"/>
      </w:pPr>
      <w:r>
        <w:rPr>
          <w:rFonts w:ascii="Times New Roman" w:hAnsi="Times New Roman"/>
          <w:b w:val="0"/>
          <w:i w:val="0"/>
          <w:sz w:val="22"/>
        </w:rPr>
        <w:t xml:space="preserve">Giglietto, V., Righetti, N., Rossi, L., &amp; Marino, G. (2020). It takes a village to manipulate the media: Coordinated inauthentic behavior on social media.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(6), 867–891. https://doi.org/10.1080/1369118X.2020.1739732</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Keller, F. B., Schoch, D., Stier, S., &amp; Yang, J. (2020). Political astroturfing on Twitter: How to identify and measure inauthentic coordination. </w:t>
      </w:r>
      <w:r>
        <w:rPr>
          <w:rFonts w:ascii="Times New Roman" w:hAnsi="Times New Roman"/>
          <w:b w:val="0"/>
          <w:i/>
          <w:sz w:val="22"/>
        </w:rPr>
        <w:t>Political Communication</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(2), 160–180. https://doi.org/10.1080/10584609.2019.1661888</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Krivitsky, P. N., &amp; Handcock, M. S. (2014). A separable model for dynamic networks via STERGM. </w:t>
      </w:r>
      <w:r>
        <w:rPr>
          <w:rFonts w:ascii="Times New Roman" w:hAnsi="Times New Roman"/>
          <w:b w:val="0"/>
          <w:i/>
          <w:sz w:val="22"/>
        </w:rPr>
        <w:t>Journal of the Royal Statistical Society: Series B</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(1), 29–46. https://doi.org/10.1111/rssb.12014</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Pontiki, M., Galanis, D., Papageorgiou, H., Androutsopoulos, I., Manandhar, S., Mohammad, A.-S., ... &amp; Eryiğit, G. (2014). SemEval-2014 Task 4: Aspect based sentiment analysis. </w:t>
      </w:r>
      <w:r>
        <w:rPr>
          <w:rFonts w:ascii="Times New Roman" w:hAnsi="Times New Roman"/>
          <w:b w:val="0"/>
          <w:i/>
          <w:sz w:val="22"/>
        </w:rPr>
        <w:t>Proceedings of SemEval 2014</w:t>
      </w:r>
      <w:r>
        <w:rPr>
          <w:rFonts w:ascii="Times New Roman" w:hAnsi="Times New Roman"/>
          <w:b w:val="0"/>
          <w:i w:val="0"/>
          <w:sz w:val="22"/>
        </w:rPr>
        <w:t>, 27–35. https://doi.org/10.3115/v1/S14-2004</w:t>
      </w:r>
    </w:p>
    <w:p>
      <w:pPr>
        <w:spacing w:line="360" w:lineRule="auto" w:after="60"/>
        <w:ind w:left="720" w:hanging="720"/>
      </w:pPr>
      <w:r>
        <w:rPr>
          <w:rFonts w:ascii="Times New Roman" w:hAnsi="Times New Roman"/>
          <w:b w:val="0"/>
          <w:i w:val="0"/>
          <w:sz w:val="22"/>
        </w:rPr>
        <w:t xml:space="preserve">Pontiki, M., Galanis, D., Papageorgiou, H., Androutsopoulos, I., Manandhar, S., AL-Smadi, M., ... &amp; Hoste, V. (2016). SemEval-2016 Task 5: Aspect based sentiment analysis. </w:t>
      </w:r>
      <w:r>
        <w:rPr>
          <w:rFonts w:ascii="Times New Roman" w:hAnsi="Times New Roman"/>
          <w:b w:val="0"/>
          <w:i/>
          <w:sz w:val="22"/>
        </w:rPr>
        <w:t>Proceedings of SemEval 2016</w:t>
      </w:r>
      <w:r>
        <w:rPr>
          <w:rFonts w:ascii="Times New Roman" w:hAnsi="Times New Roman"/>
          <w:b w:val="0"/>
          <w:i w:val="0"/>
          <w:sz w:val="22"/>
        </w:rPr>
        <w:t>, 19–30. https://doi.org/10.18653/v1/S16-1002</w:t>
      </w:r>
    </w:p>
    <w:p>
      <w:pPr>
        <w:spacing w:line="360" w:lineRule="auto" w:after="60"/>
        <w:ind w:left="720" w:hanging="720"/>
      </w:pPr>
      <w:r>
        <w:rPr>
          <w:rFonts w:ascii="Times New Roman" w:hAnsi="Times New Roman"/>
          <w:b w:val="0"/>
          <w:i w:val="0"/>
          <w:sz w:val="22"/>
        </w:rPr>
        <w:t xml:space="preserve">Rossini, P., Stromer-Galley, J., Baptista, E. A., &amp; de Oliveira, V. V. (2021). Dysfunctional information on social media: Comparing the distribution and engagement of falsehoods on Twitter, Facebook, and WhatsApp.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(8), 2444–2467. https://doi.org/10.1177/1461444820924376</w:t>
      </w:r>
    </w:p>
    <w:p>
      <w:pPr>
        <w:spacing w:line="360" w:lineRule="auto" w:after="6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60"/>
        <w:ind w:left="720" w:hanging="720"/>
      </w:pPr>
      <w:r>
        <w:rPr>
          <w:rFonts w:ascii="Times New Roman" w:hAnsi="Times New Roman"/>
          <w:b w:val="0"/>
          <w:i w:val="0"/>
          <w:sz w:val="22"/>
        </w:rPr>
        <w:t xml:space="preserve">Schouten, K., &amp; Frasincar, F. (2016). Survey on aspect-level sentiment analysis. </w:t>
      </w:r>
      <w:r>
        <w:rPr>
          <w:rFonts w:ascii="Times New Roman" w:hAnsi="Times New Roman"/>
          <w:b w:val="0"/>
          <w:i/>
          <w:sz w:val="22"/>
        </w:rPr>
        <w:t>IEEE Transactions on Knowledge and Data Engineering</w:t>
      </w:r>
      <w:r>
        <w:rPr>
          <w:rFonts w:ascii="Times New Roman" w:hAnsi="Times New Roman"/>
          <w:b w:val="0"/>
          <w:i w:val="0"/>
          <w:sz w:val="22"/>
        </w:rPr>
        <w:t xml:space="preserve">, </w:t>
      </w:r>
      <w:r>
        <w:rPr>
          <w:rFonts w:ascii="Times New Roman" w:hAnsi="Times New Roman"/>
          <w:b w:val="0"/>
          <w:i/>
          <w:sz w:val="22"/>
        </w:rPr>
        <w:t>28</w:t>
      </w:r>
      <w:r>
        <w:rPr>
          <w:rFonts w:ascii="Times New Roman" w:hAnsi="Times New Roman"/>
          <w:b w:val="0"/>
          <w:i w:val="0"/>
          <w:sz w:val="22"/>
        </w:rPr>
        <w:t>(3), 813–830. https://doi.org/10.1109/TKDE.2015.2485209</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 C., Huang, L., &amp; Qiu, X. (2019). Utilizing BERT for aspect-based sentiment analysis via constructing auxiliary sentence. </w:t>
      </w:r>
      <w:r>
        <w:rPr>
          <w:rFonts w:ascii="Times New Roman" w:hAnsi="Times New Roman"/>
          <w:b w:val="0"/>
          <w:i/>
          <w:sz w:val="22"/>
        </w:rPr>
        <w:t>Proceedings of NAACL-HLT 2019</w:t>
      </w:r>
      <w:r>
        <w:rPr>
          <w:rFonts w:ascii="Times New Roman" w:hAnsi="Times New Roman"/>
          <w:b w:val="0"/>
          <w:i w:val="0"/>
          <w:sz w:val="22"/>
        </w:rPr>
        <w:t>, 380–385. https://doi.org/10.18653/v1/N19-1035</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Snijders, T. A., van de Bunt, G. G., &amp; Steglich, C. E. (2010). Introduction to stochastic actor-based models for network dynamics.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32</w:t>
      </w:r>
      <w:r>
        <w:rPr>
          <w:rFonts w:ascii="Times New Roman" w:hAnsi="Times New Roman"/>
          <w:b w:val="0"/>
          <w:i w:val="0"/>
          <w:sz w:val="22"/>
        </w:rPr>
        <w:t>(1), 44–60. https://doi.org/10.1016/j.socnet.2009.02.004</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W., Li, X., Deng, Y., Bing, L., &amp; Lam, W. (2022). A survey on aspect-based sentiment analysis: Tasks, methods, and challenges. </w:t>
      </w:r>
      <w:r>
        <w:rPr>
          <w:rFonts w:ascii="Times New Roman" w:hAnsi="Times New Roman"/>
          <w:b w:val="0"/>
          <w:i/>
          <w:sz w:val="22"/>
        </w:rPr>
        <w:t>IEEE Transactions on Knowledge and Data Engineering</w:t>
      </w:r>
      <w:r>
        <w:rPr>
          <w:rFonts w:ascii="Times New Roman" w:hAnsi="Times New Roman"/>
          <w:b w:val="0"/>
          <w:i w:val="0"/>
          <w:sz w:val="22"/>
        </w:rPr>
        <w:t xml:space="preserve">, </w:t>
      </w:r>
      <w:r>
        <w:rPr>
          <w:rFonts w:ascii="Times New Roman" w:hAnsi="Times New Roman"/>
          <w:b w:val="0"/>
          <w:i/>
          <w:sz w:val="22"/>
        </w:rPr>
        <w:t>35</w:t>
      </w:r>
      <w:r>
        <w:rPr>
          <w:rFonts w:ascii="Times New Roman" w:hAnsi="Times New Roman"/>
          <w:b w:val="0"/>
          <w:i w:val="0"/>
          <w:sz w:val="22"/>
        </w:rPr>
        <w:t>(11), 11019–11038. https://doi.org/10.1109/TKDE.2022.3230975</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360" w:lineRule="auto" w:after="60"/>
        <w:ind w:left="720" w:hanging="720"/>
      </w:pPr>
      <w:r>
        <w:rPr>
          <w:rFonts w:ascii="Times New Roman" w:hAnsi="Times New Roman"/>
          <w:b w:val="0"/>
          <w:i w:val="0"/>
          <w:sz w:val="22"/>
        </w:rPr>
        <w:t xml:space="preserve">Zimmer, M. (2010). "But the data is already public": On the ethics of research in Facebook and social computing. </w:t>
      </w:r>
      <w:r>
        <w:rPr>
          <w:rFonts w:ascii="Times New Roman" w:hAnsi="Times New Roman"/>
          <w:b w:val="0"/>
          <w:i/>
          <w:sz w:val="22"/>
        </w:rPr>
        <w:t>Ethics and Information Technology</w:t>
      </w:r>
      <w:r>
        <w:rPr>
          <w:rFonts w:ascii="Times New Roman" w:hAnsi="Times New Roman"/>
          <w:b w:val="0"/>
          <w:i w:val="0"/>
          <w:sz w:val="22"/>
        </w:rPr>
        <w:t xml:space="preserve">, </w:t>
      </w:r>
      <w:r>
        <w:rPr>
          <w:rFonts w:ascii="Times New Roman" w:hAnsi="Times New Roman"/>
          <w:b w:val="0"/>
          <w:i/>
          <w:sz w:val="22"/>
        </w:rPr>
        <w:t>12</w:t>
      </w:r>
      <w:r>
        <w:rPr>
          <w:rFonts w:ascii="Times New Roman" w:hAnsi="Times New Roman"/>
          <w:b w:val="0"/>
          <w:i w:val="0"/>
          <w:sz w:val="22"/>
        </w:rPr>
        <w:t>(4), 313–325. https://doi.org/10.1007/s10676-010-9227-5</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
        <w:rPr>
          <w:rFonts w:ascii="Times New Roman" w:hAnsi="Times New Roman"/>
          <w:sz w:val="22"/>
        </w:rPr>
        <w:t>• Network Density (\rho): $\rho = \frac{|E|}{|V|(|V| - 1)} = \frac{692}{971 \times 970} \approx 0.000707$.</w:t>
      </w:r>
    </w:p>
    <w:p>
      <w:pPr>
        <w:spacing w:line="480" w:lineRule="auto" w:after="40"/>
        <w:ind w:left="720" w:hanging="360"/>
      </w:pPr>
      <w:r/>
      <w:r>
        <w:rPr>
          <w:rFonts w:ascii="Times New Roman" w:hAnsi="Times New Roman"/>
          <w:sz w:val="22"/>
        </w:rPr>
        <w:t>• Dyadic Reciprocity (R): $R = \frac{\sum_{i \neq j} A_{ij} A_{ji}}{|E|} = \frac{2 \times 4}{666} \approx 0.0120 \quad (1.20\%)$.</w:t>
      </w:r>
    </w:p>
    <w:p>
      <w:pPr>
        <w:spacing w:line="480" w:lineRule="auto" w:after="40"/>
        <w:ind w:left="720" w:hanging="360"/>
      </w:pPr>
      <w:r/>
      <w:r>
        <w:rPr>
          <w:rFonts w:ascii="Times New Roman" w:hAnsi="Times New Roman"/>
          <w:sz w:val="22"/>
        </w:rPr>
        <w:t>• Power-Law Scaling Fit: $\alpha = 1 + n \left[ \sum_{i=1}^n \ln \left( \frac{k_i}{k_{min} - \frac{1}{2}} \right) \right]^{-1} = 2.168 \pm 0.08$.</w:t>
      </w:r>
    </w:p>
    <w:p>
      <w:pPr>
        <w:spacing w:line="480" w:lineRule="auto" w:after="40"/>
        <w:ind w:left="720" w:hanging="360"/>
      </w:pPr>
      <w:r/>
      <w:r>
        <w:rPr>
          <w:rFonts w:ascii="Times New Roman" w:hAnsi="Times New Roman"/>
          <w:sz w:val="22"/>
        </w:rPr>
        <w:t>• Early Warning Scorecard (EWS):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