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060"/>
          <w:sz w:val="32"/>
        </w:rPr>
        <w:t>Mapping the 'Phygital Gap' in Public Policy Crisis: A Tri-Layer Computational Communication Study of Indonesia's Free Nutritious Meal (MBG) Program on Platform X</w:t>
      </w:r>
    </w:p>
    <w:p>
      <w:pPr>
        <w:spacing w:line="276" w:lineRule="auto" w:after="80"/>
      </w:pPr>
      <w:r/>
      <w:r>
        <w:rPr>
          <w:rFonts w:ascii="Times New Roman" w:hAnsi="Times New Roman"/>
          <w:b/>
          <w:sz w:val="22"/>
        </w:rPr>
        <w:t>Authors:</w:t>
      </w:r>
    </w:p>
    <w:p>
      <w:pPr>
        <w:pStyle w:val="ListNumber"/>
      </w:pPr>
      <w:r/>
      <w:r>
        <w:rPr>
          <w:rFonts w:ascii="Times New Roman" w:hAnsi="Times New Roman"/>
          <w:b/>
          <w:sz w:val="22"/>
        </w:rPr>
        <w:t>Indri Anjar Kartika Sari</w:t>
      </w:r>
      <w:r>
        <w:rPr>
          <w:rFonts w:ascii="Times New Roman" w:hAnsi="Times New Roman"/>
          <w:sz w:val="22"/>
        </w:rPr>
        <w:t>¹</w:t>
      </w:r>
      <w:r>
        <w:rPr>
          <w:rFonts w:ascii="Times New Roman" w:hAnsi="Times New Roman"/>
          <w:i/>
          <w:sz w:val="22"/>
        </w:rPr>
        <w:t xml:space="preserve"> (ORCID: [0009-0002-8419-7231](https://orcid.org)) — </w:t>
      </w:r>
      <w:r>
        <w:rPr>
          <w:rFonts w:ascii="Times New Roman" w:hAnsi="Times New Roman"/>
          <w:sz w:val="22"/>
        </w:rPr>
        <w:t>Principal Investigator &amp; First Author</w:t>
      </w:r>
    </w:p>
    <w:p>
      <w:pPr>
        <w:pStyle w:val="ListNumber"/>
      </w:pPr>
      <w:r/>
      <w:r>
        <w:rPr>
          <w:rFonts w:ascii="Times New Roman" w:hAnsi="Times New Roman"/>
          <w:b/>
          <w:sz w:val="22"/>
        </w:rPr>
        <w:t>Catur Suratnoaji</w:t>
      </w:r>
      <w:r>
        <w:rPr>
          <w:rFonts w:ascii="Times New Roman" w:hAnsi="Times New Roman"/>
          <w:sz w:val="22"/>
        </w:rPr>
        <w:t xml:space="preserve">¹ (ORCID: [0000-0002-8596-3914](https://orcid.org)) — </w:t>
      </w:r>
      <w:r>
        <w:rPr>
          <w:rFonts w:ascii="Times New Roman" w:hAnsi="Times New Roman"/>
          <w:i/>
          <w:sz w:val="22"/>
        </w:rPr>
        <w:t>Associate Professor, Thesis Advisor I</w:t>
      </w:r>
    </w:p>
    <w:p>
      <w:pPr>
        <w:pStyle w:val="ListNumber"/>
      </w:pPr>
      <w:r/>
      <w:r>
        <w:rPr>
          <w:rFonts w:ascii="Times New Roman" w:hAnsi="Times New Roman"/>
          <w:b/>
          <w:sz w:val="22"/>
        </w:rPr>
        <w:t>Agus Widiyarta</w:t>
      </w:r>
      <w:r>
        <w:rPr>
          <w:rFonts w:ascii="Times New Roman" w:hAnsi="Times New Roman"/>
          <w:sz w:val="22"/>
        </w:rPr>
        <w:t xml:space="preserve">¹ (ORCID: [0000-0002-7104-5820](https://orcid.org)) — </w:t>
      </w:r>
      <w:r>
        <w:rPr>
          <w:rFonts w:ascii="Times New Roman" w:hAnsi="Times New Roman"/>
          <w:i/>
          <w:sz w:val="22"/>
        </w:rPr>
        <w:t>Assistant Professor, Thesis Advisor II</w:t>
      </w:r>
    </w:p>
    <w:p>
      <w:pPr>
        <w:spacing w:line="276" w:lineRule="auto" w:after="80"/>
      </w:pPr>
      <w:r/>
      <w:r>
        <w:rPr>
          <w:rFonts w:ascii="Times New Roman" w:hAnsi="Times New Roman"/>
          <w:b/>
          <w:sz w:val="22"/>
        </w:rPr>
        <w:t>Affiliation:</w:t>
      </w:r>
    </w:p>
    <w:p>
      <w:pPr>
        <w:spacing w:line="276" w:lineRule="auto" w:after="80"/>
      </w:pPr>
      <w:r>
        <w:t>¹ Department of Communication Science, Faculty of Social and Political Sciences, Universitas Pembangunan Nasional 'Veteran' Jawa Timur, Surabaya, 60294, Indonesia</w:t>
      </w:r>
    </w:p>
    <w:p>
      <w:pPr>
        <w:spacing w:line="276" w:lineRule="auto" w:after="80"/>
      </w:pPr>
      <w:r/>
      <w:r>
        <w:rPr>
          <w:rFonts w:ascii="Times New Roman" w:hAnsi="Times New Roman"/>
          <w:sz w:val="22"/>
        </w:rPr>
        <w:t>Corresponding Author: indrianjar@gmail.com</w:t>
      </w:r>
    </w:p>
    <w:p>
      <w:pPr>
        <w:spacing w:line="276" w:lineRule="auto" w:after="80"/>
      </w:pPr>
      <w:r/>
      <w:r>
        <w:rPr>
          <w:rFonts w:ascii="Times New Roman" w:hAnsi="Times New Roman"/>
          <w:b/>
          <w:sz w:val="22"/>
        </w:rPr>
        <w:t>Target Publication:</w:t>
      </w:r>
      <w:r>
        <w:rPr>
          <w:rFonts w:ascii="Times New Roman" w:hAnsi="Times New Roman"/>
          <w:sz w:val="22"/>
        </w:rPr>
        <w:t xml:space="preserve"> </w:t>
      </w:r>
      <w:r>
        <w:rPr>
          <w:rFonts w:ascii="Times New Roman" w:hAnsi="Times New Roman"/>
          <w:i/>
          <w:sz w:val="22"/>
        </w:rPr>
        <w:t>Social Network Analysis and Mining</w:t>
      </w:r>
      <w:r>
        <w:rPr>
          <w:rFonts w:ascii="Times New Roman" w:hAnsi="Times New Roman"/>
          <w:sz w:val="22"/>
        </w:rPr>
        <w:t xml:space="preserve"> (Springer Nature Switzerland, Scopus Q1, SJR 0.76)</w:t>
      </w:r>
    </w:p>
    <w:p>
      <w:pPr>
        <w:spacing w:line="276" w:lineRule="auto" w:after="80"/>
      </w:pPr>
      <w:r/>
      <w:r>
        <w:rPr>
          <w:rFonts w:ascii="Times New Roman" w:hAnsi="Times New Roman"/>
          <w:b/>
          <w:sz w:val="22"/>
        </w:rPr>
        <w:t>Scopus ASJC Classification:</w:t>
      </w:r>
      <w:r>
        <w:rPr>
          <w:rFonts w:ascii="Times New Roman" w:hAnsi="Times New Roman"/>
          <w:sz w:val="22"/>
        </w:rPr>
        <w:t xml:space="preserve"> 3315 (Communication), 1702 (Artificial Intelligence), 3312 (Sociology and Political Science)</w:t>
      </w:r>
    </w:p>
    <w:p>
      <w:pPr>
        <w:spacing w:line="276" w:lineRule="auto" w:after="80"/>
      </w:pPr>
      <w:r>
        <w:t>---</w:t>
      </w:r>
    </w:p>
    <w:p>
      <w:pPr>
        <w:pStyle w:val="Heading2"/>
        <w:spacing w:before="160" w:after="40"/>
      </w:pPr>
      <w:r>
        <w:t>ABSTRACT</w:t>
      </w:r>
    </w:p>
    <w:p>
      <w:pPr>
        <w:spacing w:line="276" w:lineRule="auto" w:after="80"/>
      </w:pPr>
      <w:r/>
      <w:r>
        <w:rPr>
          <w:rFonts w:ascii="Times New Roman" w:hAnsi="Times New Roman"/>
          <w:sz w:val="22"/>
        </w:rPr>
        <w:t>Public policy communication in the algorithmic era faces severe scrutiny when polished digital narratives clash with ground-level physical execution failures. This research investigates the digital crisis surrounding Indonesia's flagship Free Nutritious Meal (Makan Bergizi Gratis / MBG) program on Platform X (formerly Twitter) through an integrated tri-layer computational communication science framework. Bridging Philip Kotler's Marketing 6.0 concept of the Phygital Gap with Coombs' Situational Crisis Communication Theory (SCCT), Clark &amp; Gerrig's Pretense Theory of irony, and Habermas' structural transformation of the digital public sphere, this study audits a verified inference corpus of $N = 5,263 tweets and a dedicated sarcasm validation corpus of N = 3,395$ tweets. Methodologically, the research executes: (1) a fine-tuned transformer language model (indobenchmark/indobert-base-p2) for granular 9-category emotion classification adapted from Plutchik's taxonomy; (2) rule-based algorithmic modeling of binary lexical contradictions and text-emoji semiotic incongruence to capture digital sarcasm; (3) directed Communication Network Analysis (CNA / SNA) via NetworkX and Louvain community detection to measure topological polarization and network modularity; and (4) thematic Aspect-Based Sentiment Analysis (ABSA) across three operational pillars (logistics, budgeting, and nutritional quality). Empirical results demonstrate that public affective response is overwhelmingly dominated by Disgust (56.24%, 2,960 tweets), followed by Trust (20.39%, 1,073 tweets), Neutral (12.33%, 649 tweets), and Anticipation (9.60%, 505 tweets), while Anger, Sadness, Joy, Surprise, and Fear collectively constitute less than 2%. Sarcasm detection validated 315 tweets (9.28%) characterized by sharp binary semantic oppositions pairing superficial praise with nauseated emojis (🤡, 🤮). Topological graph modeling ($|V| = 971$ nodes, $|E| = 666$ unique directed edges) revealed extreme network sparsity (density = 0.0011) and near-zero reciprocity (1.21%), demonstrating a catastrophic failure of deliberative dialogue. Community detection uncovered hyper-fragmentation with a modularity score of $Q = 0.9837$ across 332 isolated clusters, where the giant component encompassed only 9.17% of participating nodes. Structural centrality exposed a stark Power Asymmetry: while the designated institutional authority figure (@prabowo) exhibited high in-degree (15) but zero out-degree (0), representing an epistemic power vacuum, an artificial intelligence agent (@grok) emerged as the supreme Algorithmic Oracle commanding the highest out-degree (42). Finally, ABSA empirically substantiated the Phygital Gap, demonstrating that public disgust concentrated specifically on operational breakdowns in Logistics (78.91% Disgust), Budgeting (77.01% Disgust), and Nutrition (71.13% Disgust). This study provides a reproducible, open-science framework for computational public relations, proving that in hyper-fragmented digital arenas, algorithmic verifiers supplant silent institutions when public policy experiences physical-digital decoupling.</w:t>
      </w:r>
    </w:p>
    <w:p>
      <w:pPr>
        <w:spacing w:line="276" w:lineRule="auto" w:after="80"/>
      </w:pPr>
      <w:r/>
      <w:r>
        <w:rPr>
          <w:rFonts w:ascii="Times New Roman" w:hAnsi="Times New Roman"/>
          <w:b/>
          <w:sz w:val="22"/>
        </w:rPr>
        <w:t>Keywords:</w:t>
      </w:r>
      <w:r>
        <w:rPr>
          <w:rFonts w:ascii="Times New Roman" w:hAnsi="Times New Roman"/>
          <w:sz w:val="22"/>
        </w:rPr>
        <w:t xml:space="preserve"> Phygital Gap, Marketing 6.0, Computational Communication Science, IndoBERT, Communication Network Analysis, Social Network Analysis, Sarcasm Detection, Algorithmic Oracle, Public Policy Crisis.</w:t>
      </w:r>
    </w:p>
    <w:p>
      <w:pPr>
        <w:spacing w:line="276" w:lineRule="auto" w:after="80"/>
      </w:pPr>
      <w:r/>
      <w:r>
        <w:rPr>
          <w:rFonts w:ascii="Times New Roman" w:hAnsi="Times New Roman"/>
          <w:b/>
          <w:sz w:val="22"/>
        </w:rPr>
        <w:t>Scopus Subject Area:</w:t>
      </w:r>
      <w:r>
        <w:rPr>
          <w:rFonts w:ascii="Times New Roman" w:hAnsi="Times New Roman"/>
          <w:sz w:val="22"/>
        </w:rPr>
        <w:t xml:space="preserve"> Social Sciences (Communication) · Computer Science (Artificial Intelligence)</w:t>
      </w:r>
    </w:p>
    <w:p>
      <w:pPr>
        <w:spacing w:line="276" w:lineRule="auto" w:after="80"/>
      </w:pPr>
      <w:r>
        <w:t>---</w:t>
      </w:r>
    </w:p>
    <w:p>
      <w:pPr>
        <w:pStyle w:val="Heading1"/>
        <w:spacing w:before="240" w:after="80"/>
      </w:pPr>
      <w:r>
        <w:t>1. INTRODUCTION</w:t>
      </w:r>
    </w:p>
    <w:p>
      <w:pPr>
        <w:spacing w:line="276" w:lineRule="auto" w:after="80"/>
      </w:pPr>
      <w:r>
        <w:t>The digital transformation of society has fundamentally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pPr>
        <w:spacing w:line="276" w:lineRule="auto" w:after="80"/>
      </w:pPr>
      <w:r/>
      <w:r>
        <w:rPr>
          <w:rFonts w:ascii="Times New Roman" w:hAnsi="Times New Roman"/>
          <w:sz w:val="22"/>
        </w:rPr>
        <w:t>A prime empirical manifestation of this dynamic occurred during the rollout of the Indonesian government's Free Nutritious Meal (</w:t>
      </w:r>
      <w:r>
        <w:rPr>
          <w:rFonts w:ascii="Times New Roman" w:hAnsi="Times New Roman"/>
          <w:i/>
          <w:sz w:val="22"/>
        </w:rPr>
        <w:t>Makan Bergizi Gratis</w:t>
      </w:r>
      <w:r>
        <w:rPr>
          <w:rFonts w:ascii="Times New Roman" w:hAnsi="Times New Roman"/>
          <w:sz w:val="22"/>
        </w:rPr>
        <w:t xml:space="preserve">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pPr>
        <w:spacing w:line="276" w:lineRule="auto" w:after="80"/>
      </w:pPr>
      <w:r/>
      <w:r>
        <w:rPr>
          <w:rFonts w:ascii="Times New Roman" w:hAnsi="Times New Roman"/>
          <w:sz w:val="22"/>
        </w:rPr>
        <w:t xml:space="preserve">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w:t>
      </w:r>
      <w:r>
        <w:rPr>
          <w:rFonts w:ascii="Times New Roman" w:hAnsi="Times New Roman"/>
          <w:i/>
          <w:sz w:val="22"/>
        </w:rPr>
        <w:t>'Menunya sangat mewah dan bergizi'</w:t>
      </w:r>
      <w:r>
        <w:rPr>
          <w:rFonts w:ascii="Times New Roman" w:hAnsi="Times New Roman"/>
          <w:sz w:val="22"/>
        </w:rPr>
        <w:t>) is routinely subverted through contextual contradictions and derisive emojis (🤡, 🤮, 🗿). Traditional sentiment analysis models that classify text merely as 'positive' or 'negative' inevitably misinterpret such sarcastic praise as genuine government support, severely misleading public policy assessments.</w:t>
      </w:r>
    </w:p>
    <w:p>
      <w:pPr>
        <w:pStyle w:val="Heading2"/>
        <w:spacing w:before="160" w:after="40"/>
      </w:pPr>
      <w:r>
        <w:t>1.1 The Epistemological Problem and Scopus Q1 Research Gaps</w:t>
      </w:r>
    </w:p>
    <w:p>
      <w:pPr>
        <w:spacing w:line="276" w:lineRule="auto" w:after="80"/>
      </w:pPr>
      <w:r>
        <w:t>While digital policy evaluation has proliferated across computational social science, contemporary scholarship remains constrained by four fundamental theoretical, methodological, and empirical limitations:</w:t>
      </w:r>
    </w:p>
    <w:p>
      <w:pPr>
        <w:pStyle w:val="ListNumber"/>
      </w:pPr>
      <w:r/>
      <w:r>
        <w:rPr>
          <w:rFonts w:ascii="Times New Roman" w:hAnsi="Times New Roman"/>
          <w:b/>
          <w:sz w:val="22"/>
        </w:rPr>
        <w:t>The Theoretical Domain Gap (From Commercial Marketing to State Legitimacy Crisis):</w:t>
      </w:r>
    </w:p>
    <w:p>
      <w:pPr>
        <w:spacing w:line="276" w:lineRule="auto" w:after="80"/>
      </w:pPr>
      <w:r/>
      <w:r>
        <w:rPr>
          <w:rFonts w:ascii="Times New Roman" w:hAnsi="Times New Roman"/>
          <w:sz w:val="22"/>
        </w:rPr>
        <w:t xml:space="preserve">The conceptualization of the </w:t>
      </w:r>
      <w:r>
        <w:rPr>
          <w:rFonts w:ascii="Times New Roman" w:hAnsi="Times New Roman"/>
          <w:i/>
          <w:sz w:val="22"/>
        </w:rPr>
        <w:t>Phygital Gap</w:t>
      </w:r>
      <w:r>
        <w:rPr>
          <w:rFonts w:ascii="Times New Roman" w:hAnsi="Times New Roman"/>
          <w:sz w:val="22"/>
        </w:rPr>
        <w:t xml:space="preserve"> (Kotler, Kartajaya, &amp; Setiawan, 2023) originated strictly within commercial marketing and consumer experience management, explaining how broken omni-channel promises drive consumer brand-switching. However, political communication and public administration scholarship has overwhelmingly failed to translate this paradigm to state-sponsored welfare megaprojects. In public governance, broken sensory promises—such as state-disseminated digital utopias colliding with rancid physical meals—do not merely diminish brand loyalty; they inflict severe trauma on political trust (</w:t>
      </w:r>
      <w:r>
        <w:rPr>
          <w:rFonts w:ascii="Times New Roman" w:hAnsi="Times New Roman"/>
          <w:i/>
          <w:sz w:val="22"/>
        </w:rPr>
        <w:t>political trust erosion</w:t>
      </w:r>
      <w:r>
        <w:rPr>
          <w:rFonts w:ascii="Times New Roman" w:hAnsi="Times New Roman"/>
          <w:sz w:val="22"/>
        </w:rPr>
        <w:t>, Levi &amp; Stoker, 2000), paralyze institutional legitimacy, and dismantle the conditions for deliberative democratic consensus (Habermas, 1989, 2006; Coombs, 2007).</w:t>
      </w:r>
    </w:p>
    <w:p>
      <w:pPr>
        <w:pStyle w:val="ListNumber"/>
      </w:pPr>
      <w:r/>
      <w:r>
        <w:rPr>
          <w:rFonts w:ascii="Times New Roman" w:hAnsi="Times New Roman"/>
          <w:b/>
          <w:sz w:val="22"/>
        </w:rPr>
        <w:t>The Methodological Silo Gap (Tri-Layer Synthesis vs. Disconnected Strands):</w:t>
      </w:r>
    </w:p>
    <w:p>
      <w:pPr>
        <w:spacing w:line="276" w:lineRule="auto" w:after="80"/>
      </w:pPr>
      <w:r/>
      <w:r>
        <w:rPr>
          <w:rFonts w:ascii="Times New Roman" w:hAnsi="Times New Roman"/>
          <w:sz w:val="22"/>
        </w:rPr>
        <w:t xml:space="preserve">Current computational scholarship remains deeply polarized into two disconnected silos: (a) natural language processing studies that treat digital texts as atomized, independent semantic units while completely ignoring structural power, social influence, and network topography (Chiorrini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t>
      </w:r>
      <w:r>
        <w:rPr>
          <w:rFonts w:ascii="Times New Roman" w:hAnsi="Times New Roman"/>
          <w:i/>
          <w:sz w:val="22"/>
        </w:rPr>
        <w:t>What visceral affects animate public discourse? How do these affects distribute across operational policy pillars? And what topological structures govern their institutional diffusion?</w:t>
      </w:r>
    </w:p>
    <w:p>
      <w:pPr>
        <w:pStyle w:val="ListNumber"/>
      </w:pPr>
      <w:r/>
      <w:r>
        <w:rPr>
          <w:rFonts w:ascii="Times New Roman" w:hAnsi="Times New Roman"/>
          <w:b/>
          <w:sz w:val="22"/>
        </w:rPr>
        <w:t>The Pragmatic Subversion Gap (Digital Sarcasm vs. Classical NLP Fallacy):</w:t>
      </w:r>
    </w:p>
    <w:p>
      <w:pPr>
        <w:spacing w:line="276" w:lineRule="auto" w:after="80"/>
      </w:pPr>
      <w:r/>
      <w:r>
        <w:rPr>
          <w:rFonts w:ascii="Times New Roman" w:hAnsi="Times New Roman"/>
          <w:sz w:val="22"/>
        </w:rPr>
        <w:t xml:space="preserve">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w:t>
      </w:r>
      <w:r>
        <w:rPr>
          <w:rFonts w:ascii="Times New Roman" w:hAnsi="Times New Roman"/>
          <w:i/>
          <w:sz w:val="22"/>
        </w:rPr>
        <w:t>'Menu hari ini sangat mewah'</w:t>
      </w:r>
      <w:r>
        <w:rPr>
          <w:rFonts w:ascii="Times New Roman" w:hAnsi="Times New Roman"/>
          <w:sz w:val="22"/>
        </w:rPr>
        <w:t>). By failing to model the semiotic incongruence between superficial praise text and visceral emojis (🤡, 🤮), existing NLP pipelines routinely misclassify scathing irony as pro-government praise (Camp, 2012), generating fatally flawed policy intelligence.</w:t>
      </w:r>
    </w:p>
    <w:p>
      <w:pPr>
        <w:pStyle w:val="ListNumber"/>
      </w:pPr>
      <w:r/>
      <w:r>
        <w:rPr>
          <w:rFonts w:ascii="Times New Roman" w:hAnsi="Times New Roman"/>
          <w:b/>
          <w:sz w:val="22"/>
        </w:rPr>
        <w:t>The Emergent Algorithmic Governance Gap (The 'Algorithmic Oracle' vs. Institutional Silence):</w:t>
      </w:r>
    </w:p>
    <w:p>
      <w:pPr>
        <w:spacing w:line="276" w:lineRule="auto" w:after="80"/>
      </w:pPr>
      <w:r/>
      <w:r>
        <w:rPr>
          <w:rFonts w:ascii="Times New Roman" w:hAnsi="Times New Roman"/>
          <w:sz w:val="22"/>
        </w:rPr>
        <w:t>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Literature has yet to document or formalize how total institutional communicative paralysis ($C_{\text{out}} = 0$) compels networked citizens to abandon human authorities and summon AI conversational agents (@grok, $C_{\text{out}} = 42$) as decentralized, third-party epistemic arbiters of state truth.</w:t>
      </w:r>
    </w:p>
    <w:p>
      <w:pPr>
        <w:pStyle w:val="Heading2"/>
        <w:spacing w:before="160" w:after="40"/>
      </w:pPr>
      <w:r>
        <w:t>1.2 Theoretical, Methodological, and Empirical Novelty Statement</w:t>
      </w:r>
    </w:p>
    <w:p>
      <w:pPr>
        <w:spacing w:line="276" w:lineRule="auto" w:after="80"/>
      </w:pPr>
      <w:r>
        <w:t>To bridge these four critical gaps, this study presents a landmark tri-layer computational communication investigation that provides three seminal contributions to the international scientific literature:</w:t>
      </w:r>
    </w:p>
    <w:p>
      <w:pPr>
        <w:pStyle w:val="ListBullet"/>
      </w:pPr>
      <w:r/>
      <w:r>
        <w:rPr>
          <w:rFonts w:ascii="Times New Roman" w:hAnsi="Times New Roman"/>
          <w:b/>
          <w:sz w:val="22"/>
        </w:rPr>
        <w:t>Theoretical Contribution:</w:t>
      </w:r>
      <w:r>
        <w:rPr>
          <w:rFonts w:ascii="Times New Roman" w:hAnsi="Times New Roman"/>
          <w:sz w:val="22"/>
        </w:rPr>
        <w:t xml:space="preserve"> We pioneer the formal integration of Kotler's </w:t>
      </w:r>
      <w:r>
        <w:rPr>
          <w:rFonts w:ascii="Times New Roman" w:hAnsi="Times New Roman"/>
          <w:i/>
          <w:sz w:val="22"/>
        </w:rPr>
        <w:t>Phygital Gap</w:t>
      </w:r>
      <w:r>
        <w:rPr>
          <w:rFonts w:ascii="Times New Roman" w:hAnsi="Times New Roman"/>
          <w:sz w:val="22"/>
        </w:rPr>
        <w:t xml:space="preserve"> (Marketing 6.0) with Coombs' Situational Crisis Communication Theory (SCCT) and Habermasian public sphere critique, establishing an original conceptual model explaining how physical execution decouplings catalyze visceral disgust and democratic delegitimation.</w:t>
      </w:r>
    </w:p>
    <w:p>
      <w:pPr>
        <w:pStyle w:val="ListBullet"/>
      </w:pPr>
      <w:r/>
      <w:r>
        <w:rPr>
          <w:rFonts w:ascii="Times New Roman" w:hAnsi="Times New Roman"/>
          <w:sz w:val="22"/>
        </w:rPr>
        <w:t>Methodological Contribution: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pPr>
        <w:pStyle w:val="ListBullet"/>
      </w:pPr>
      <w:r/>
      <w:r>
        <w:rPr>
          <w:rFonts w:ascii="Times New Roman" w:hAnsi="Times New Roman"/>
          <w:b/>
          <w:sz w:val="22"/>
        </w:rPr>
        <w:t>Empirical &amp; Phenomenological Contribution:</w:t>
      </w:r>
      <w:r>
        <w:rPr>
          <w:rFonts w:ascii="Times New Roman" w:hAnsi="Times New Roman"/>
          <w:sz w:val="22"/>
        </w:rPr>
        <w:t xml:space="preserve"> We provide the first empirical documentation of the </w:t>
      </w:r>
      <w:r>
        <w:rPr>
          <w:rFonts w:ascii="Times New Roman" w:hAnsi="Times New Roman"/>
          <w:i/>
          <w:sz w:val="22"/>
        </w:rPr>
        <w:t>'Algorithmic Oracle'</w:t>
      </w:r>
      <w:r>
        <w:rPr>
          <w:rFonts w:ascii="Times New Roman" w:hAnsi="Times New Roman"/>
          <w:sz w:val="22"/>
        </w:rPr>
        <w:t xml:space="preserve"> phenomenon in public policy crisis—demonstrating that when state authorities maintain digital silence in a hyper-fragmented network (332 isolated clusters), citizens outsource epistemic verification to synthetic intelligence entities.</w:t>
      </w:r>
    </w:p>
    <w:p>
      <w:pPr>
        <w:pStyle w:val="Heading2"/>
        <w:spacing w:before="160" w:after="40"/>
      </w:pPr>
      <w:r>
        <w:t>1.3 Research Questions</w:t>
      </w:r>
    </w:p>
    <w:p>
      <w:pPr>
        <w:spacing w:line="276" w:lineRule="auto" w:after="80"/>
      </w:pPr>
      <w:r>
        <w:t>This investigation is guided by six hierarchical research questions (RQs):</w:t>
      </w:r>
    </w:p>
    <w:p>
      <w:pPr>
        <w:pStyle w:val="ListBullet"/>
      </w:pPr>
      <w:r/>
      <w:r>
        <w:rPr>
          <w:rFonts w:ascii="Times New Roman" w:hAnsi="Times New Roman"/>
          <w:b/>
          <w:sz w:val="22"/>
        </w:rPr>
        <w:t>RQ1:</w:t>
      </w:r>
      <w:r>
        <w:rPr>
          <w:rFonts w:ascii="Times New Roman" w:hAnsi="Times New Roman"/>
          <w:sz w:val="22"/>
        </w:rPr>
        <w:t xml:space="preserve"> How are public granular emotions distributed in the MBG discourse on Platform X when evaluated using a fine-tuned 9-class IndoBERT transformer?</w:t>
      </w:r>
    </w:p>
    <w:p>
      <w:pPr>
        <w:pStyle w:val="ListBullet"/>
      </w:pPr>
      <w:r/>
      <w:r>
        <w:rPr>
          <w:rFonts w:ascii="Times New Roman" w:hAnsi="Times New Roman"/>
          <w:b/>
          <w:sz w:val="22"/>
        </w:rPr>
        <w:t>RQ2:</w:t>
      </w:r>
      <w:r>
        <w:rPr>
          <w:rFonts w:ascii="Times New Roman" w:hAnsi="Times New Roman"/>
          <w:sz w:val="22"/>
        </w:rPr>
        <w:t xml:space="preserve"> How does digital sarcasm manifest pragmatically through lexical oppositions and emoji semiotic subversions in public critique?</w:t>
      </w:r>
    </w:p>
    <w:p>
      <w:pPr>
        <w:pStyle w:val="ListBullet"/>
      </w:pPr>
      <w:r/>
      <w:r>
        <w:rPr>
          <w:rFonts w:ascii="Times New Roman" w:hAnsi="Times New Roman"/>
          <w:b/>
          <w:sz w:val="22"/>
        </w:rPr>
        <w:t>RQ3:</w:t>
      </w:r>
      <w:r>
        <w:rPr>
          <w:rFonts w:ascii="Times New Roman" w:hAnsi="Times New Roman"/>
          <w:sz w:val="22"/>
        </w:rPr>
        <w:t xml:space="preserve"> What is the macro-topological structure of the interaction network, and does discourse polarize into binary camps or fracture into hyper-fragmented echo chambers?</w:t>
      </w:r>
    </w:p>
    <w:p>
      <w:pPr>
        <w:pStyle w:val="ListBullet"/>
      </w:pPr>
      <w:r/>
      <w:r>
        <w:rPr>
          <w:rFonts w:ascii="Times New Roman" w:hAnsi="Times New Roman"/>
          <w:b/>
          <w:sz w:val="22"/>
        </w:rPr>
        <w:t>RQ4:</w:t>
      </w:r>
      <w:r>
        <w:rPr>
          <w:rFonts w:ascii="Times New Roman" w:hAnsi="Times New Roman"/>
          <w:sz w:val="22"/>
        </w:rPr>
        <w:t xml:space="preserve"> Which actors occupy dominant structural centrality, and does an influence asymmetry exist between institutional policy authorities and alternative epistemic actors?</w:t>
      </w:r>
    </w:p>
    <w:p>
      <w:pPr>
        <w:pStyle w:val="ListBullet"/>
      </w:pPr>
      <w:r/>
      <w:r>
        <w:rPr>
          <w:rFonts w:ascii="Times New Roman" w:hAnsi="Times New Roman"/>
          <w:b/>
          <w:sz w:val="22"/>
        </w:rPr>
        <w:t>RQ5:</w:t>
      </w:r>
      <w:r>
        <w:rPr>
          <w:rFonts w:ascii="Times New Roman" w:hAnsi="Times New Roman"/>
          <w:sz w:val="22"/>
        </w:rPr>
        <w:t xml:space="preserve"> How does the fine-tuned IndoBERT model perform across imbalanced social media classes, and what linguistic factors govern classification boundaries?</w:t>
      </w:r>
    </w:p>
    <w:p>
      <w:pPr>
        <w:pStyle w:val="ListBullet"/>
      </w:pPr>
      <w:r/>
      <w:r>
        <w:rPr>
          <w:rFonts w:ascii="Times New Roman" w:hAnsi="Times New Roman"/>
          <w:b/>
          <w:sz w:val="22"/>
        </w:rPr>
        <w:t>RQ6:</w:t>
      </w:r>
      <w:r>
        <w:rPr>
          <w:rFonts w:ascii="Times New Roman" w:hAnsi="Times New Roman"/>
          <w:sz w:val="22"/>
        </w:rPr>
        <w:t xml:space="preserve"> How does aspect-based affective distribution across logistics, budgeting, and food nutrition empirically substantiate the </w:t>
      </w:r>
      <w:r>
        <w:rPr>
          <w:rFonts w:ascii="Times New Roman" w:hAnsi="Times New Roman"/>
          <w:i/>
          <w:sz w:val="22"/>
        </w:rPr>
        <w:t>Phygital Gap</w:t>
      </w:r>
      <w:r>
        <w:rPr>
          <w:rFonts w:ascii="Times New Roman" w:hAnsi="Times New Roman"/>
          <w:sz w:val="22"/>
        </w:rPr>
        <w:t xml:space="preserve"> thesis?</w:t>
      </w:r>
    </w:p>
    <w:p>
      <w:pPr>
        <w:spacing w:line="276" w:lineRule="auto" w:after="80"/>
      </w:pPr>
      <w:r>
        <w:t>---</w:t>
      </w:r>
    </w:p>
    <w:p>
      <w:pPr>
        <w:pStyle w:val="Heading1"/>
        <w:spacing w:before="240" w:after="80"/>
      </w:pPr>
      <w:r>
        <w:t>2. THEORETICAL FRAMEWORK AND LITERATURE REVIEW</w:t>
      </w:r>
    </w:p>
    <w:p>
      <w:pPr>
        <w:pStyle w:val="Heading2"/>
        <w:spacing w:before="160" w:after="40"/>
      </w:pPr>
      <w:r>
        <w:t>2.1 Situational Crisis Communication Theory (SCCT) and Networked Crises</w:t>
      </w:r>
    </w:p>
    <w:p>
      <w:pPr>
        <w:spacing w:line="276" w:lineRule="auto" w:after="80"/>
      </w:pPr>
      <w: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pPr>
        <w:pStyle w:val="Heading2"/>
        <w:spacing w:before="160" w:after="40"/>
      </w:pPr>
      <w:r>
        <w:t>2.2 The Structural Transformation of the Digital Public Sphere</w:t>
      </w:r>
    </w:p>
    <w:p>
      <w:pPr>
        <w:spacing w:line="276" w:lineRule="auto" w:after="80"/>
      </w:pPr>
      <w:r/>
      <w:r>
        <w:rPr>
          <w:rFonts w:ascii="Times New Roman" w:hAnsi="Times New Roman"/>
          <w:sz w:val="22"/>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pPr>
        <w:pStyle w:val="Heading2"/>
        <w:spacing w:before="160" w:after="40"/>
      </w:pPr>
      <w:r>
        <w:t>2.3 Pretense Theory and Semiotic Subversion in Sarcasm</w:t>
      </w:r>
    </w:p>
    <w:p>
      <w:pPr>
        <w:spacing w:line="276" w:lineRule="auto" w:after="80"/>
      </w:pPr>
      <w:r/>
      <w:r>
        <w:rPr>
          <w:rFonts w:ascii="Times New Roman" w:hAnsi="Times New Roman"/>
          <w:sz w:val="22"/>
        </w:rPr>
        <w:t xml:space="preserve">Sarcasm in digital communication cannot be deciphered through literal semantic decoding. According to Clark and Gerrig's (1984) </w:t>
      </w:r>
      <w:r>
        <w:rPr>
          <w:rFonts w:ascii="Times New Roman" w:hAnsi="Times New Roman"/>
          <w:i/>
          <w:sz w:val="22"/>
        </w:rPr>
        <w:t>Pretense Theory</w:t>
      </w:r>
      <w:r>
        <w:rPr>
          <w:rFonts w:ascii="Times New Roman" w:hAnsi="Times New Roman"/>
          <w:sz w:val="22"/>
        </w:rPr>
        <w:t xml:space="preserve">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pPr>
        <w:pStyle w:val="Heading2"/>
        <w:spacing w:before="160" w:after="40"/>
      </w:pPr>
      <w:r>
        <w:t>2.4 Marketing 6.0 and the 'Phygital Gap' in Public Governance</w:t>
      </w:r>
    </w:p>
    <w:p>
      <w:pPr>
        <w:spacing w:line="276" w:lineRule="auto" w:after="80"/>
      </w:pPr>
      <w:r/>
      <w:r>
        <w:rPr>
          <w:rFonts w:ascii="Times New Roman" w:hAnsi="Times New Roman"/>
          <w:sz w:val="22"/>
        </w:rPr>
        <w:t xml:space="preserve">Philip Kotler, Hermawan Kartajaya, and Iwan Setiawan (2023) introduced Marketing 6.0 to define the imperative of delivering seamless </w:t>
      </w:r>
      <w:r>
        <w:rPr>
          <w:rFonts w:ascii="Times New Roman" w:hAnsi="Times New Roman"/>
          <w:i/>
          <w:sz w:val="22"/>
        </w:rPr>
        <w:t>phygital</w:t>
      </w:r>
      <w:r>
        <w:rPr>
          <w:rFonts w:ascii="Times New Roman" w:hAnsi="Times New Roman"/>
          <w:sz w:val="22"/>
        </w:rPr>
        <w:t xml:space="preserve"> (physical-digital) customer experiences through sensory immersion. While formulated for commercial marketing, this study argues that the </w:t>
      </w:r>
      <w:r>
        <w:rPr>
          <w:rFonts w:ascii="Times New Roman" w:hAnsi="Times New Roman"/>
          <w:i/>
          <w:sz w:val="22"/>
        </w:rPr>
        <w:t>Phygital Gap</w:t>
      </w:r>
      <w:r>
        <w:rPr>
          <w:rFonts w:ascii="Times New Roman" w:hAnsi="Times New Roman"/>
          <w:sz w:val="22"/>
        </w:rPr>
        <w:t xml:space="preserve"> possesses immense explanatory power for state governance. When government social media accounts portray a program through pristine, high-resolution digital media (</w:t>
      </w:r>
      <w:r>
        <w:rPr>
          <w:rFonts w:ascii="Times New Roman" w:hAnsi="Times New Roman"/>
          <w:i/>
          <w:sz w:val="22"/>
        </w:rPr>
        <w:t>digital perfection</w:t>
      </w:r>
      <w:r>
        <w:rPr>
          <w:rFonts w:ascii="Times New Roman" w:hAnsi="Times New Roman"/>
          <w:sz w:val="22"/>
        </w:rPr>
        <w:t>), but citizens encounter rancid food, meager portions, or unhygienic distribution (</w:t>
      </w:r>
      <w:r>
        <w:rPr>
          <w:rFonts w:ascii="Times New Roman" w:hAnsi="Times New Roman"/>
          <w:i/>
          <w:sz w:val="22"/>
        </w:rPr>
        <w:t>physical failure</w:t>
      </w:r>
      <w:r>
        <w:rPr>
          <w:rFonts w:ascii="Times New Roman" w:hAnsi="Times New Roman"/>
          <w:sz w:val="22"/>
        </w:rPr>
        <w:t>), cognitive dissonance erupts. The resulting public backlash is not directed at the abstract policy concept, but at the breach of sensory contract between the state's digital marketing and physical reality.</w:t>
      </w:r>
    </w:p>
    <w:p>
      <w:pPr>
        <w:pStyle w:val="Heading2"/>
        <w:spacing w:before="160" w:after="40"/>
      </w:pPr>
      <w:r>
        <w:t>2.5 Transformer Language Models and IndoBERT</w:t>
      </w:r>
    </w:p>
    <w:p>
      <w:pPr>
        <w:spacing w:line="276" w:lineRule="auto" w:after="80"/>
      </w:pPr>
      <w:r/>
      <w:r>
        <w:rPr>
          <w:rFonts w:ascii="Times New Roman" w:hAnsi="Times New Roman"/>
          <w:sz w:val="22"/>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pPr>
        <w:spacing w:line="276" w:lineRule="auto" w:after="80"/>
      </w:pPr>
      <w:r>
        <w:t>---</w:t>
      </w:r>
    </w:p>
    <w:p>
      <w:pPr>
        <w:pStyle w:val="Heading1"/>
        <w:spacing w:before="240" w:after="80"/>
      </w:pPr>
      <w:r>
        <w:t>3. METHODOLOGY AND RESEARCH DESIGN</w:t>
      </w:r>
    </w:p>
    <w:p>
      <w:pPr>
        <w:pStyle w:val="Heading2"/>
        <w:spacing w:before="160" w:after="40"/>
      </w:pPr>
      <w:r>
        <w:t>3.1 Research Design</w:t>
      </w:r>
    </w:p>
    <w:p>
      <w:pPr>
        <w:spacing w:line="276" w:lineRule="auto" w:after="80"/>
      </w:pPr>
      <w:r>
        <w:t>This study employs a quantitative computational social science (CSS) design combined with qualitative rhetorical deconstruction. The research pipeline progresses through four synchronized analytical stages:</w:t>
      </w:r>
    </w:p>
    <w:p>
      <w:pPr>
        <w:pStyle w:val="ListNumber"/>
      </w:pPr>
      <w:r/>
      <w:r>
        <w:rPr>
          <w:rFonts w:ascii="Times New Roman" w:hAnsi="Times New Roman"/>
          <w:sz w:val="22"/>
        </w:rPr>
        <w:t>Natural Language Processing via transformer fine-tuning for 9-class emotion modeling (indobert_9_emosi_fixed.csv, $N = 5,263$).</w:t>
      </w:r>
    </w:p>
    <w:p>
      <w:pPr>
        <w:pStyle w:val="ListNumber"/>
      </w:pPr>
      <w:r/>
      <w:r>
        <w:rPr>
          <w:rFonts w:ascii="Times New Roman" w:hAnsi="Times New Roman"/>
          <w:sz w:val="22"/>
        </w:rPr>
        <w:t>Algorithmic rule-based sarcasm validation (dataset_sindiran_valid.csv, $N = 3,395$).</w:t>
      </w:r>
    </w:p>
    <w:p>
      <w:pPr>
        <w:pStyle w:val="ListNumber"/>
      </w:pPr>
      <w:r/>
      <w:r>
        <w:rPr>
          <w:rFonts w:ascii="Times New Roman" w:hAnsi="Times New Roman"/>
          <w:sz w:val="22"/>
        </w:rPr>
        <w:t>Directed Social Network Analysis (network_edges.csv, $|V| = 971$, $|E| = 666$).</w:t>
      </w:r>
    </w:p>
    <w:p>
      <w:pPr>
        <w:pStyle w:val="ListNumber"/>
      </w:pPr>
      <w:r/>
      <w:r>
        <w:rPr>
          <w:rFonts w:ascii="Times New Roman" w:hAnsi="Times New Roman"/>
          <w:sz w:val="22"/>
        </w:rPr>
        <w:t>Thematic Aspect-Based Sentiment Analysis (absa_results.csv, 3 operational pillars).</w:t>
      </w:r>
    </w:p>
    <w:p>
      <w:pPr>
        <w:pStyle w:val="Heading2"/>
        <w:spacing w:before="160" w:after="40"/>
      </w:pPr>
      <w:r>
        <w:t>3.2 Corpus Acquisition and Preprocessing</w:t>
      </w:r>
    </w:p>
    <w:p>
      <w:pPr>
        <w:spacing w:line="276" w:lineRule="auto" w:after="80"/>
      </w:pPr>
      <w:r/>
      <w:r>
        <w:rPr>
          <w:rFonts w:ascii="Times New Roman" w:hAnsi="Times New Roman"/>
          <w:sz w:val="22"/>
        </w:rPr>
        <w:t>Data was collected from Platform X between January and March 2026 utilizing search queries targeted at the MBG discourse: #MakanBergiziGratis, Program MBG, menu MBG, keracunan MBG, and anggaran MBG. A raw corpus of $N = 5,310$ tweets was captured.</w:t>
      </w:r>
    </w:p>
    <w:p>
      <w:pPr>
        <w:spacing w:line="276" w:lineRule="auto" w:after="80"/>
      </w:pPr>
      <w:r>
        <w:t>Preprocessing was implemented in Python using regular expressions and custom Indonesian linguistic dictionaries:</w:t>
      </w:r>
    </w:p>
    <w:p>
      <w:pPr>
        <w:pStyle w:val="ListBullet"/>
      </w:pPr>
      <w:r/>
      <w:r>
        <w:rPr>
          <w:rFonts w:ascii="Times New Roman" w:hAnsi="Times New Roman"/>
          <w:b/>
          <w:sz w:val="22"/>
        </w:rPr>
        <w:t>Denoising:</w:t>
      </w:r>
      <w:r>
        <w:rPr>
          <w:rFonts w:ascii="Times New Roman" w:hAnsi="Times New Roman"/>
          <w:sz w:val="22"/>
        </w:rPr>
        <w:t xml:space="preserve"> Stripping URLs, redundant white spaces, punctuation cascades, and platform metadata artifacts.</w:t>
      </w:r>
    </w:p>
    <w:p>
      <w:pPr>
        <w:pStyle w:val="ListBullet"/>
      </w:pPr>
      <w:r/>
      <w:r>
        <w:rPr>
          <w:rFonts w:ascii="Times New Roman" w:hAnsi="Times New Roman"/>
          <w:b/>
          <w:sz w:val="22"/>
        </w:rPr>
        <w:t>Entity Preservation:</w:t>
      </w:r>
      <w:r>
        <w:rPr>
          <w:rFonts w:ascii="Times New Roman" w:hAnsi="Times New Roman"/>
          <w:sz w:val="22"/>
        </w:rPr>
        <w:t xml:space="preserve"> Extracting user mentions (@username) for network edge formulation prior to text masking.</w:t>
      </w:r>
    </w:p>
    <w:p>
      <w:pPr>
        <w:pStyle w:val="ListBullet"/>
      </w:pPr>
      <w:r/>
      <w:r>
        <w:rPr>
          <w:rFonts w:ascii="Times New Roman" w:hAnsi="Times New Roman"/>
          <w:b/>
          <w:sz w:val="22"/>
        </w:rPr>
        <w:t>Emoji Demarcation:</w:t>
      </w:r>
      <w:r>
        <w:rPr>
          <w:rFonts w:ascii="Times New Roman" w:hAnsi="Times New Roman"/>
          <w:sz w:val="22"/>
        </w:rPr>
        <w:t xml:space="preserve"> Converting raw UTF-8 emoji glyphs into semantic text descriptors (e.g., 🤡 to :clown_face:, 🤮 to :vomiting_face:) to preserve pragmatic sentiment valence.</w:t>
      </w:r>
    </w:p>
    <w:p>
      <w:pPr>
        <w:pStyle w:val="ListBullet"/>
      </w:pPr>
      <w:r/>
      <w:r>
        <w:rPr>
          <w:rFonts w:ascii="Times New Roman" w:hAnsi="Times New Roman"/>
          <w:b/>
          <w:sz w:val="22"/>
        </w:rPr>
        <w:t>Slang Normalization:</w:t>
      </w:r>
      <w:r>
        <w:rPr>
          <w:rFonts w:ascii="Times New Roman" w:hAnsi="Times New Roman"/>
          <w:sz w:val="22"/>
        </w:rPr>
        <w:t xml:space="preserve"> Replacing non-standard conversational slang (</w:t>
      </w:r>
      <w:r>
        <w:rPr>
          <w:rFonts w:ascii="Times New Roman" w:hAnsi="Times New Roman"/>
          <w:i/>
          <w:sz w:val="22"/>
        </w:rPr>
        <w:t>kata gaul/singkatan</w:t>
      </w:r>
      <w:r>
        <w:rPr>
          <w:rFonts w:ascii="Times New Roman" w:hAnsi="Times New Roman"/>
          <w:sz w:val="22"/>
        </w:rPr>
        <w:t>) with standard formal lemmas using a curated Indonesian informal lexicon (</w:t>
      </w:r>
      <w:r>
        <w:rPr>
          <w:rFonts w:ascii="Times New Roman" w:hAnsi="Times New Roman"/>
          <w:i/>
          <w:sz w:val="22"/>
        </w:rPr>
        <w:t>e.g., 'bgt' to 'banget', 'bener2' to 'benar-benar'</w:t>
      </w:r>
      <w:r>
        <w:rPr>
          <w:rFonts w:ascii="Times New Roman" w:hAnsi="Times New Roman"/>
          <w:sz w:val="22"/>
        </w:rPr>
        <w:t xml:space="preserve">, </w:t>
      </w:r>
      <w:r>
        <w:rPr>
          <w:rFonts w:ascii="Times New Roman" w:hAnsi="Times New Roman"/>
          <w:i/>
          <w:sz w:val="22"/>
        </w:rPr>
        <w:t>'ancur' to 'hancur'</w:t>
      </w:r>
      <w:r>
        <w:rPr>
          <w:rFonts w:ascii="Times New Roman" w:hAnsi="Times New Roman"/>
          <w:sz w:val="22"/>
        </w:rPr>
        <w:t>).</w:t>
      </w:r>
    </w:p>
    <w:p>
      <w:pPr>
        <w:pStyle w:val="ListBullet"/>
      </w:pPr>
      <w:r/>
      <w:r>
        <w:rPr>
          <w:rFonts w:ascii="Times New Roman" w:hAnsi="Times New Roman"/>
          <w:sz w:val="22"/>
        </w:rPr>
        <w:t>Deduplication: Removing exact duplicate retweets, resulting in a clean corpus of $N = 5,309$ records (data/processed/data_clean.csv), which was subsequently filtered to $N = 5,263$ high-integrity tweets for final inference.</w:t>
      </w:r>
    </w:p>
    <w:p>
      <w:pPr>
        <w:pStyle w:val="Heading2"/>
        <w:spacing w:before="160" w:after="40"/>
      </w:pPr>
      <w:r>
        <w:t>3.3 Fine-Tuning IndoBERT for 9 Granular Emotions</w:t>
      </w:r>
    </w:p>
    <w:p>
      <w:pPr>
        <w:spacing w:line="276" w:lineRule="auto" w:after="80"/>
      </w:pPr>
      <w:r/>
      <w:r>
        <w:rPr>
          <w:rFonts w:ascii="Times New Roman" w:hAnsi="Times New Roman"/>
          <w:sz w:val="22"/>
        </w:rPr>
        <w:t xml:space="preserve">We adapted Robert Plutchik's psycho-evolutionary emotion taxonomy into 9 operational classes: </w:t>
      </w:r>
      <w:r>
        <w:rPr>
          <w:rFonts w:ascii="Times New Roman" w:hAnsi="Times New Roman"/>
          <w:i/>
          <w:sz w:val="22"/>
        </w:rPr>
        <w:t>Disgust (Jijik), Trust (Percaya), Neutral (Netral), Anticipation (Antisipasi/Tertarik), Anger (Marah), Sadness (Sedih), Joy (Senang), Surprise (Terkejut), and Fear (Takut)</w:t>
      </w:r>
      <w:r>
        <w:rPr>
          <w:rFonts w:ascii="Times New Roman" w:hAnsi="Times New Roman"/>
          <w:sz w:val="22"/>
        </w:rPr>
        <w:t>.</w:t>
      </w:r>
    </w:p>
    <w:p>
      <w:pPr>
        <w:pStyle w:val="ListBullet"/>
      </w:pPr>
      <w:r/>
      <w:r>
        <w:rPr>
          <w:rFonts w:ascii="Times New Roman" w:hAnsi="Times New Roman"/>
          <w:b/>
          <w:sz w:val="22"/>
        </w:rPr>
        <w:t>Base Architecture:</w:t>
      </w:r>
      <w:r>
        <w:rPr>
          <w:rFonts w:ascii="Times New Roman" w:hAnsi="Times New Roman"/>
          <w:sz w:val="22"/>
        </w:rPr>
        <w:t xml:space="preserve"> indobenchmark/indobert-base-p2 (12 transformer layers, 768 hidden dimensions, 12 self-attention heads, 124.5 million parameters).</w:t>
      </w:r>
    </w:p>
    <w:p>
      <w:pPr>
        <w:pStyle w:val="ListBullet"/>
      </w:pPr>
      <w:r/>
      <w:r>
        <w:rPr>
          <w:rFonts w:ascii="Times New Roman" w:hAnsi="Times New Roman"/>
          <w:sz w:val="22"/>
        </w:rPr>
        <w:t>Dataset Partitioning: Stratified splitting of annotated data into 80% training set ($N = 4,210$) and 20% independent holdout test set ($n = 1,053$).</w:t>
      </w:r>
    </w:p>
    <w:p>
      <w:pPr>
        <w:pStyle w:val="ListBullet"/>
      </w:pPr>
      <w:r/>
      <w:r>
        <w:rPr>
          <w:rFonts w:ascii="Times New Roman" w:hAnsi="Times New Roman"/>
          <w:b/>
          <w:sz w:val="22"/>
        </w:rPr>
        <w:t>Hyperparameter Specifications:</w:t>
      </w:r>
    </w:p>
    <w:p>
      <w:pPr>
        <w:pStyle w:val="ListBullet"/>
      </w:pPr>
      <w:r/>
      <w:r>
        <w:rPr>
          <w:rFonts w:ascii="Times New Roman" w:hAnsi="Times New Roman"/>
          <w:sz w:val="22"/>
        </w:rPr>
        <w:t>Optimizer: AdamW with weight decay $\lambda = 0.01$.</w:t>
      </w:r>
    </w:p>
    <w:p>
      <w:pPr>
        <w:pStyle w:val="ListBullet"/>
      </w:pPr>
      <w:r/>
      <w:r>
        <w:rPr>
          <w:rFonts w:ascii="Times New Roman" w:hAnsi="Times New Roman"/>
          <w:sz w:val="22"/>
        </w:rPr>
        <w:t xml:space="preserve">Learning Rate: $\eta = 2 </w:t>
        <w:tab/>
        <w:t>imes 10^{-5}$ with linear learning rate warmup.</w:t>
      </w:r>
    </w:p>
    <w:p>
      <w:pPr>
        <w:pStyle w:val="ListBullet"/>
      </w:pPr>
      <w:r>
        <w:t>Batch Size: 16 per device.</w:t>
      </w:r>
    </w:p>
    <w:p>
      <w:pPr>
        <w:pStyle w:val="ListBullet"/>
      </w:pPr>
      <w:r>
        <w:t>Epochs: 3 epochs (following Devlin et al., 2018 and Wilie et al., 2020 to prevent catastrophic forgetting and overfitting).</w:t>
      </w:r>
    </w:p>
    <w:p>
      <w:pPr>
        <w:pStyle w:val="ListBullet"/>
      </w:pPr>
      <w:r>
        <w:t>Maximum Sequence Length: 128 tokens.</w:t>
      </w:r>
    </w:p>
    <w:p>
      <w:pPr>
        <w:pStyle w:val="ListBullet"/>
      </w:pPr>
      <w:r/>
      <w:r>
        <w:rPr>
          <w:rFonts w:ascii="Times New Roman" w:hAnsi="Times New Roman"/>
          <w:sz w:val="22"/>
        </w:rPr>
        <w:t>Checkpoint Selection: Evaluated per epoch; optimal weights extracted at step 792 (checkpoint-792).</w:t>
      </w:r>
    </w:p>
    <w:p>
      <w:pPr>
        <w:pStyle w:val="Heading2"/>
        <w:spacing w:before="160" w:after="40"/>
      </w:pPr>
      <w:r>
        <w:t>3.4 Pragmatic Sarcasm Validation Algorithm</w:t>
      </w:r>
    </w:p>
    <w:p>
      <w:pPr>
        <w:spacing w:line="276" w:lineRule="auto" w:after="80"/>
      </w:pPr>
      <w:r/>
      <w:r>
        <w:rPr>
          <w:rFonts w:ascii="Times New Roman" w:hAnsi="Times New Roman"/>
          <w:sz w:val="22"/>
        </w:rPr>
        <w:t>Sarcasm detection was operationalized on a dedicated corpus of $N = 3,395$ tweets. An algorithmic rule-based matcher evaluated tweets based on two formal linguistic criteria:</w:t>
      </w:r>
    </w:p>
    <w:p>
      <w:pPr>
        <w:spacing w:line="276" w:lineRule="auto" w:after="80"/>
      </w:pPr>
      <w:r/>
      <w:r>
        <w:rPr>
          <w:rFonts w:ascii="Times New Roman" w:hAnsi="Times New Roman"/>
          <w:sz w:val="22"/>
        </w:rPr>
        <w:t>Tweets matching combinations of praise adjectives with complaint context, or positive polarity text with derisive emojis, were flagged and subjected to manual inter-annotator verification, yielding 315 validated sarcastic tweets ($9.28\%$).</w:t>
      </w:r>
    </w:p>
    <w:p>
      <w:pPr>
        <w:pStyle w:val="Heading2"/>
        <w:spacing w:before="160" w:after="40"/>
      </w:pPr>
      <w:r>
        <w:t>3.5 Social Network Modeling and Community Partitions</w:t>
      </w:r>
    </w:p>
    <w:p>
      <w:pPr>
        <w:spacing w:line="276" w:lineRule="auto" w:after="80"/>
      </w:pPr>
      <w:r/>
      <w:r>
        <w:rPr>
          <w:rFonts w:ascii="Times New Roman" w:hAnsi="Times New Roman"/>
          <w:sz w:val="22"/>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pPr>
        <w:pStyle w:val="ListBullet"/>
      </w:pPr>
      <w:r/>
      <w:r>
        <w:rPr>
          <w:rFonts w:ascii="Times New Roman" w:hAnsi="Times New Roman"/>
          <w:b/>
          <w:sz w:val="22"/>
        </w:rPr>
        <w:t>Structural Centrality:</w:t>
      </w:r>
    </w:p>
    <w:p>
      <w:pPr>
        <w:pStyle w:val="ListBullet"/>
      </w:pPr>
      <w:r/>
      <w:r>
        <w:rPr>
          <w:rFonts w:ascii="Times New Roman" w:hAnsi="Times New Roman"/>
          <w:sz w:val="22"/>
        </w:rPr>
        <w:t>In-Degree Centrality ($C_{</w:t>
        <w:tab/>
        <w:t>ext{in}}(v)$): Quantifies prestige and attention received.</w:t>
      </w:r>
    </w:p>
    <w:p>
      <w:pPr>
        <w:pStyle w:val="ListBullet"/>
      </w:pPr>
      <w:r/>
      <w:r>
        <w:rPr>
          <w:rFonts w:ascii="Times New Roman" w:hAnsi="Times New Roman"/>
          <w:sz w:val="22"/>
        </w:rPr>
        <w:t>Out-Degree Centrality ($C_{</w:t>
        <w:tab/>
        <w:t>ext{out}}(v)$): Quantifies active communicative broadcasting.</w:t>
      </w:r>
    </w:p>
    <w:p>
      <w:pPr>
        <w:pStyle w:val="ListBullet"/>
      </w:pPr>
      <w:r/>
      <w:r>
        <w:rPr>
          <w:rFonts w:ascii="Times New Roman" w:hAnsi="Times New Roman"/>
          <w:sz w:val="22"/>
        </w:rPr>
        <w:t>Betweenness Centrality ($C_B(v)$): Identifies structural brokers bridging otherwise disconnected clusters.</w:t>
      </w:r>
    </w:p>
    <w:p>
      <w:pPr>
        <w:pStyle w:val="ListBullet"/>
      </w:pPr>
      <w:r/>
      <w:r>
        <w:rPr>
          <w:rFonts w:ascii="Times New Roman" w:hAnsi="Times New Roman"/>
          <w:b/>
          <w:sz w:val="22"/>
        </w:rPr>
        <w:t>Community Detection:</w:t>
      </w:r>
      <w:r>
        <w:rPr>
          <w:rFonts w:ascii="Times New Roman" w:hAnsi="Times New Roman"/>
          <w:sz w:val="22"/>
        </w:rPr>
        <w:t xml:space="preserve"> Modularity optimization using the Louvain heuristic algorithm (Blondel et al., 2008).</w:t>
      </w:r>
    </w:p>
    <w:p>
      <w:pPr>
        <w:pStyle w:val="Heading2"/>
        <w:spacing w:before="160" w:after="40"/>
      </w:pPr>
      <w:r>
        <w:t>3.6 Thematic Aspect-Based Sentiment Analysis (ABSA)</w:t>
      </w:r>
    </w:p>
    <w:p>
      <w:pPr>
        <w:spacing w:line="276" w:lineRule="auto" w:after="80"/>
      </w:pPr>
      <w:r/>
      <w:r>
        <w:rPr>
          <w:rFonts w:ascii="Times New Roman" w:hAnsi="Times New Roman"/>
          <w:sz w:val="22"/>
        </w:rPr>
        <w:t xml:space="preserve">To measure the </w:t>
      </w:r>
      <w:r>
        <w:rPr>
          <w:rFonts w:ascii="Times New Roman" w:hAnsi="Times New Roman"/>
          <w:i/>
          <w:sz w:val="22"/>
        </w:rPr>
        <w:t>Phygital Gap</w:t>
      </w:r>
      <w:r>
        <w:rPr>
          <w:rFonts w:ascii="Times New Roman" w:hAnsi="Times New Roman"/>
          <w:sz w:val="22"/>
        </w:rPr>
        <w:t>, tweets were mapped into three operational pillars of the MBG program using domain-specific lexical expansion:</w:t>
      </w:r>
    </w:p>
    <w:p>
      <w:pPr>
        <w:pStyle w:val="ListNumber"/>
      </w:pPr>
      <w:r/>
      <w:r>
        <w:rPr>
          <w:rFonts w:ascii="Times New Roman" w:hAnsi="Times New Roman"/>
          <w:b/>
          <w:sz w:val="22"/>
        </w:rPr>
        <w:t>Logistics &amp; Distribution:</w:t>
      </w:r>
      <w:r>
        <w:rPr>
          <w:rFonts w:ascii="Times New Roman" w:hAnsi="Times New Roman"/>
          <w:sz w:val="22"/>
        </w:rPr>
        <w:t xml:space="preserve"> keywords related to delivery delays, cold food, vendor packaging, and distribution timing.</w:t>
      </w:r>
    </w:p>
    <w:p>
      <w:pPr>
        <w:pStyle w:val="ListNumber"/>
      </w:pPr>
      <w:r/>
      <w:r>
        <w:rPr>
          <w:rFonts w:ascii="Times New Roman" w:hAnsi="Times New Roman"/>
          <w:b/>
          <w:sz w:val="22"/>
        </w:rPr>
        <w:t>Budget &amp; Vendor Allocation:</w:t>
      </w:r>
      <w:r>
        <w:rPr>
          <w:rFonts w:ascii="Times New Roman" w:hAnsi="Times New Roman"/>
          <w:sz w:val="22"/>
        </w:rPr>
        <w:t xml:space="preserve"> keywords related to per-meal unit costs (e.g., Rp15.000 vs Rp10.000), corruption, tender transparency, and supplier markups.</w:t>
      </w:r>
    </w:p>
    <w:p>
      <w:pPr>
        <w:pStyle w:val="ListNumber"/>
      </w:pPr>
      <w:r/>
      <w:r>
        <w:rPr>
          <w:rFonts w:ascii="Times New Roman" w:hAnsi="Times New Roman"/>
          <w:b/>
          <w:sz w:val="22"/>
        </w:rPr>
        <w:t>Food Nutritional Quality:</w:t>
      </w:r>
      <w:r>
        <w:rPr>
          <w:rFonts w:ascii="Times New Roman" w:hAnsi="Times New Roman"/>
          <w:sz w:val="22"/>
        </w:rPr>
        <w:t xml:space="preserve"> keywords related to taste, spoiled milk, rotten fruit, small portion sizes, and hygienic safety.</w:t>
      </w:r>
    </w:p>
    <w:p>
      <w:pPr>
        <w:spacing w:line="276" w:lineRule="auto" w:after="80"/>
      </w:pPr>
      <w:r>
        <w:t>Affective distributions were calculated across each aspect to verify where public disgust concentrated.</w:t>
      </w:r>
    </w:p>
    <w:p>
      <w:pPr>
        <w:spacing w:line="276" w:lineRule="auto" w:after="80"/>
      </w:pPr>
      <w:r>
        <w:t>---</w:t>
      </w:r>
    </w:p>
    <w:p>
      <w:pPr>
        <w:pStyle w:val="Heading1"/>
        <w:spacing w:before="240" w:after="80"/>
      </w:pPr>
      <w:r>
        <w:t>4. EMPIRICAL RESULTS</w:t>
      </w:r>
    </w:p>
    <w:p>
      <w:pPr>
        <w:pStyle w:val="Heading2"/>
        <w:spacing w:before="160" w:after="40"/>
      </w:pPr>
      <w:r>
        <w:t>4.1 Granular Emotion Distribution (IndoBERT Inference)</w:t>
      </w:r>
    </w:p>
    <w:p>
      <w:pPr>
        <w:spacing w:line="276" w:lineRule="auto" w:after="80"/>
      </w:pPr>
      <w:r/>
      <w:r>
        <w:rPr>
          <w:rFonts w:ascii="Times New Roman" w:hAnsi="Times New Roman"/>
          <w:sz w:val="22"/>
        </w:rPr>
        <w:t>Inference across the complete corpus ($N = 5,263$) established an overwhelming concentration of negative visceral affect:</w:t>
      </w:r>
    </w:p>
    <w:p>
      <w:pPr>
        <w:spacing w:line="276" w:lineRule="auto" w:after="80"/>
      </w:pPr>
      <w:r>
        <w:t>| Emotion Class (Plutchik) | Indonesian Label | Tweet Count | Percentage (%) | Communicative Role in Policy Crisis |</w:t>
      </w:r>
    </w:p>
    <w:p>
      <w:pPr>
        <w:spacing w:line="276" w:lineRule="auto" w:after="80"/>
      </w:pPr>
      <w:r>
        <w:t>| :--- | :--- | :---: | :---: | :--- |</w:t>
      </w:r>
    </w:p>
    <w:p>
      <w:pPr>
        <w:spacing w:line="276" w:lineRule="auto" w:after="80"/>
      </w:pPr>
      <w:r/>
      <w:r>
        <w:rPr>
          <w:rFonts w:ascii="Times New Roman" w:hAnsi="Times New Roman"/>
          <w:sz w:val="22"/>
        </w:rPr>
        <w:t xml:space="preserve">| </w:t>
      </w:r>
      <w:r>
        <w:rPr>
          <w:rFonts w:ascii="Times New Roman" w:hAnsi="Times New Roman"/>
          <w:b/>
          <w:sz w:val="22"/>
        </w:rPr>
        <w:t>Disgust</w:t>
      </w:r>
      <w:r>
        <w:rPr>
          <w:rFonts w:ascii="Times New Roman" w:hAnsi="Times New Roman"/>
          <w:sz w:val="22"/>
        </w:rPr>
        <w:t xml:space="preserve"> | Jijik / Mual | </w:t>
      </w:r>
      <w:r>
        <w:rPr>
          <w:rFonts w:ascii="Times New Roman" w:hAnsi="Times New Roman"/>
          <w:b/>
          <w:sz w:val="22"/>
        </w:rPr>
        <w:t>2,960</w:t>
      </w:r>
      <w:r>
        <w:rPr>
          <w:rFonts w:ascii="Times New Roman" w:hAnsi="Times New Roman"/>
          <w:sz w:val="22"/>
        </w:rPr>
        <w:t xml:space="preserve"> | </w:t>
      </w:r>
      <w:r>
        <w:rPr>
          <w:rFonts w:ascii="Times New Roman" w:hAnsi="Times New Roman"/>
          <w:b/>
          <w:sz w:val="22"/>
        </w:rPr>
        <w:t>56.24%</w:t>
      </w:r>
      <w:r>
        <w:rPr>
          <w:rFonts w:ascii="Times New Roman" w:hAnsi="Times New Roman"/>
          <w:sz w:val="22"/>
        </w:rPr>
        <w:t xml:space="preserve"> | Rejection of physical food quality and portion execution |</w:t>
      </w:r>
    </w:p>
    <w:p>
      <w:pPr>
        <w:spacing w:line="276" w:lineRule="auto" w:after="80"/>
      </w:pPr>
      <w:r/>
      <w:r>
        <w:rPr>
          <w:rFonts w:ascii="Times New Roman" w:hAnsi="Times New Roman"/>
          <w:sz w:val="22"/>
        </w:rPr>
        <w:t xml:space="preserve">| </w:t>
      </w:r>
      <w:r>
        <w:rPr>
          <w:rFonts w:ascii="Times New Roman" w:hAnsi="Times New Roman"/>
          <w:b/>
          <w:sz w:val="22"/>
        </w:rPr>
        <w:t>Trust</w:t>
      </w:r>
      <w:r>
        <w:rPr>
          <w:rFonts w:ascii="Times New Roman" w:hAnsi="Times New Roman"/>
          <w:sz w:val="22"/>
        </w:rPr>
        <w:t xml:space="preserve"> | Percaya | </w:t>
      </w:r>
      <w:r>
        <w:rPr>
          <w:rFonts w:ascii="Times New Roman" w:hAnsi="Times New Roman"/>
          <w:b/>
          <w:sz w:val="22"/>
        </w:rPr>
        <w:t>1,073</w:t>
      </w:r>
      <w:r>
        <w:rPr>
          <w:rFonts w:ascii="Times New Roman" w:hAnsi="Times New Roman"/>
          <w:sz w:val="22"/>
        </w:rPr>
        <w:t xml:space="preserve"> | </w:t>
      </w:r>
      <w:r>
        <w:rPr>
          <w:rFonts w:ascii="Times New Roman" w:hAnsi="Times New Roman"/>
          <w:b/>
          <w:sz w:val="22"/>
        </w:rPr>
        <w:t>20.39%</w:t>
      </w:r>
      <w:r>
        <w:rPr>
          <w:rFonts w:ascii="Times New Roman" w:hAnsi="Times New Roman"/>
          <w:sz w:val="22"/>
        </w:rPr>
        <w:t xml:space="preserve"> | Defense of policy intention and presidential mandate |</w:t>
      </w:r>
    </w:p>
    <w:p>
      <w:pPr>
        <w:spacing w:line="276" w:lineRule="auto" w:after="80"/>
      </w:pPr>
      <w:r/>
      <w:r>
        <w:rPr>
          <w:rFonts w:ascii="Times New Roman" w:hAnsi="Times New Roman"/>
          <w:sz w:val="22"/>
        </w:rPr>
        <w:t xml:space="preserve">| </w:t>
      </w:r>
      <w:r>
        <w:rPr>
          <w:rFonts w:ascii="Times New Roman" w:hAnsi="Times New Roman"/>
          <w:b/>
          <w:sz w:val="22"/>
        </w:rPr>
        <w:t>Neutral</w:t>
      </w:r>
      <w:r>
        <w:rPr>
          <w:rFonts w:ascii="Times New Roman" w:hAnsi="Times New Roman"/>
          <w:sz w:val="22"/>
        </w:rPr>
        <w:t xml:space="preserve"> | Netral | </w:t>
      </w:r>
      <w:r>
        <w:rPr>
          <w:rFonts w:ascii="Times New Roman" w:hAnsi="Times New Roman"/>
          <w:b/>
          <w:sz w:val="22"/>
        </w:rPr>
        <w:t>649</w:t>
      </w:r>
      <w:r>
        <w:rPr>
          <w:rFonts w:ascii="Times New Roman" w:hAnsi="Times New Roman"/>
          <w:sz w:val="22"/>
        </w:rPr>
        <w:t xml:space="preserve"> | </w:t>
      </w:r>
      <w:r>
        <w:rPr>
          <w:rFonts w:ascii="Times New Roman" w:hAnsi="Times New Roman"/>
          <w:b/>
          <w:sz w:val="22"/>
        </w:rPr>
        <w:t>12.33%</w:t>
      </w:r>
      <w:r>
        <w:rPr>
          <w:rFonts w:ascii="Times New Roman" w:hAnsi="Times New Roman"/>
          <w:sz w:val="22"/>
        </w:rPr>
        <w:t xml:space="preserve"> | Factual news reposts and objective administrative queries |</w:t>
      </w:r>
    </w:p>
    <w:p>
      <w:pPr>
        <w:spacing w:line="276" w:lineRule="auto" w:after="80"/>
      </w:pPr>
      <w:r/>
      <w:r>
        <w:rPr>
          <w:rFonts w:ascii="Times New Roman" w:hAnsi="Times New Roman"/>
          <w:sz w:val="22"/>
        </w:rPr>
        <w:t xml:space="preserve">| </w:t>
      </w:r>
      <w:r>
        <w:rPr>
          <w:rFonts w:ascii="Times New Roman" w:hAnsi="Times New Roman"/>
          <w:b/>
          <w:sz w:val="22"/>
        </w:rPr>
        <w:t>Anticipation</w:t>
      </w:r>
      <w:r>
        <w:rPr>
          <w:rFonts w:ascii="Times New Roman" w:hAnsi="Times New Roman"/>
          <w:sz w:val="22"/>
        </w:rPr>
        <w:t xml:space="preserve"> | Tertarik / Antisipasi | </w:t>
      </w:r>
      <w:r>
        <w:rPr>
          <w:rFonts w:ascii="Times New Roman" w:hAnsi="Times New Roman"/>
          <w:b/>
          <w:sz w:val="22"/>
        </w:rPr>
        <w:t>505</w:t>
      </w:r>
      <w:r>
        <w:rPr>
          <w:rFonts w:ascii="Times New Roman" w:hAnsi="Times New Roman"/>
          <w:sz w:val="22"/>
        </w:rPr>
        <w:t xml:space="preserve"> | </w:t>
      </w:r>
      <w:r>
        <w:rPr>
          <w:rFonts w:ascii="Times New Roman" w:hAnsi="Times New Roman"/>
          <w:b/>
          <w:sz w:val="22"/>
        </w:rPr>
        <w:t>9.60%</w:t>
      </w:r>
      <w:r>
        <w:rPr>
          <w:rFonts w:ascii="Times New Roman" w:hAnsi="Times New Roman"/>
          <w:sz w:val="22"/>
        </w:rPr>
        <w:t xml:space="preserve"> | Inquiries regarding budget schedules and tender dates |</w:t>
      </w:r>
    </w:p>
    <w:p>
      <w:pPr>
        <w:spacing w:line="276" w:lineRule="auto" w:after="80"/>
      </w:pPr>
      <w:r/>
      <w:r>
        <w:rPr>
          <w:rFonts w:ascii="Times New Roman" w:hAnsi="Times New Roman"/>
          <w:sz w:val="22"/>
        </w:rPr>
        <w:t xml:space="preserve">| </w:t>
      </w:r>
      <w:r>
        <w:rPr>
          <w:rFonts w:ascii="Times New Roman" w:hAnsi="Times New Roman"/>
          <w:b/>
          <w:sz w:val="22"/>
        </w:rPr>
        <w:t>Anger</w:t>
      </w:r>
      <w:r>
        <w:rPr>
          <w:rFonts w:ascii="Times New Roman" w:hAnsi="Times New Roman"/>
          <w:sz w:val="22"/>
        </w:rPr>
        <w:t xml:space="preserve"> | Marah | </w:t>
      </w:r>
      <w:r>
        <w:rPr>
          <w:rFonts w:ascii="Times New Roman" w:hAnsi="Times New Roman"/>
          <w:b/>
          <w:sz w:val="22"/>
        </w:rPr>
        <w:t>55</w:t>
      </w:r>
      <w:r>
        <w:rPr>
          <w:rFonts w:ascii="Times New Roman" w:hAnsi="Times New Roman"/>
          <w:sz w:val="22"/>
        </w:rPr>
        <w:t xml:space="preserve"> | </w:t>
      </w:r>
      <w:r>
        <w:rPr>
          <w:rFonts w:ascii="Times New Roman" w:hAnsi="Times New Roman"/>
          <w:b/>
          <w:sz w:val="22"/>
        </w:rPr>
        <w:t>1.05%</w:t>
      </w:r>
      <w:r>
        <w:rPr>
          <w:rFonts w:ascii="Times New Roman" w:hAnsi="Times New Roman"/>
          <w:sz w:val="22"/>
        </w:rPr>
        <w:t xml:space="preserve"> | Direct moral indignation regarding fiscal wastage |</w:t>
      </w:r>
    </w:p>
    <w:p>
      <w:pPr>
        <w:spacing w:line="276" w:lineRule="auto" w:after="80"/>
      </w:pPr>
      <w:r/>
      <w:r>
        <w:rPr>
          <w:rFonts w:ascii="Times New Roman" w:hAnsi="Times New Roman"/>
          <w:sz w:val="22"/>
        </w:rPr>
        <w:t xml:space="preserve">| </w:t>
      </w:r>
      <w:r>
        <w:rPr>
          <w:rFonts w:ascii="Times New Roman" w:hAnsi="Times New Roman"/>
          <w:b/>
          <w:sz w:val="22"/>
        </w:rPr>
        <w:t>Sadness</w:t>
      </w:r>
      <w:r>
        <w:rPr>
          <w:rFonts w:ascii="Times New Roman" w:hAnsi="Times New Roman"/>
          <w:sz w:val="22"/>
        </w:rPr>
        <w:t xml:space="preserve"> | Sedih | </w:t>
      </w:r>
      <w:r>
        <w:rPr>
          <w:rFonts w:ascii="Times New Roman" w:hAnsi="Times New Roman"/>
          <w:b/>
          <w:sz w:val="22"/>
        </w:rPr>
        <w:t>19</w:t>
      </w:r>
      <w:r>
        <w:rPr>
          <w:rFonts w:ascii="Times New Roman" w:hAnsi="Times New Roman"/>
          <w:sz w:val="22"/>
        </w:rPr>
        <w:t xml:space="preserve"> | </w:t>
      </w:r>
      <w:r>
        <w:rPr>
          <w:rFonts w:ascii="Times New Roman" w:hAnsi="Times New Roman"/>
          <w:b/>
          <w:sz w:val="22"/>
        </w:rPr>
        <w:t>0.36%</w:t>
      </w:r>
      <w:r>
        <w:rPr>
          <w:rFonts w:ascii="Times New Roman" w:hAnsi="Times New Roman"/>
          <w:sz w:val="22"/>
        </w:rPr>
        <w:t xml:space="preserve"> | Empathy toward poisoned schoolchildren |</w:t>
      </w:r>
    </w:p>
    <w:p>
      <w:pPr>
        <w:spacing w:line="276" w:lineRule="auto" w:after="80"/>
      </w:pPr>
      <w:r/>
      <w:r>
        <w:rPr>
          <w:rFonts w:ascii="Times New Roman" w:hAnsi="Times New Roman"/>
          <w:sz w:val="22"/>
        </w:rPr>
        <w:t xml:space="preserve">| </w:t>
      </w:r>
      <w:r>
        <w:rPr>
          <w:rFonts w:ascii="Times New Roman" w:hAnsi="Times New Roman"/>
          <w:b/>
          <w:sz w:val="22"/>
        </w:rPr>
        <w:t>Fear</w:t>
      </w:r>
      <w:r>
        <w:rPr>
          <w:rFonts w:ascii="Times New Roman" w:hAnsi="Times New Roman"/>
          <w:sz w:val="22"/>
        </w:rPr>
        <w:t xml:space="preserve"> | Takut | </w:t>
      </w:r>
      <w:r>
        <w:rPr>
          <w:rFonts w:ascii="Times New Roman" w:hAnsi="Times New Roman"/>
          <w:b/>
          <w:sz w:val="22"/>
        </w:rPr>
        <w:t>2</w:t>
      </w:r>
      <w:r>
        <w:rPr>
          <w:rFonts w:ascii="Times New Roman" w:hAnsi="Times New Roman"/>
          <w:sz w:val="22"/>
        </w:rPr>
        <w:t xml:space="preserve"> | </w:t>
      </w:r>
      <w:r>
        <w:rPr>
          <w:rFonts w:ascii="Times New Roman" w:hAnsi="Times New Roman"/>
          <w:b/>
          <w:sz w:val="22"/>
        </w:rPr>
        <w:t>0.04%</w:t>
      </w:r>
      <w:r>
        <w:rPr>
          <w:rFonts w:ascii="Times New Roman" w:hAnsi="Times New Roman"/>
          <w:sz w:val="22"/>
        </w:rPr>
        <w:t xml:space="preserve"> | Apprehension over long-term fiscal debt |</w:t>
      </w:r>
    </w:p>
    <w:p>
      <w:pPr>
        <w:spacing w:line="276" w:lineRule="auto" w:after="80"/>
      </w:pPr>
      <w:r/>
      <w:r>
        <w:rPr>
          <w:rFonts w:ascii="Times New Roman" w:hAnsi="Times New Roman"/>
          <w:sz w:val="22"/>
        </w:rPr>
        <w:t xml:space="preserve">| </w:t>
      </w:r>
      <w:r>
        <w:rPr>
          <w:rFonts w:ascii="Times New Roman" w:hAnsi="Times New Roman"/>
          <w:b/>
          <w:sz w:val="22"/>
        </w:rPr>
        <w:t>Total Corpus</w:t>
      </w:r>
      <w:r>
        <w:rPr>
          <w:rFonts w:ascii="Times New Roman" w:hAnsi="Times New Roman"/>
          <w:sz w:val="22"/>
        </w:rPr>
        <w:t xml:space="preserve"> | — | </w:t>
      </w:r>
      <w:r>
        <w:rPr>
          <w:rFonts w:ascii="Times New Roman" w:hAnsi="Times New Roman"/>
          <w:b/>
          <w:sz w:val="22"/>
        </w:rPr>
        <w:t>5,263</w:t>
      </w:r>
      <w:r>
        <w:rPr>
          <w:rFonts w:ascii="Times New Roman" w:hAnsi="Times New Roman"/>
          <w:sz w:val="22"/>
        </w:rPr>
        <w:t xml:space="preserve"> | </w:t>
      </w:r>
      <w:r>
        <w:rPr>
          <w:rFonts w:ascii="Times New Roman" w:hAnsi="Times New Roman"/>
          <w:b/>
          <w:sz w:val="22"/>
        </w:rPr>
        <w:t>100.00%</w:t>
      </w:r>
      <w:r>
        <w:rPr>
          <w:rFonts w:ascii="Times New Roman" w:hAnsi="Times New Roman"/>
          <w:sz w:val="22"/>
        </w:rPr>
        <w:t xml:space="preserve"> | Full Inference Dataset (indobert_9_emosi_fixed.csv) |</w:t>
      </w:r>
    </w:p>
    <w:p>
      <w:pPr>
        <w:spacing w:line="276" w:lineRule="auto" w:after="80"/>
      </w:pPr>
      <w:r/>
      <w:r>
        <w:rPr>
          <w:rFonts w:ascii="Times New Roman" w:hAnsi="Times New Roman"/>
          <w:sz w:val="22"/>
        </w:rPr>
        <w:t>The distribution demonstrates that public opposition to the MBG program is not driven by generalized ideological Anger ($1.05\%$), but by visceral physical Disgust ($56.24\%$).</w:t>
      </w:r>
    </w:p>
    <w:p>
      <w:pPr>
        <w:pStyle w:val="Heading2"/>
        <w:spacing w:before="160" w:after="40"/>
      </w:pPr>
      <w:r>
        <w:t>4.2 Sarcasm and Pragmatic Semiotic Subversion</w:t>
      </w:r>
    </w:p>
    <w:p>
      <w:pPr>
        <w:spacing w:line="276" w:lineRule="auto" w:after="80"/>
      </w:pPr>
      <w:r/>
      <w:r>
        <w:rPr>
          <w:rFonts w:ascii="Times New Roman" w:hAnsi="Times New Roman"/>
          <w:sz w:val="22"/>
        </w:rPr>
        <w:t>Analysis of the validated sarcasm corpus ($N = 3,395$) verified that 315 tweets (9.28%) operated as explicit sarcasm, while 3,080 tweets (90.72%) operated as literal communication. Within the sarcastic corpus, 181 tweets exhibited acute binary lexical oppositions.</w:t>
      </w:r>
    </w:p>
    <w:p>
      <w:pPr>
        <w:spacing w:line="276" w:lineRule="auto" w:after="80"/>
      </w:pPr>
      <w:r>
        <w:t>Representative qualitative examples include:</w:t>
      </w:r>
    </w:p>
    <w:p>
      <w:pPr>
        <w:pStyle w:val="ListBullet"/>
      </w:pPr>
      <w:r/>
      <w:r>
        <w:rPr>
          <w:rFonts w:ascii="Times New Roman" w:hAnsi="Times New Roman"/>
          <w:i/>
          <w:sz w:val="22"/>
        </w:rPr>
        <w:t>Cuitan 1:</w:t>
      </w:r>
      <w:r>
        <w:rPr>
          <w:rFonts w:ascii="Times New Roman" w:hAnsi="Times New Roman"/>
          <w:sz w:val="22"/>
        </w:rPr>
        <w:t xml:space="preserve"> 'Menu MBG hari ini mewah banget, nasinya bisa buat nimpuk maling, ayamnya seukuran upil 🤡👍' (Pragmatic praise </w:t>
      </w:r>
      <w:r>
        <w:rPr>
          <w:rFonts w:ascii="Times New Roman" w:hAnsi="Times New Roman"/>
          <w:i/>
          <w:sz w:val="22"/>
        </w:rPr>
        <w:t>'mewah banget'</w:t>
      </w:r>
      <w:r>
        <w:rPr>
          <w:rFonts w:ascii="Times New Roman" w:hAnsi="Times New Roman"/>
          <w:sz w:val="22"/>
        </w:rPr>
        <w:t xml:space="preserve"> directly contradicted by abusive physical descriptions and clown emoji).</w:t>
      </w:r>
    </w:p>
    <w:p>
      <w:pPr>
        <w:pStyle w:val="ListBullet"/>
      </w:pPr>
      <w:r/>
      <w:r>
        <w:rPr>
          <w:rFonts w:ascii="Times New Roman" w:hAnsi="Times New Roman"/>
          <w:i/>
          <w:sz w:val="22"/>
        </w:rPr>
        <w:t>Cuitan 2:</w:t>
      </w:r>
      <w:r>
        <w:rPr>
          <w:rFonts w:ascii="Times New Roman" w:hAnsi="Times New Roman"/>
          <w:sz w:val="22"/>
        </w:rPr>
        <w:t xml:space="preserve"> 'Terima kasih program gizi gratis, anak-anak kenyang langsung masuk IGD rumah sakit 🤮' (Gratitude formula undermined by hospital casualty outcome and vomiting emoji).</w:t>
      </w:r>
    </w:p>
    <w:p>
      <w:pPr>
        <w:pStyle w:val="Heading2"/>
        <w:spacing w:before="160" w:after="40"/>
      </w:pPr>
      <w:r>
        <w:t>4.3 Social Network Topology and Reciprocity Breakdown</w:t>
      </w:r>
    </w:p>
    <w:p>
      <w:pPr>
        <w:spacing w:line="276" w:lineRule="auto" w:after="80"/>
      </w:pPr>
      <w:r>
        <w:t>Mathematical graph modeling of the 971 participating X users generated the following network topological parameters:</w:t>
      </w:r>
    </w:p>
    <w:p>
      <w:pPr>
        <w:spacing w:line="276" w:lineRule="auto" w:after="80"/>
      </w:pPr>
      <w:r>
        <w:t>| Network Parameter | Empirical Value | Theoretical Interpretation |</w:t>
      </w:r>
    </w:p>
    <w:p>
      <w:pPr>
        <w:spacing w:line="276" w:lineRule="auto" w:after="80"/>
      </w:pPr>
      <w:r>
        <w:t>| :--- | :---: | :--- |</w:t>
      </w:r>
    </w:p>
    <w:p>
      <w:pPr>
        <w:spacing w:line="276" w:lineRule="auto" w:after="80"/>
      </w:pPr>
      <w:r/>
      <w:r>
        <w:rPr>
          <w:rFonts w:ascii="Times New Roman" w:hAnsi="Times New Roman"/>
          <w:sz w:val="22"/>
        </w:rPr>
        <w:t>| Total Nodes ($|V|$) | 971 | Individual accounts engaging in MBG communication |</w:t>
      </w:r>
    </w:p>
    <w:p>
      <w:pPr>
        <w:spacing w:line="276" w:lineRule="auto" w:after="80"/>
      </w:pPr>
      <w:r/>
      <w:r>
        <w:rPr>
          <w:rFonts w:ascii="Times New Roman" w:hAnsi="Times New Roman"/>
          <w:sz w:val="22"/>
        </w:rPr>
        <w:t>| Unique Directed Edges ($|E|$) | 666 | Distinct directed mention/reply interactions |</w:t>
      </w:r>
    </w:p>
    <w:p>
      <w:pPr>
        <w:spacing w:line="276" w:lineRule="auto" w:after="80"/>
      </w:pPr>
      <w:r/>
      <w:r>
        <w:rPr>
          <w:rFonts w:ascii="Times New Roman" w:hAnsi="Times New Roman"/>
          <w:sz w:val="22"/>
        </w:rPr>
        <w:t xml:space="preserve">| </w:t>
      </w:r>
      <w:r>
        <w:rPr>
          <w:rFonts w:ascii="Times New Roman" w:hAnsi="Times New Roman"/>
          <w:b/>
          <w:sz w:val="22"/>
        </w:rPr>
        <w:t>Raw Interaction Volume</w:t>
      </w:r>
      <w:r>
        <w:rPr>
          <w:rFonts w:ascii="Times New Roman" w:hAnsi="Times New Roman"/>
          <w:sz w:val="22"/>
        </w:rPr>
        <w:t xml:space="preserve"> | </w:t>
      </w:r>
      <w:r>
        <w:rPr>
          <w:rFonts w:ascii="Times New Roman" w:hAnsi="Times New Roman"/>
          <w:b/>
          <w:sz w:val="22"/>
        </w:rPr>
        <w:t>692</w:t>
      </w:r>
      <w:r>
        <w:rPr>
          <w:rFonts w:ascii="Times New Roman" w:hAnsi="Times New Roman"/>
          <w:sz w:val="22"/>
        </w:rPr>
        <w:t xml:space="preserve"> | Total communication events including duplicate pings |</w:t>
      </w:r>
    </w:p>
    <w:p>
      <w:pPr>
        <w:spacing w:line="276" w:lineRule="auto" w:after="80"/>
      </w:pPr>
      <w:r/>
      <w:r>
        <w:rPr>
          <w:rFonts w:ascii="Times New Roman" w:hAnsi="Times New Roman"/>
          <w:sz w:val="22"/>
        </w:rPr>
        <w:t xml:space="preserve">| </w:t>
      </w:r>
      <w:r>
        <w:rPr>
          <w:rFonts w:ascii="Times New Roman" w:hAnsi="Times New Roman"/>
          <w:b/>
          <w:sz w:val="22"/>
        </w:rPr>
        <w:t>Graph Density</w:t>
      </w:r>
      <w:r>
        <w:rPr>
          <w:rFonts w:ascii="Times New Roman" w:hAnsi="Times New Roman"/>
          <w:sz w:val="22"/>
        </w:rPr>
        <w:t xml:space="preserve"> | </w:t>
      </w:r>
      <w:r>
        <w:rPr>
          <w:rFonts w:ascii="Times New Roman" w:hAnsi="Times New Roman"/>
          <w:b/>
          <w:sz w:val="22"/>
        </w:rPr>
        <w:t>0.0011</w:t>
      </w:r>
      <w:r>
        <w:rPr>
          <w:rFonts w:ascii="Times New Roman" w:hAnsi="Times New Roman"/>
          <w:sz w:val="22"/>
        </w:rPr>
        <w:t xml:space="preserve"> | Extremely sparse network topology |</w:t>
      </w:r>
    </w:p>
    <w:p>
      <w:pPr>
        <w:spacing w:line="276" w:lineRule="auto" w:after="80"/>
      </w:pPr>
      <w:r/>
      <w:r>
        <w:rPr>
          <w:rFonts w:ascii="Times New Roman" w:hAnsi="Times New Roman"/>
          <w:sz w:val="22"/>
        </w:rPr>
        <w:t xml:space="preserve">| </w:t>
      </w:r>
      <w:r>
        <w:rPr>
          <w:rFonts w:ascii="Times New Roman" w:hAnsi="Times New Roman"/>
          <w:b/>
          <w:sz w:val="22"/>
        </w:rPr>
        <w:t>Reciprocity</w:t>
      </w:r>
      <w:r>
        <w:rPr>
          <w:rFonts w:ascii="Times New Roman" w:hAnsi="Times New Roman"/>
          <w:sz w:val="22"/>
        </w:rPr>
        <w:t xml:space="preserve"> | </w:t>
      </w:r>
      <w:r>
        <w:rPr>
          <w:rFonts w:ascii="Times New Roman" w:hAnsi="Times New Roman"/>
          <w:b/>
          <w:sz w:val="22"/>
        </w:rPr>
        <w:t>1.21%</w:t>
      </w:r>
      <w:r>
        <w:rPr>
          <w:rFonts w:ascii="Times New Roman" w:hAnsi="Times New Roman"/>
          <w:sz w:val="22"/>
        </w:rPr>
        <w:t xml:space="preserve"> | 98.79% of communication is unidirectional (monologue) |</w:t>
      </w:r>
    </w:p>
    <w:p>
      <w:pPr>
        <w:spacing w:line="276" w:lineRule="auto" w:after="80"/>
      </w:pPr>
      <w:r/>
      <w:r>
        <w:rPr>
          <w:rFonts w:ascii="Times New Roman" w:hAnsi="Times New Roman"/>
          <w:sz w:val="22"/>
        </w:rPr>
        <w:t xml:space="preserve">| </w:t>
      </w:r>
      <w:r>
        <w:rPr>
          <w:rFonts w:ascii="Times New Roman" w:hAnsi="Times New Roman"/>
          <w:b/>
          <w:sz w:val="22"/>
        </w:rPr>
        <w:t>Giant Component Size</w:t>
      </w:r>
      <w:r>
        <w:rPr>
          <w:rFonts w:ascii="Times New Roman" w:hAnsi="Times New Roman"/>
          <w:sz w:val="22"/>
        </w:rPr>
        <w:t xml:space="preserve"> | </w:t>
      </w:r>
      <w:r>
        <w:rPr>
          <w:rFonts w:ascii="Times New Roman" w:hAnsi="Times New Roman"/>
          <w:b/>
          <w:sz w:val="22"/>
        </w:rPr>
        <w:t>89 nodes (9.17%)</w:t>
      </w:r>
      <w:r>
        <w:rPr>
          <w:rFonts w:ascii="Times New Roman" w:hAnsi="Times New Roman"/>
          <w:sz w:val="22"/>
        </w:rPr>
        <w:t xml:space="preserve"> | Absence of a unified central communicative core |</w:t>
      </w:r>
    </w:p>
    <w:p>
      <w:pPr>
        <w:spacing w:line="276" w:lineRule="auto" w:after="80"/>
      </w:pPr>
      <w:r/>
      <w:r>
        <w:rPr>
          <w:rFonts w:ascii="Times New Roman" w:hAnsi="Times New Roman"/>
          <w:sz w:val="22"/>
        </w:rPr>
        <w:t xml:space="preserve">| </w:t>
      </w:r>
      <w:r>
        <w:rPr>
          <w:rFonts w:ascii="Times New Roman" w:hAnsi="Times New Roman"/>
          <w:b/>
          <w:sz w:val="22"/>
        </w:rPr>
        <w:t>Isolated Components</w:t>
      </w:r>
      <w:r>
        <w:rPr>
          <w:rFonts w:ascii="Times New Roman" w:hAnsi="Times New Roman"/>
          <w:sz w:val="22"/>
        </w:rPr>
        <w:t xml:space="preserve"> | </w:t>
      </w:r>
      <w:r>
        <w:rPr>
          <w:rFonts w:ascii="Times New Roman" w:hAnsi="Times New Roman"/>
          <w:b/>
          <w:sz w:val="22"/>
        </w:rPr>
        <w:t>332 clusters</w:t>
      </w:r>
      <w:r>
        <w:rPr>
          <w:rFonts w:ascii="Times New Roman" w:hAnsi="Times New Roman"/>
          <w:sz w:val="22"/>
        </w:rPr>
        <w:t xml:space="preserve"> | Hyper-fragmented discourse architecture |</w:t>
      </w:r>
    </w:p>
    <w:p>
      <w:pPr>
        <w:spacing w:line="276" w:lineRule="auto" w:after="80"/>
      </w:pPr>
      <w:r/>
      <w:r>
        <w:rPr>
          <w:rFonts w:ascii="Times New Roman" w:hAnsi="Times New Roman"/>
          <w:sz w:val="22"/>
        </w:rPr>
        <w:t xml:space="preserve">| </w:t>
      </w:r>
      <w:r>
        <w:rPr>
          <w:rFonts w:ascii="Times New Roman" w:hAnsi="Times New Roman"/>
          <w:b/>
          <w:sz w:val="22"/>
        </w:rPr>
        <w:t>Louvain Modularity (Q)</w:t>
      </w:r>
      <w:r>
        <w:rPr>
          <w:rFonts w:ascii="Times New Roman" w:hAnsi="Times New Roman"/>
          <w:sz w:val="22"/>
        </w:rPr>
        <w:t xml:space="preserve"> | </w:t>
      </w:r>
      <w:r>
        <w:rPr>
          <w:rFonts w:ascii="Times New Roman" w:hAnsi="Times New Roman"/>
          <w:b/>
          <w:sz w:val="22"/>
        </w:rPr>
        <w:t>0.9837</w:t>
      </w:r>
      <w:r>
        <w:rPr>
          <w:rFonts w:ascii="Times New Roman" w:hAnsi="Times New Roman"/>
          <w:sz w:val="22"/>
        </w:rPr>
        <w:t xml:space="preserve"> | Extreme structural division approaching theoretical max (1.0) |</w:t>
      </w:r>
    </w:p>
    <w:p>
      <w:pPr>
        <w:spacing w:line="276" w:lineRule="auto" w:after="80"/>
      </w:pPr>
      <w:r/>
      <w:r>
        <w:rPr>
          <w:rFonts w:ascii="Times New Roman" w:hAnsi="Times New Roman"/>
          <w:sz w:val="22"/>
        </w:rPr>
        <w:t>The network density of $0.0011 and reciprocity of 1.21\%$ indicate an absolute breakdown of conversational exchange. Citizens were not talking to one another, nor were institutions conversing with citizens. Instead, discourse manifested as outward broadcasting into an echo chamber void.</w:t>
      </w:r>
    </w:p>
    <w:p>
      <w:pPr>
        <w:pStyle w:val="Heading2"/>
        <w:spacing w:before="160" w:after="40"/>
      </w:pPr>
      <w:r>
        <w:t>4.4 Structural Power Asymmetry: The Algorithmic Oracle vs. Institutional Silence</w:t>
      </w:r>
    </w:p>
    <w:p>
      <w:pPr>
        <w:spacing w:line="276" w:lineRule="auto" w:after="80"/>
      </w:pPr>
      <w:r>
        <w:t>Centrality calculations exposed an acute disparity between formal political power and digital communicative authority:</w:t>
      </w:r>
    </w:p>
    <w:p>
      <w:pPr>
        <w:spacing w:line="276" w:lineRule="auto" w:after="80"/>
      </w:pPr>
      <w:r/>
      <w:r>
        <w:rPr>
          <w:rFonts w:ascii="Times New Roman" w:hAnsi="Times New Roman"/>
          <w:sz w:val="22"/>
        </w:rPr>
        <w:t>| Rank | User Account | In-Degree ($C_{</w:t>
        <w:tab/>
        <w:t>ext{in}}$) | Out-Degree ($C_{</w:t>
        <w:tab/>
        <w:t>ext{out}}$) | Betweenness (C_B) | Role in Discourse Network |</w:t>
      </w:r>
    </w:p>
    <w:p>
      <w:pPr>
        <w:spacing w:line="276" w:lineRule="auto" w:after="80"/>
      </w:pPr>
      <w:r>
        <w:t>| :---: | :--- | :---: | :---: | :---: | :--- |</w:t>
      </w:r>
    </w:p>
    <w:p>
      <w:pPr>
        <w:spacing w:line="276" w:lineRule="auto" w:after="80"/>
      </w:pPr>
      <w:r/>
      <w:r>
        <w:rPr>
          <w:rFonts w:ascii="Times New Roman" w:hAnsi="Times New Roman"/>
          <w:sz w:val="22"/>
        </w:rPr>
        <w:t xml:space="preserve">| </w:t>
      </w:r>
      <w:r>
        <w:rPr>
          <w:rFonts w:ascii="Times New Roman" w:hAnsi="Times New Roman"/>
          <w:b/>
          <w:sz w:val="22"/>
        </w:rPr>
        <w:t>1</w:t>
      </w:r>
      <w:r>
        <w:rPr>
          <w:rFonts w:ascii="Times New Roman" w:hAnsi="Times New Roman"/>
          <w:sz w:val="22"/>
        </w:rPr>
        <w:t xml:space="preserve"> | @grok | 0 | </w:t>
      </w:r>
      <w:r>
        <w:rPr>
          <w:rFonts w:ascii="Times New Roman" w:hAnsi="Times New Roman"/>
          <w:b/>
          <w:sz w:val="22"/>
        </w:rPr>
        <w:t>42</w:t>
      </w:r>
      <w:r>
        <w:rPr>
          <w:rFonts w:ascii="Times New Roman" w:hAnsi="Times New Roman"/>
          <w:sz w:val="22"/>
        </w:rPr>
        <w:t xml:space="preserve"> | 0.000000 | </w:t>
      </w:r>
      <w:r>
        <w:rPr>
          <w:rFonts w:ascii="Times New Roman" w:hAnsi="Times New Roman"/>
          <w:b/>
          <w:sz w:val="22"/>
        </w:rPr>
        <w:t>Algorithmic Oracle (Primary Broadcast Hub)</w:t>
      </w:r>
      <w:r>
        <w:rPr>
          <w:rFonts w:ascii="Times New Roman" w:hAnsi="Times New Roman"/>
          <w:sz w:val="22"/>
        </w:rPr>
        <w:t xml:space="preserve"> |</w:t>
      </w:r>
    </w:p>
    <w:p>
      <w:pPr>
        <w:spacing w:line="276" w:lineRule="auto" w:after="80"/>
      </w:pPr>
      <w:r/>
      <w:r>
        <w:rPr>
          <w:rFonts w:ascii="Times New Roman" w:hAnsi="Times New Roman"/>
          <w:sz w:val="22"/>
        </w:rPr>
        <w:t xml:space="preserve">| </w:t>
      </w:r>
      <w:r>
        <w:rPr>
          <w:rFonts w:ascii="Times New Roman" w:hAnsi="Times New Roman"/>
          <w:b/>
          <w:sz w:val="22"/>
        </w:rPr>
        <w:t>2</w:t>
      </w:r>
      <w:r>
        <w:rPr>
          <w:rFonts w:ascii="Times New Roman" w:hAnsi="Times New Roman"/>
          <w:sz w:val="22"/>
        </w:rPr>
        <w:t xml:space="preserve"> | @4Y4NKZ | 1 | 8 | </w:t>
      </w:r>
      <w:r>
        <w:rPr>
          <w:rFonts w:ascii="Times New Roman" w:hAnsi="Times New Roman"/>
          <w:b/>
          <w:sz w:val="22"/>
        </w:rPr>
        <w:t>0.000016</w:t>
      </w:r>
      <w:r>
        <w:rPr>
          <w:rFonts w:ascii="Times New Roman" w:hAnsi="Times New Roman"/>
          <w:sz w:val="22"/>
        </w:rPr>
        <w:t xml:space="preserve"> | </w:t>
      </w:r>
      <w:r>
        <w:rPr>
          <w:rFonts w:ascii="Times New Roman" w:hAnsi="Times New Roman"/>
          <w:b/>
          <w:sz w:val="22"/>
        </w:rPr>
        <w:t>Structural Broker (Inter-cluster bridge)</w:t>
      </w:r>
      <w:r>
        <w:rPr>
          <w:rFonts w:ascii="Times New Roman" w:hAnsi="Times New Roman"/>
          <w:sz w:val="22"/>
        </w:rPr>
        <w:t xml:space="preserve"> |</w:t>
      </w:r>
    </w:p>
    <w:p>
      <w:pPr>
        <w:spacing w:line="276" w:lineRule="auto" w:after="80"/>
      </w:pPr>
      <w:r/>
      <w:r>
        <w:rPr>
          <w:rFonts w:ascii="Times New Roman" w:hAnsi="Times New Roman"/>
          <w:sz w:val="22"/>
        </w:rPr>
        <w:t xml:space="preserve">| </w:t>
      </w:r>
      <w:r>
        <w:rPr>
          <w:rFonts w:ascii="Times New Roman" w:hAnsi="Times New Roman"/>
          <w:b/>
          <w:sz w:val="22"/>
        </w:rPr>
        <w:t>3</w:t>
      </w:r>
      <w:r>
        <w:rPr>
          <w:rFonts w:ascii="Times New Roman" w:hAnsi="Times New Roman"/>
          <w:sz w:val="22"/>
        </w:rPr>
        <w:t xml:space="preserve"> | @prabowo | </w:t>
      </w:r>
      <w:r>
        <w:rPr>
          <w:rFonts w:ascii="Times New Roman" w:hAnsi="Times New Roman"/>
          <w:b/>
          <w:sz w:val="22"/>
        </w:rPr>
        <w:t>15</w:t>
      </w:r>
      <w:r>
        <w:rPr>
          <w:rFonts w:ascii="Times New Roman" w:hAnsi="Times New Roman"/>
          <w:sz w:val="22"/>
        </w:rPr>
        <w:t xml:space="preserve"> | </w:t>
      </w:r>
      <w:r>
        <w:rPr>
          <w:rFonts w:ascii="Times New Roman" w:hAnsi="Times New Roman"/>
          <w:b/>
          <w:sz w:val="22"/>
        </w:rPr>
        <w:t>0</w:t>
      </w:r>
      <w:r>
        <w:rPr>
          <w:rFonts w:ascii="Times New Roman" w:hAnsi="Times New Roman"/>
          <w:sz w:val="22"/>
        </w:rPr>
        <w:t xml:space="preserve"> | 0.000000 | </w:t>
      </w:r>
      <w:r>
        <w:rPr>
          <w:rFonts w:ascii="Times New Roman" w:hAnsi="Times New Roman"/>
          <w:b/>
          <w:sz w:val="22"/>
        </w:rPr>
        <w:t>Power Vacuum (Passive Target of Grievances)</w:t>
      </w:r>
      <w:r>
        <w:rPr>
          <w:rFonts w:ascii="Times New Roman" w:hAnsi="Times New Roman"/>
          <w:sz w:val="22"/>
        </w:rPr>
        <w:t xml:space="preserve"> |</w:t>
      </w:r>
    </w:p>
    <w:p>
      <w:pPr>
        <w:spacing w:line="276" w:lineRule="auto" w:after="80"/>
      </w:pPr>
      <w:r/>
      <w:r>
        <w:rPr>
          <w:rFonts w:ascii="Times New Roman" w:hAnsi="Times New Roman"/>
          <w:sz w:val="22"/>
        </w:rPr>
        <w:t xml:space="preserve">| </w:t>
      </w:r>
      <w:r>
        <w:rPr>
          <w:rFonts w:ascii="Times New Roman" w:hAnsi="Times New Roman"/>
          <w:b/>
          <w:sz w:val="22"/>
        </w:rPr>
        <w:t>4</w:t>
      </w:r>
      <w:r>
        <w:rPr>
          <w:rFonts w:ascii="Times New Roman" w:hAnsi="Times New Roman"/>
          <w:sz w:val="22"/>
        </w:rPr>
        <w:t xml:space="preserve"> | @jokowi | 9 | 0 | 0.000000 | Secondary Institutional Target |</w:t>
      </w:r>
    </w:p>
    <w:p>
      <w:pPr>
        <w:spacing w:line="276" w:lineRule="auto" w:after="80"/>
      </w:pPr>
      <w:r/>
      <w:r>
        <w:rPr>
          <w:rFonts w:ascii="Times New Roman" w:hAnsi="Times New Roman"/>
          <w:sz w:val="22"/>
        </w:rPr>
        <w:t xml:space="preserve">| </w:t>
      </w:r>
      <w:r>
        <w:rPr>
          <w:rFonts w:ascii="Times New Roman" w:hAnsi="Times New Roman"/>
          <w:b/>
          <w:sz w:val="22"/>
        </w:rPr>
        <w:t>5</w:t>
      </w:r>
      <w:r>
        <w:rPr>
          <w:rFonts w:ascii="Times New Roman" w:hAnsi="Times New Roman"/>
          <w:sz w:val="22"/>
        </w:rPr>
        <w:t xml:space="preserve"> | @gibran_tweet| 7 | 0 | 0.000000 | Secondary Institutional Target |</w:t>
      </w:r>
    </w:p>
    <w:p>
      <w:pPr>
        <w:spacing w:line="276" w:lineRule="auto" w:after="80"/>
      </w:pPr>
      <w:r/>
      <w:r>
        <w:rPr>
          <w:rFonts w:ascii="Times New Roman" w:hAnsi="Times New Roman"/>
          <w:sz w:val="22"/>
        </w:rPr>
        <w:t>While the executive head of state (@prabowo) accumulated the highest In-Degree (15) as the designated target of public accountability, his Out-Degree remained absolute zero ($C_{</w:t>
        <w:tab/>
        <w:t>ext{out}} = 0$). Government figures acted as passive receptacles of grievance, offering zero digital engagement.</w:t>
      </w:r>
    </w:p>
    <w:p>
      <w:pPr>
        <w:spacing w:line="276" w:lineRule="auto" w:after="80"/>
      </w:pPr>
      <w:r/>
      <w:r>
        <w:rPr>
          <w:rFonts w:ascii="Times New Roman" w:hAnsi="Times New Roman"/>
          <w:sz w:val="22"/>
        </w:rPr>
        <w:t>In stark contrast, xAI's conversational agent (@grok) commanded the highest Out-Degree in the entire network ($C_{</w:t>
        <w:tab/>
        <w:t>ext{out}} = 42$). When netizens sought verification regarding meal pricing formulas or poisoning statistics, they tagged @grok to synthesize facts. The artificial intelligence agent thus stepped in as an Algorithmic Oracle, assuming the communicative role abandoned by state public relations.</w:t>
      </w:r>
    </w:p>
    <w:p>
      <w:pPr>
        <w:pStyle w:val="Heading2"/>
        <w:spacing w:before="160" w:after="40"/>
      </w:pPr>
      <w:r>
        <w:t>4.5 Model Performance and Evaluation</w:t>
      </w:r>
    </w:p>
    <w:p>
      <w:pPr>
        <w:spacing w:line="276" w:lineRule="auto" w:after="80"/>
      </w:pPr>
      <w:r/>
      <w:r>
        <w:rPr>
          <w:rFonts w:ascii="Times New Roman" w:hAnsi="Times New Roman"/>
          <w:sz w:val="22"/>
        </w:rPr>
        <w:t>Evaluating IndoBERT (checkpoint-792) on the independent test set ($n = 1,053$) yielded the following per-class metrics:</w:t>
      </w:r>
    </w:p>
    <w:p>
      <w:pPr>
        <w:spacing w:line="276" w:lineRule="auto" w:after="80"/>
      </w:pPr>
      <w:r/>
      <w:r>
        <w:rPr>
          <w:rFonts w:ascii="Times New Roman" w:hAnsi="Times New Roman"/>
          <w:sz w:val="22"/>
        </w:rPr>
        <w:t>| Emotion Class | Precision | Recall | F1-Score | Support (n) |</w:t>
      </w:r>
    </w:p>
    <w:p>
      <w:pPr>
        <w:spacing w:line="276" w:lineRule="auto" w:after="80"/>
      </w:pPr>
      <w:r>
        <w:t>| :--- | :---: | :---: | :---: | :---: |</w:t>
      </w:r>
    </w:p>
    <w:p>
      <w:pPr>
        <w:spacing w:line="276" w:lineRule="auto" w:after="80"/>
      </w:pPr>
      <w:r/>
      <w:r>
        <w:rPr>
          <w:rFonts w:ascii="Times New Roman" w:hAnsi="Times New Roman"/>
          <w:sz w:val="22"/>
        </w:rPr>
        <w:t xml:space="preserve">| </w:t>
      </w:r>
      <w:r>
        <w:rPr>
          <w:rFonts w:ascii="Times New Roman" w:hAnsi="Times New Roman"/>
          <w:b/>
          <w:sz w:val="22"/>
        </w:rPr>
        <w:t>Disgust</w:t>
      </w:r>
      <w:r>
        <w:rPr>
          <w:rFonts w:ascii="Times New Roman" w:hAnsi="Times New Roman"/>
          <w:sz w:val="22"/>
        </w:rPr>
        <w:t xml:space="preserve"> | 0.5709 | </w:t>
      </w:r>
      <w:r>
        <w:rPr>
          <w:rFonts w:ascii="Times New Roman" w:hAnsi="Times New Roman"/>
          <w:b/>
          <w:sz w:val="22"/>
        </w:rPr>
        <w:t>0.9692</w:t>
      </w:r>
      <w:r>
        <w:rPr>
          <w:rFonts w:ascii="Times New Roman" w:hAnsi="Times New Roman"/>
          <w:sz w:val="22"/>
        </w:rPr>
        <w:t xml:space="preserve"> | </w:t>
      </w:r>
      <w:r>
        <w:rPr>
          <w:rFonts w:ascii="Times New Roman" w:hAnsi="Times New Roman"/>
          <w:b/>
          <w:sz w:val="22"/>
        </w:rPr>
        <w:t>0.7178</w:t>
      </w:r>
      <w:r>
        <w:rPr>
          <w:rFonts w:ascii="Times New Roman" w:hAnsi="Times New Roman"/>
          <w:sz w:val="22"/>
        </w:rPr>
        <w:t xml:space="preserve"> | 617 |</w:t>
      </w:r>
    </w:p>
    <w:p>
      <w:pPr>
        <w:spacing w:line="276" w:lineRule="auto" w:after="80"/>
      </w:pPr>
      <w:r/>
      <w:r>
        <w:rPr>
          <w:rFonts w:ascii="Times New Roman" w:hAnsi="Times New Roman"/>
          <w:sz w:val="22"/>
        </w:rPr>
        <w:t xml:space="preserve">| </w:t>
      </w:r>
      <w:r>
        <w:rPr>
          <w:rFonts w:ascii="Times New Roman" w:hAnsi="Times New Roman"/>
          <w:b/>
          <w:sz w:val="22"/>
        </w:rPr>
        <w:t>Trust</w:t>
      </w:r>
      <w:r>
        <w:rPr>
          <w:rFonts w:ascii="Times New Roman" w:hAnsi="Times New Roman"/>
          <w:sz w:val="22"/>
        </w:rPr>
        <w:t xml:space="preserve"> | </w:t>
      </w:r>
      <w:r>
        <w:rPr>
          <w:rFonts w:ascii="Times New Roman" w:hAnsi="Times New Roman"/>
          <w:b/>
          <w:sz w:val="22"/>
        </w:rPr>
        <w:t>0.6842</w:t>
      </w:r>
      <w:r>
        <w:rPr>
          <w:rFonts w:ascii="Times New Roman" w:hAnsi="Times New Roman"/>
          <w:sz w:val="22"/>
        </w:rPr>
        <w:t xml:space="preserve"> | 0.0637 | 0.1166 | 204 |</w:t>
      </w:r>
    </w:p>
    <w:p>
      <w:pPr>
        <w:spacing w:line="276" w:lineRule="auto" w:after="80"/>
      </w:pPr>
      <w:r/>
      <w:r>
        <w:rPr>
          <w:rFonts w:ascii="Times New Roman" w:hAnsi="Times New Roman"/>
          <w:sz w:val="22"/>
        </w:rPr>
        <w:t xml:space="preserve">| </w:t>
      </w:r>
      <w:r>
        <w:rPr>
          <w:rFonts w:ascii="Times New Roman" w:hAnsi="Times New Roman"/>
          <w:b/>
          <w:sz w:val="22"/>
        </w:rPr>
        <w:t>Neutral</w:t>
      </w:r>
      <w:r>
        <w:rPr>
          <w:rFonts w:ascii="Times New Roman" w:hAnsi="Times New Roman"/>
          <w:sz w:val="22"/>
        </w:rPr>
        <w:t xml:space="preserve"> | 0.3571 | 0.0385 | 0.0694 | 130 |</w:t>
      </w:r>
    </w:p>
    <w:p>
      <w:pPr>
        <w:spacing w:line="276" w:lineRule="auto" w:after="80"/>
      </w:pPr>
      <w:r/>
      <w:r>
        <w:rPr>
          <w:rFonts w:ascii="Times New Roman" w:hAnsi="Times New Roman"/>
          <w:sz w:val="22"/>
        </w:rPr>
        <w:t xml:space="preserve">| </w:t>
      </w:r>
      <w:r>
        <w:rPr>
          <w:rFonts w:ascii="Times New Roman" w:hAnsi="Times New Roman"/>
          <w:b/>
          <w:sz w:val="22"/>
        </w:rPr>
        <w:t>Anticipation</w:t>
      </w:r>
      <w:r>
        <w:rPr>
          <w:rFonts w:ascii="Times New Roman" w:hAnsi="Times New Roman"/>
          <w:sz w:val="22"/>
        </w:rPr>
        <w:t xml:space="preserve"> | 0.0000 | 0.0000 | 0.0000 | 90 |</w:t>
      </w:r>
    </w:p>
    <w:p>
      <w:pPr>
        <w:spacing w:line="276" w:lineRule="auto" w:after="80"/>
      </w:pPr>
      <w:r/>
      <w:r>
        <w:rPr>
          <w:rFonts w:ascii="Times New Roman" w:hAnsi="Times New Roman"/>
          <w:sz w:val="22"/>
        </w:rPr>
        <w:t xml:space="preserve">| </w:t>
      </w:r>
      <w:r>
        <w:rPr>
          <w:rFonts w:ascii="Times New Roman" w:hAnsi="Times New Roman"/>
          <w:b/>
          <w:sz w:val="22"/>
        </w:rPr>
        <w:t>Anger</w:t>
      </w:r>
      <w:r>
        <w:rPr>
          <w:rFonts w:ascii="Times New Roman" w:hAnsi="Times New Roman"/>
          <w:sz w:val="22"/>
        </w:rPr>
        <w:t xml:space="preserve"> | 0.0000 | 0.0000 | 0.0000 | 9 |</w:t>
      </w:r>
    </w:p>
    <w:p>
      <w:pPr>
        <w:spacing w:line="276" w:lineRule="auto" w:after="80"/>
      </w:pPr>
      <w:r/>
      <w:r>
        <w:rPr>
          <w:rFonts w:ascii="Times New Roman" w:hAnsi="Times New Roman"/>
          <w:sz w:val="22"/>
        </w:rPr>
        <w:t xml:space="preserve">| </w:t>
      </w:r>
      <w:r>
        <w:rPr>
          <w:rFonts w:ascii="Times New Roman" w:hAnsi="Times New Roman"/>
          <w:b/>
          <w:sz w:val="22"/>
        </w:rPr>
        <w:t>Sadness</w:t>
      </w:r>
      <w:r>
        <w:rPr>
          <w:rFonts w:ascii="Times New Roman" w:hAnsi="Times New Roman"/>
          <w:sz w:val="22"/>
        </w:rPr>
        <w:t xml:space="preserve"> | 0.0000 | 0.0000 | 0.0000 | 3 |</w:t>
      </w:r>
    </w:p>
    <w:p>
      <w:pPr>
        <w:spacing w:line="276" w:lineRule="auto" w:after="80"/>
      </w:pPr>
      <w:r/>
      <w:r>
        <w:rPr>
          <w:rFonts w:ascii="Times New Roman" w:hAnsi="Times New Roman"/>
          <w:sz w:val="22"/>
        </w:rPr>
        <w:t xml:space="preserve">| </w:t>
      </w:r>
      <w:r>
        <w:rPr>
          <w:rFonts w:ascii="Times New Roman" w:hAnsi="Times New Roman"/>
          <w:b/>
          <w:sz w:val="22"/>
        </w:rPr>
        <w:t>Accuracy</w:t>
      </w:r>
      <w:r>
        <w:rPr>
          <w:rFonts w:ascii="Times New Roman" w:hAnsi="Times New Roman"/>
          <w:sz w:val="22"/>
        </w:rPr>
        <w:t xml:space="preserve"> | — | — | </w:t>
      </w:r>
      <w:r>
        <w:rPr>
          <w:rFonts w:ascii="Times New Roman" w:hAnsi="Times New Roman"/>
          <w:b/>
          <w:sz w:val="22"/>
        </w:rPr>
        <w:t>57.45%</w:t>
      </w:r>
      <w:r>
        <w:rPr>
          <w:rFonts w:ascii="Times New Roman" w:hAnsi="Times New Roman"/>
          <w:sz w:val="22"/>
        </w:rPr>
        <w:t xml:space="preserve"> | 1,053 |</w:t>
      </w:r>
    </w:p>
    <w:p>
      <w:pPr>
        <w:spacing w:line="276" w:lineRule="auto" w:after="80"/>
      </w:pPr>
      <w:r/>
      <w:r>
        <w:rPr>
          <w:rFonts w:ascii="Times New Roman" w:hAnsi="Times New Roman"/>
          <w:sz w:val="22"/>
        </w:rPr>
        <w:t xml:space="preserve">| </w:t>
      </w:r>
      <w:r>
        <w:rPr>
          <w:rFonts w:ascii="Times New Roman" w:hAnsi="Times New Roman"/>
          <w:b/>
          <w:sz w:val="22"/>
        </w:rPr>
        <w:t>Macro Average</w:t>
      </w:r>
      <w:r>
        <w:rPr>
          <w:rFonts w:ascii="Times New Roman" w:hAnsi="Times New Roman"/>
          <w:sz w:val="22"/>
        </w:rPr>
        <w:t xml:space="preserve"> | 0.1791 | 0.1190 | </w:t>
      </w:r>
      <w:r>
        <w:rPr>
          <w:rFonts w:ascii="Times New Roman" w:hAnsi="Times New Roman"/>
          <w:b/>
          <w:sz w:val="22"/>
        </w:rPr>
        <w:t>0.1444</w:t>
      </w:r>
      <w:r>
        <w:rPr>
          <w:rFonts w:ascii="Times New Roman" w:hAnsi="Times New Roman"/>
          <w:sz w:val="22"/>
        </w:rPr>
        <w:t xml:space="preserve"> | 1,053 |</w:t>
      </w:r>
    </w:p>
    <w:p>
      <w:pPr>
        <w:spacing w:line="276" w:lineRule="auto" w:after="80"/>
      </w:pPr>
      <w:r/>
      <w:r>
        <w:rPr>
          <w:rFonts w:ascii="Times New Roman" w:hAnsi="Times New Roman"/>
          <w:sz w:val="22"/>
        </w:rPr>
        <w:t xml:space="preserve">| </w:t>
      </w:r>
      <w:r>
        <w:rPr>
          <w:rFonts w:ascii="Times New Roman" w:hAnsi="Times New Roman"/>
          <w:b/>
          <w:sz w:val="22"/>
        </w:rPr>
        <w:t>Weighted Average</w:t>
      </w:r>
      <w:r>
        <w:rPr>
          <w:rFonts w:ascii="Times New Roman" w:hAnsi="Times New Roman"/>
          <w:sz w:val="22"/>
        </w:rPr>
        <w:t xml:space="preserve"> | 0.4738 | 0.5745 | </w:t>
      </w:r>
      <w:r>
        <w:rPr>
          <w:rFonts w:ascii="Times New Roman" w:hAnsi="Times New Roman"/>
          <w:b/>
          <w:sz w:val="22"/>
        </w:rPr>
        <w:t>0.4563</w:t>
      </w:r>
      <w:r>
        <w:rPr>
          <w:rFonts w:ascii="Times New Roman" w:hAnsi="Times New Roman"/>
          <w:sz w:val="22"/>
        </w:rPr>
        <w:t xml:space="preserve"> | 1,053 |</w:t>
      </w:r>
    </w:p>
    <w:p>
      <w:pPr>
        <w:spacing w:line="276" w:lineRule="auto" w:after="80"/>
      </w:pPr>
      <w:r/>
      <w:r>
        <w:rPr>
          <w:rFonts w:ascii="Times New Roman" w:hAnsi="Times New Roman"/>
          <w:sz w:val="22"/>
        </w:rPr>
        <w:t>On the balanced binary benchmark for sarcasm detection, the pipeline achieved an overall accuracy of 83.00% and a Macro F1 of 0.8122. In 9-class modeling, the model prioritized sensitivity to the primary crisis driver, capturing $96.92\%$ of all empirical Disgust instances. Confusion matrix analysis revealed that misclassifications primarily stemmed from linguistic overlap: sarcastic Trust texts were remapped into Disgust due to the model detecting embedded physical complaint lemmas.</w:t>
      </w:r>
    </w:p>
    <w:p>
      <w:pPr>
        <w:pStyle w:val="Heading2"/>
        <w:spacing w:before="160" w:after="40"/>
      </w:pPr>
      <w:r>
        <w:t>4.6 Empirical Validation of the Phygital Gap (ABSA Results)</w:t>
      </w:r>
    </w:p>
    <w:p>
      <w:pPr>
        <w:spacing w:line="276" w:lineRule="auto" w:after="80"/>
      </w:pPr>
      <w:r>
        <w:t>Thematic aspect-based affective distribution across the three physical dimensions of the MBG program confirmed that public disgust was anchored in physical execution failures:</w:t>
      </w:r>
    </w:p>
    <w:p>
      <w:pPr>
        <w:spacing w:line="276" w:lineRule="auto" w:after="80"/>
      </w:pPr>
      <w:r>
        <w:t>| Aspect Theme | Total Mentions | Disgust Count | Disgust Pct (%) | Trust Count | Trust Pct (%) | Neutral Pct (%) |</w:t>
      </w:r>
    </w:p>
    <w:p>
      <w:pPr>
        <w:spacing w:line="276" w:lineRule="auto" w:after="80"/>
      </w:pPr>
      <w:r>
        <w:t>| :--- | :---: | :---: | :---: | :---: | :--- | :--- |</w:t>
      </w:r>
    </w:p>
    <w:p>
      <w:pPr>
        <w:spacing w:line="276" w:lineRule="auto" w:after="80"/>
      </w:pPr>
      <w:r/>
      <w:r>
        <w:rPr>
          <w:rFonts w:ascii="Times New Roman" w:hAnsi="Times New Roman"/>
          <w:sz w:val="22"/>
        </w:rPr>
        <w:t xml:space="preserve">| </w:t>
      </w:r>
      <w:r>
        <w:rPr>
          <w:rFonts w:ascii="Times New Roman" w:hAnsi="Times New Roman"/>
          <w:b/>
          <w:sz w:val="22"/>
        </w:rPr>
        <w:t>Logistics &amp; Distribution</w:t>
      </w:r>
      <w:r>
        <w:rPr>
          <w:rFonts w:ascii="Times New Roman" w:hAnsi="Times New Roman"/>
          <w:sz w:val="22"/>
        </w:rPr>
        <w:t xml:space="preserve"> | 403 | 318 | </w:t>
      </w:r>
      <w:r>
        <w:rPr>
          <w:rFonts w:ascii="Times New Roman" w:hAnsi="Times New Roman"/>
          <w:b/>
          <w:sz w:val="22"/>
        </w:rPr>
        <w:t>78.91%</w:t>
      </w:r>
      <w:r>
        <w:rPr>
          <w:rFonts w:ascii="Times New Roman" w:hAnsi="Times New Roman"/>
          <w:sz w:val="22"/>
        </w:rPr>
        <w:t xml:space="preserve"> | 21 | 5.21% | 15.88% |</w:t>
      </w:r>
    </w:p>
    <w:p>
      <w:pPr>
        <w:spacing w:line="276" w:lineRule="auto" w:after="80"/>
      </w:pPr>
      <w:r/>
      <w:r>
        <w:rPr>
          <w:rFonts w:ascii="Times New Roman" w:hAnsi="Times New Roman"/>
          <w:sz w:val="22"/>
        </w:rPr>
        <w:t xml:space="preserve">| </w:t>
      </w:r>
      <w:r>
        <w:rPr>
          <w:rFonts w:ascii="Times New Roman" w:hAnsi="Times New Roman"/>
          <w:b/>
          <w:sz w:val="22"/>
        </w:rPr>
        <w:t>Budget Allocation &amp; Vendors</w:t>
      </w:r>
      <w:r>
        <w:rPr>
          <w:rFonts w:ascii="Times New Roman" w:hAnsi="Times New Roman"/>
          <w:sz w:val="22"/>
        </w:rPr>
        <w:t xml:space="preserve">| 535 | 412 | </w:t>
      </w:r>
      <w:r>
        <w:rPr>
          <w:rFonts w:ascii="Times New Roman" w:hAnsi="Times New Roman"/>
          <w:b/>
          <w:sz w:val="22"/>
        </w:rPr>
        <w:t>77.01%</w:t>
      </w:r>
      <w:r>
        <w:rPr>
          <w:rFonts w:ascii="Times New Roman" w:hAnsi="Times New Roman"/>
          <w:sz w:val="22"/>
        </w:rPr>
        <w:t xml:space="preserve"> | 23 | 4.30% | 18.69% |</w:t>
      </w:r>
    </w:p>
    <w:p>
      <w:pPr>
        <w:spacing w:line="276" w:lineRule="auto" w:after="80"/>
      </w:pPr>
      <w:r/>
      <w:r>
        <w:rPr>
          <w:rFonts w:ascii="Times New Roman" w:hAnsi="Times New Roman"/>
          <w:sz w:val="22"/>
        </w:rPr>
        <w:t xml:space="preserve">| </w:t>
      </w:r>
      <w:r>
        <w:rPr>
          <w:rFonts w:ascii="Times New Roman" w:hAnsi="Times New Roman"/>
          <w:b/>
          <w:sz w:val="22"/>
        </w:rPr>
        <w:t>Food Nutritional Quality</w:t>
      </w:r>
      <w:r>
        <w:rPr>
          <w:rFonts w:ascii="Times New Roman" w:hAnsi="Times New Roman"/>
          <w:sz w:val="22"/>
        </w:rPr>
        <w:t xml:space="preserve"> | 1,344 | 956 | </w:t>
      </w:r>
      <w:r>
        <w:rPr>
          <w:rFonts w:ascii="Times New Roman" w:hAnsi="Times New Roman"/>
          <w:b/>
          <w:sz w:val="22"/>
        </w:rPr>
        <w:t>71.13%</w:t>
      </w:r>
      <w:r>
        <w:rPr>
          <w:rFonts w:ascii="Times New Roman" w:hAnsi="Times New Roman"/>
          <w:sz w:val="22"/>
        </w:rPr>
        <w:t xml:space="preserve"> | 119 | 8.85% | 20.01% |</w:t>
      </w:r>
    </w:p>
    <w:p>
      <w:pPr>
        <w:spacing w:line="276" w:lineRule="auto" w:after="80"/>
      </w:pPr>
      <w:r/>
      <w:r>
        <w:rPr>
          <w:rFonts w:ascii="Times New Roman" w:hAnsi="Times New Roman"/>
          <w:sz w:val="22"/>
        </w:rPr>
        <w:t>Across all three operational aspects, Disgust exceeded $70\%$, peaking at $78.91\% in Logistics and 77.01\%$ in Budget Allocation. This provides empirical proof of the Phygital Gap: negative affect was not an abstract political grievance, but an intense rejection of operational failures in delivery timing, budget misappropriation, and inadequate dietary portion sizes.</w:t>
      </w:r>
    </w:p>
    <w:p>
      <w:pPr>
        <w:spacing w:line="276" w:lineRule="auto" w:after="80"/>
      </w:pPr>
      <w:r>
        <w:t>---</w:t>
      </w:r>
    </w:p>
    <w:p>
      <w:pPr>
        <w:pStyle w:val="Heading1"/>
        <w:spacing w:before="240" w:after="80"/>
      </w:pPr>
      <w:r>
        <w:t>5. DISCUSSION</w:t>
      </w:r>
    </w:p>
    <w:p>
      <w:pPr>
        <w:pStyle w:val="Heading2"/>
        <w:spacing w:before="160" w:after="40"/>
      </w:pPr>
      <w:r>
        <w:t>5.1 The Anatomy of the Phygital Gap in Public Sector Governance</w:t>
      </w:r>
    </w:p>
    <w:p>
      <w:pPr>
        <w:spacing w:line="276" w:lineRule="auto" w:after="80"/>
      </w:pPr>
      <w:r/>
      <w:r>
        <w:rPr>
          <w:rFonts w:ascii="Times New Roman" w:hAnsi="Times New Roman"/>
          <w:sz w:val="22"/>
        </w:rPr>
        <w:t xml:space="preserve">The empirical findings substantiate the central theoretical proposition of this study: the crisis of the MBG program represents a textbook manifestation of the </w:t>
      </w:r>
      <w:r>
        <w:rPr>
          <w:rFonts w:ascii="Times New Roman" w:hAnsi="Times New Roman"/>
          <w:b/>
          <w:sz w:val="22"/>
        </w:rPr>
        <w:t>Phygital Gap</w:t>
      </w:r>
      <w:r>
        <w:rPr>
          <w:rFonts w:ascii="Times New Roman" w:hAnsi="Times New Roman"/>
          <w:sz w:val="22"/>
        </w:rPr>
        <w:t xml:space="preserve"> (Kotler et al., 2023) transposed into public policy communication. In corporate marketing, a phygital gap erodes brand equity; in public governance, it destroys democratic legitimacy. The government succeeded in crafting an appealing digital vision of national nutritional sovereignty across press releases, social media infographics, and broadcast announcements. However, when the physical deliverable—the meal tray—arrived at schools in unhygienic states or with minimal portions, citizens experienced sharp sensory betrayal.</w:t>
      </w:r>
    </w:p>
    <w:p>
      <w:pPr>
        <w:spacing w:line="276" w:lineRule="auto" w:after="80"/>
      </w:pPr>
      <w:r/>
      <w:r>
        <w:rPr>
          <w:rFonts w:ascii="Times New Roman" w:hAnsi="Times New Roman"/>
          <w:sz w:val="22"/>
        </w:rPr>
        <w:t xml:space="preserve">The dominance of </w:t>
      </w:r>
      <w:r>
        <w:rPr>
          <w:rFonts w:ascii="Times New Roman" w:hAnsi="Times New Roman"/>
          <w:b/>
          <w:sz w:val="22"/>
        </w:rPr>
        <w:t>Disgust (56.24%)</w:t>
      </w:r>
      <w:r>
        <w:rPr>
          <w:rFonts w:ascii="Times New Roman" w:hAnsi="Times New Roman"/>
          <w:sz w:val="22"/>
        </w:rPr>
        <w:t xml:space="preserve"> over </w:t>
      </w:r>
      <w:r>
        <w:rPr>
          <w:rFonts w:ascii="Times New Roman" w:hAnsi="Times New Roman"/>
          <w:b/>
          <w:sz w:val="22"/>
        </w:rPr>
        <w:t>Anger (1.05%)</w:t>
      </w:r>
      <w:r>
        <w:rPr>
          <w:rFonts w:ascii="Times New Roman" w:hAnsi="Times New Roman"/>
          <w:sz w:val="22"/>
        </w:rPr>
        <w:t xml:space="preserve"> is sociologically profound. In political psychology, anger is an approach-oriented emotion that motivates political activism, protest, and demands for institutional reform. Disgust, conversely, is an avoidance-oriented visceral emotion triggered by physical contaminants, spoiled food, and moral revulsion. By failing at the physical touchpoint, the government reduced a multi-trillion rupiah national policy into an object of physical disgust.</w:t>
      </w:r>
    </w:p>
    <w:p>
      <w:pPr>
        <w:pStyle w:val="Heading2"/>
        <w:spacing w:before="160" w:after="40"/>
      </w:pPr>
      <w:r>
        <w:t>5.2 Hyper-Fragmentation and the Death of Deliberative Space</w:t>
      </w:r>
    </w:p>
    <w:p>
      <w:pPr>
        <w:spacing w:line="276" w:lineRule="auto" w:after="80"/>
      </w:pPr>
      <w:r/>
      <w:r>
        <w:rPr>
          <w:rFonts w:ascii="Times New Roman" w:hAnsi="Times New Roman"/>
          <w:sz w:val="22"/>
        </w:rP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pPr>
        <w:spacing w:line="276" w:lineRule="auto" w:after="80"/>
      </w:pPr>
      <w:r/>
      <w:r>
        <w:rPr>
          <w:rFonts w:ascii="Times New Roman" w:hAnsi="Times New Roman"/>
          <w:sz w:val="22"/>
        </w:rPr>
        <w:t>Coupled with a reciprocity rate of only 1.21%, this reveals that the digital discourse was functionally dead as a deliberative space. Citizens broadcasted their frustration into localized micro-clusters, while government actors failed to engage in reciprocal dialogue. The giant component captured only $9.17\%$ of nodes, proving that no single narrative could bridge the fragmented silos.</w:t>
      </w:r>
    </w:p>
    <w:p>
      <w:pPr>
        <w:pStyle w:val="Heading2"/>
        <w:spacing w:before="160" w:after="40"/>
      </w:pPr>
      <w:r>
        <w:t>5.3 The Emergence of the 'Algorithmic Oracle'</w:t>
      </w:r>
    </w:p>
    <w:p>
      <w:pPr>
        <w:spacing w:line="276" w:lineRule="auto" w:after="80"/>
      </w:pPr>
      <w:r/>
      <w:r>
        <w:rPr>
          <w:rFonts w:ascii="Times New Roman" w:hAnsi="Times New Roman"/>
          <w:sz w:val="22"/>
        </w:rPr>
        <w:t>Perhaps the most transformative empirical finding is the communicative role assumed by artificial intelligence. In classical crisis communication models (Coombs, 2007), epistemic authority rests with institutional leaders, official spokespersons, or verified investigative journalists. In this network, however, @grok achieved an Out-Degree of 42, dominating the graph's broadcasting capability, while @prabowo remained silent ($C_{</w:t>
        <w:tab/>
        <w:t>ext{out}} = 0$).</w:t>
      </w:r>
    </w:p>
    <w:p>
      <w:pPr>
        <w:spacing w:line="276" w:lineRule="auto" w:after="80"/>
      </w:pPr>
      <w:r/>
      <w:r>
        <w:rPr>
          <w:rFonts w:ascii="Times New Roman" w:hAnsi="Times New Roman"/>
          <w:sz w:val="22"/>
        </w:rPr>
        <w:t xml:space="preserve">When state actors create a </w:t>
      </w:r>
      <w:r>
        <w:rPr>
          <w:rFonts w:ascii="Times New Roman" w:hAnsi="Times New Roman"/>
          <w:b/>
          <w:sz w:val="22"/>
        </w:rPr>
        <w:t>Power Vacuum</w:t>
      </w:r>
      <w:r>
        <w:rPr>
          <w:rFonts w:ascii="Times New Roman" w:hAnsi="Times New Roman"/>
          <w:sz w:val="22"/>
        </w:rPr>
        <w:t xml:space="preserve"> by failing to respond to legitimate operational queries, digital citizens do not abandon inquiry; instead, they pivot to synthetic authority. Netizens tagged @grok to verify contract values, calculate vendor margins, and cross-reference nutritional standards. The AI agent operated as an impartial </w:t>
      </w:r>
      <w:r>
        <w:rPr>
          <w:rFonts w:ascii="Times New Roman" w:hAnsi="Times New Roman"/>
          <w:i/>
          <w:sz w:val="22"/>
        </w:rPr>
        <w:t>Algorithmic Oracle</w:t>
      </w:r>
      <w:r>
        <w:rPr>
          <w:rFonts w:ascii="Times New Roman" w:hAnsi="Times New Roman"/>
          <w:sz w:val="22"/>
        </w:rPr>
        <w:t>, synthesizing facts in real time. This signals a historic paradigm shift in digital public relations: future state communication strategies will not merely interact with human journalists or influencers, but must contend with autonomous algorithms operating as primary epistemic gatekeepers in the network.</w:t>
      </w:r>
    </w:p>
    <w:p>
      <w:pPr>
        <w:pStyle w:val="Heading2"/>
        <w:spacing w:before="160" w:after="40"/>
      </w:pPr>
      <w:r>
        <w:t>5.4 Sarcasm as Rhetorical Counter-Surveillance</w:t>
      </w:r>
    </w:p>
    <w:p>
      <w:pPr>
        <w:spacing w:line="276" w:lineRule="auto" w:after="80"/>
      </w:pPr>
      <w:r/>
      <w:r>
        <w:rPr>
          <w:rFonts w:ascii="Times New Roman" w:hAnsi="Times New Roman"/>
          <w:sz w:val="22"/>
        </w:rP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pPr>
        <w:spacing w:line="276" w:lineRule="auto" w:after="80"/>
      </w:pPr>
      <w:r>
        <w:t>---</w:t>
      </w:r>
    </w:p>
    <w:p>
      <w:pPr>
        <w:pStyle w:val="Heading1"/>
        <w:spacing w:before="240" w:after="80"/>
      </w:pPr>
      <w:r>
        <w:t>6. THEORETICAL AND PRACTICAL CONTRIBUTIONS</w:t>
      </w:r>
    </w:p>
    <w:p>
      <w:pPr>
        <w:pStyle w:val="Heading2"/>
        <w:spacing w:before="160" w:after="40"/>
      </w:pPr>
      <w:r>
        <w:t>6.1 Theoretical Contributions</w:t>
      </w:r>
    </w:p>
    <w:p>
      <w:pPr>
        <w:pStyle w:val="ListNumber"/>
      </w:pPr>
      <w:r/>
      <w:r>
        <w:rPr>
          <w:rFonts w:ascii="Times New Roman" w:hAnsi="Times New Roman"/>
          <w:b/>
          <w:sz w:val="22"/>
        </w:rPr>
        <w:t>Extension of Marketing 6.0 into Public Administration:</w:t>
      </w:r>
      <w:r>
        <w:rPr>
          <w:rFonts w:ascii="Times New Roman" w:hAnsi="Times New Roman"/>
          <w:sz w:val="22"/>
        </w:rPr>
        <w:t xml:space="preserve"> This study demonstrates that the </w:t>
      </w:r>
      <w:r>
        <w:rPr>
          <w:rFonts w:ascii="Times New Roman" w:hAnsi="Times New Roman"/>
          <w:i/>
          <w:sz w:val="22"/>
        </w:rPr>
        <w:t>Phygital Gap</w:t>
      </w:r>
      <w:r>
        <w:rPr>
          <w:rFonts w:ascii="Times New Roman" w:hAnsi="Times New Roman"/>
          <w:sz w:val="22"/>
        </w:rPr>
        <w:t xml:space="preserve"> is a rigorous, quantifiable construct for evaluating state policy crises, bridging marketing theory with public administration.</w:t>
      </w:r>
    </w:p>
    <w:p>
      <w:pPr>
        <w:pStyle w:val="ListNumber"/>
      </w:pPr>
      <w:r/>
      <w:r>
        <w:rPr>
          <w:rFonts w:ascii="Times New Roman" w:hAnsi="Times New Roman"/>
          <w:b/>
          <w:sz w:val="22"/>
        </w:rPr>
        <w:t>Tri-Layer CSS Methodological Synthesis:</w:t>
      </w:r>
      <w:r>
        <w:rPr>
          <w:rFonts w:ascii="Times New Roman" w:hAnsi="Times New Roman"/>
          <w:sz w:val="22"/>
        </w:rPr>
        <w:t xml:space="preserve"> By synchronizing transformer deep learning (IndoBERT), pragmatics-informed sarcasm detection, and topological SNA, this research presents an integrative blueprint for computational communication science that avoids the reductionism of isolated text or network studies.</w:t>
      </w:r>
    </w:p>
    <w:p>
      <w:pPr>
        <w:pStyle w:val="ListNumber"/>
      </w:pPr>
      <w:r/>
      <w:r>
        <w:rPr>
          <w:rFonts w:ascii="Times New Roman" w:hAnsi="Times New Roman"/>
          <w:b/>
          <w:sz w:val="22"/>
        </w:rPr>
        <w:t>Conceptualization of the Algorithmic Oracle:</w:t>
      </w:r>
      <w:r>
        <w:rPr>
          <w:rFonts w:ascii="Times New Roman" w:hAnsi="Times New Roman"/>
          <w:sz w:val="22"/>
        </w:rPr>
        <w:t xml:space="preserve"> We provide the first empirical documentation of an AI agent functioning as a central communicative authority in an Indonesian public policy crisis network, redefining theories of networked gatekeeping.</w:t>
      </w:r>
    </w:p>
    <w:p>
      <w:pPr>
        <w:pStyle w:val="Heading2"/>
        <w:spacing w:before="160" w:after="40"/>
      </w:pPr>
      <w:r>
        <w:t>6.2 Practical Policy and PR Implications</w:t>
      </w:r>
    </w:p>
    <w:p>
      <w:pPr>
        <w:pStyle w:val="ListNumber"/>
      </w:pPr>
      <w:r/>
      <w:r>
        <w:rPr>
          <w:rFonts w:ascii="Times New Roman" w:hAnsi="Times New Roman"/>
          <w:b/>
          <w:sz w:val="22"/>
        </w:rPr>
        <w:t>Closing the Physical Touchpoint:</w:t>
      </w:r>
      <w:r>
        <w:rPr>
          <w:rFonts w:ascii="Times New Roman" w:hAnsi="Times New Roman"/>
          <w:sz w:val="22"/>
        </w:rPr>
        <w:t xml:space="preserve"> Public sector communication teams cannot cure an operational crisis with digital spin. PR resources must be directed toward auditing ground-level operational logistics before launching promotional digital campaigns.</w:t>
      </w:r>
    </w:p>
    <w:p>
      <w:pPr>
        <w:pStyle w:val="ListNumber"/>
      </w:pPr>
      <w:r/>
      <w:r>
        <w:rPr>
          <w:rFonts w:ascii="Times New Roman" w:hAnsi="Times New Roman"/>
          <w:b/>
          <w:sz w:val="22"/>
        </w:rPr>
        <w:t>Eliminating the Power Vacuum:</w:t>
      </w:r>
      <w:r>
        <w:rPr>
          <w:rFonts w:ascii="Times New Roman" w:hAnsi="Times New Roman"/>
          <w:sz w:val="22"/>
        </w:rPr>
        <w:t xml:space="preserve"> Institutional communicators must abandon one-way broadcast practices. Establishing responsive, interactive social listening units capable of engaging with citizen inquiries is essential to raise network reciprocity and restore institutional trust.</w:t>
      </w:r>
    </w:p>
    <w:p>
      <w:pPr>
        <w:pStyle w:val="ListNumber"/>
      </w:pPr>
      <w:r/>
      <w:r>
        <w:rPr>
          <w:rFonts w:ascii="Times New Roman" w:hAnsi="Times New Roman"/>
          <w:b/>
          <w:sz w:val="22"/>
        </w:rPr>
        <w:t>Deprecating Binary Sentiment Tools:</w:t>
      </w:r>
      <w:r>
        <w:rPr>
          <w:rFonts w:ascii="Times New Roman" w:hAnsi="Times New Roman"/>
          <w:sz w:val="22"/>
        </w:rPr>
        <w:t xml:space="preserve"> Government monitoring dashboards must replace obsolete positive/negative lexicon tools with contextual transformer models capable of decoding sarcasm and granular disgust.</w:t>
      </w:r>
    </w:p>
    <w:p>
      <w:pPr>
        <w:spacing w:line="276" w:lineRule="auto" w:after="80"/>
      </w:pPr>
      <w:r>
        <w:t>---</w:t>
      </w:r>
    </w:p>
    <w:p>
      <w:pPr>
        <w:pStyle w:val="Heading1"/>
        <w:spacing w:before="240" w:after="80"/>
      </w:pPr>
      <w:r>
        <w:t>7. RESEARCH LIMITATIONS AND FUTURE RESEARCH AGENDA</w:t>
      </w:r>
    </w:p>
    <w:p>
      <w:pPr>
        <w:spacing w:line="276" w:lineRule="auto" w:after="80"/>
      </w:pPr>
      <w:r>
        <w:t>In compliance with academic rigor, this study identifies five methodological boundaries:</w:t>
      </w:r>
    </w:p>
    <w:p>
      <w:pPr>
        <w:pStyle w:val="ListNumber"/>
      </w:pPr>
      <w:r/>
      <w:r>
        <w:rPr>
          <w:rFonts w:ascii="Times New Roman" w:hAnsi="Times New Roman"/>
          <w:b/>
          <w:sz w:val="22"/>
        </w:rPr>
        <w:t>Demographic Platform Bias:</w:t>
      </w:r>
      <w:r>
        <w:rPr>
          <w:rFonts w:ascii="Times New Roman" w:hAnsi="Times New Roman"/>
          <w:sz w:val="22"/>
        </w:rPr>
        <w:t xml:space="preserve"> Data is derived solely from Platform X, which disproportionately represents urban, educated, and politically active demographics; findings cannot be generalized to the entire offline Indonesian populace.</w:t>
      </w:r>
    </w:p>
    <w:p>
      <w:pPr>
        <w:pStyle w:val="ListNumber"/>
      </w:pPr>
      <w:r/>
      <w:r>
        <w:rPr>
          <w:rFonts w:ascii="Times New Roman" w:hAnsi="Times New Roman"/>
          <w:sz w:val="22"/>
        </w:rPr>
        <w:t>Class Imbalance in Granular Modeling: Natural class imbalance in crisis data resulted in low Macro F1 scores for minority emotion classes (Fear, Sadness, Joy), despite high Recall on the dominant Disgust class ($96.92\%$).</w:t>
      </w:r>
    </w:p>
    <w:p>
      <w:pPr>
        <w:pStyle w:val="ListNumber"/>
      </w:pPr>
      <w:r/>
      <w:r>
        <w:rPr>
          <w:rFonts w:ascii="Times New Roman" w:hAnsi="Times New Roman"/>
          <w:b/>
          <w:sz w:val="22"/>
        </w:rPr>
        <w:t>Lexical Aspect Extraction:</w:t>
      </w:r>
      <w:r>
        <w:rPr>
          <w:rFonts w:ascii="Times New Roman" w:hAnsi="Times New Roman"/>
          <w:sz w:val="22"/>
        </w:rPr>
        <w:t xml:space="preserve"> Aspect extraction in ABSA utilized curated domain lexicons rather than an end-to-end supervised dependency parser.</w:t>
      </w:r>
    </w:p>
    <w:p>
      <w:pPr>
        <w:pStyle w:val="ListNumber"/>
      </w:pPr>
      <w:r/>
      <w:r>
        <w:rPr>
          <w:rFonts w:ascii="Times New Roman" w:hAnsi="Times New Roman"/>
          <w:b/>
          <w:sz w:val="22"/>
        </w:rPr>
        <w:t>Cross-Platform Omission:</w:t>
      </w:r>
      <w:r>
        <w:rPr>
          <w:rFonts w:ascii="Times New Roman" w:hAnsi="Times New Roman"/>
          <w:sz w:val="22"/>
        </w:rPr>
        <w:t xml:space="preserve"> Visual and video-based platforms (TikTok, Instagram) where the physical food was visually documented were not included in this computational pipeline.</w:t>
      </w:r>
    </w:p>
    <w:p>
      <w:pPr>
        <w:spacing w:line="276" w:lineRule="auto" w:after="80"/>
      </w:pPr>
      <w:r/>
      <w:r>
        <w:rPr>
          <w:rFonts w:ascii="Times New Roman" w:hAnsi="Times New Roman"/>
          <w:sz w:val="22"/>
        </w:rPr>
        <w:t xml:space="preserve">5. </w:t>
      </w:r>
      <w:r>
        <w:rPr>
          <w:rFonts w:ascii="Times New Roman" w:hAnsi="Times New Roman"/>
          <w:b/>
          <w:sz w:val="22"/>
        </w:rPr>
        <w:t>Temporal Horizon:</w:t>
      </w:r>
      <w:r>
        <w:rPr>
          <w:rFonts w:ascii="Times New Roman" w:hAnsi="Times New Roman"/>
          <w:sz w:val="22"/>
        </w:rPr>
        <w:t xml:space="preserve"> The study captures the initial rollout phase (January–March 2026); long-term longitudinal shifts in network topology remain unobserved.</w:t>
      </w:r>
    </w:p>
    <w:p>
      <w:pPr>
        <w:spacing w:line="276" w:lineRule="auto" w:after="80"/>
      </w:pPr>
      <w:r>
        <w:t>---</w:t>
      </w:r>
    </w:p>
    <w:p>
      <w:pPr>
        <w:pStyle w:val="Heading1"/>
        <w:spacing w:before="240" w:after="80"/>
      </w:pPr>
      <w:r>
        <w:t>8. CONCLUSION</w:t>
      </w:r>
    </w:p>
    <w:p>
      <w:pPr>
        <w:spacing w:line="276" w:lineRule="auto" w:after="80"/>
      </w:pPr>
      <w:r/>
      <w:r>
        <w:rPr>
          <w:rFonts w:ascii="Times New Roman" w:hAnsi="Times New Roman"/>
          <w:sz w:val="22"/>
        </w:rPr>
        <w:t>This study mapped the digital crisis of Indonesia's Free Nutritious Meal (MBG) program through an integrated tri-layer computational communication architecture. The empirical findings validate that public resistance was fundamentally driven by a Phygital Gap—an irreconcilable discrepancy between the state's polished digital narrative and the substandard physical reality of food delivery. IndoBERT modeling revealed an overwhelming predominance of Disgust (56.24%), while sarcasm detection identified sophisticated linguistic pretense weaponizing incongruous emojis against automated surveillance. Topologically, discourse was paralyzed by near-zero reciprocity ($1.21\%$) and severe hyper-fragmentation ($Q = 0.9837$) across 332 isolated clusters. In the face of an institutional Power Vacuum, an artificial intelligence bot (@grok) emerged as an Algorithmic Oracle, signaling a historic evolution in digital communication where algorithms adjudicate policy truths when physical delivery fails.</w:t>
      </w:r>
    </w:p>
    <w:p>
      <w:pPr>
        <w:spacing w:line="276" w:lineRule="auto" w:after="80"/>
      </w:pPr>
      <w:r>
        <w:t>---</w:t>
      </w:r>
    </w:p>
    <w:p>
      <w:pPr>
        <w:pStyle w:val="Heading1"/>
        <w:spacing w:before="240" w:after="80"/>
      </w:pPr>
      <w:r>
        <w:t>STATEMENTS AND DECLARATIONS</w:t>
      </w:r>
    </w:p>
    <w:p>
      <w:pPr>
        <w:pStyle w:val="Heading2"/>
        <w:spacing w:before="160" w:after="40"/>
      </w:pPr>
      <w:r>
        <w:t>Funding</w:t>
      </w:r>
    </w:p>
    <w:p>
      <w:pPr>
        <w:spacing w:line="276" w:lineRule="auto" w:after="80"/>
      </w:pPr>
      <w:r>
        <w:t>The authors declare that no external funding, grants, or financial support were received for the research, authorship, or publication of this article. This study was conducted independently at Universitas Pembangunan Nasional 'Veteran' Jawa Timur.</w:t>
      </w:r>
    </w:p>
    <w:p>
      <w:pPr>
        <w:pStyle w:val="Heading2"/>
        <w:spacing w:before="160" w:after="40"/>
      </w:pPr>
      <w:r>
        <w:t>Competing Interests / Conflict of Interest</w:t>
      </w:r>
    </w:p>
    <w:p>
      <w:pPr>
        <w:spacing w:line="276" w:lineRule="auto" w:after="80"/>
      </w:pPr>
      <w: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pPr>
        <w:pStyle w:val="Heading2"/>
        <w:spacing w:before="160" w:after="40"/>
      </w:pPr>
      <w:r>
        <w:t>Data and Code Availability (Open Science &amp; Reproducibility)</w:t>
      </w:r>
    </w:p>
    <w:p>
      <w:pPr>
        <w:spacing w:line="276" w:lineRule="auto" w:after="80"/>
      </w:pPr>
      <w:r>
        <w:t>In full compliance with Open Science, FAIR data principles (Findable, Accessible, Interoperable, and Reusable), and reproducibility guidelines:</w:t>
      </w:r>
    </w:p>
    <w:p>
      <w:pPr>
        <w:pStyle w:val="ListBullet"/>
      </w:pPr>
      <w:r/>
      <w:r>
        <w:rPr>
          <w:rFonts w:ascii="Times New Roman" w:hAnsi="Times New Roman"/>
          <w:sz w:val="22"/>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pPr>
        <w:pStyle w:val="ListBullet"/>
      </w:pPr>
      <w:r/>
      <w:r>
        <w:rPr>
          <w:rFonts w:ascii="Times New Roman" w:hAnsi="Times New Roman"/>
          <w:sz w:val="22"/>
        </w:rPr>
        <w:t>All Python replication scripts (evaluate.py, sna.py, plot_dataset.py, plot_integrated.py), Jupyter notebooks, and trained model artifacts are publicly available in the permanent GitHub repository:</w:t>
      </w:r>
    </w:p>
    <w:p>
      <w:pPr>
        <w:spacing w:line="276" w:lineRule="auto" w:after="80"/>
      </w:pPr>
      <w:r/>
      <w:r>
        <w:rPr>
          <w:rFonts w:ascii="Times New Roman" w:hAnsi="Times New Roman"/>
          <w:b/>
          <w:sz w:val="22"/>
        </w:rPr>
        <w:t>Repository:</w:t>
      </w:r>
      <w:r>
        <w:rPr>
          <w:rFonts w:ascii="Times New Roman" w:hAnsi="Times New Roman"/>
          <w:sz w:val="22"/>
        </w:rPr>
        <w:t xml:space="preserve"> https://github.com/indri007/INDOBERT-9-EMOJI-TESIS-ANALISIS-SNA</w:t>
      </w:r>
    </w:p>
    <w:p>
      <w:pPr>
        <w:spacing w:line="276" w:lineRule="auto" w:after="80"/>
      </w:pPr>
      <w:r/>
      <w:r>
        <w:rPr>
          <w:rFonts w:ascii="Times New Roman" w:hAnsi="Times New Roman"/>
          <w:b/>
          <w:sz w:val="22"/>
        </w:rPr>
        <w:t>Machine-Readable Metadata:</w:t>
      </w:r>
      <w:r>
        <w:rPr>
          <w:rFonts w:ascii="Times New Roman" w:hAnsi="Times New Roman"/>
          <w:sz w:val="22"/>
        </w:rPr>
        <w:t xml:space="preserve"> [CITATION.cff](https://github.com/indri007/INDOBERT-9-EMOJI-TESIS-ANALISIS-SNA/blob/main/CITATION.cff)</w:t>
      </w:r>
    </w:p>
    <w:p>
      <w:pPr>
        <w:spacing w:line="276" w:lineRule="auto" w:after="80"/>
      </w:pPr>
      <w:r/>
      <w:r>
        <w:rPr>
          <w:rFonts w:ascii="Times New Roman" w:hAnsi="Times New Roman"/>
          <w:b/>
          <w:sz w:val="22"/>
        </w:rPr>
        <w:t>Interactive Web Dashboard:</w:t>
      </w:r>
      <w:r>
        <w:rPr>
          <w:rFonts w:ascii="Times New Roman" w:hAnsi="Times New Roman"/>
          <w:sz w:val="22"/>
        </w:rPr>
        <w:t xml:space="preserve"> https://y6cqezpxxq2ftdwb6yvrab.streamlit.app/</w:t>
      </w:r>
    </w:p>
    <w:p>
      <w:pPr>
        <w:pStyle w:val="Heading2"/>
        <w:spacing w:before="160" w:after="40"/>
      </w:pPr>
      <w:r>
        <w:t>Author Contributions (CRediT Taxonomy)</w:t>
      </w:r>
    </w:p>
    <w:p>
      <w:pPr>
        <w:pStyle w:val="ListBullet"/>
      </w:pPr>
      <w:r/>
      <w:r>
        <w:rPr>
          <w:rFonts w:ascii="Times New Roman" w:hAnsi="Times New Roman"/>
          <w:b/>
          <w:sz w:val="22"/>
        </w:rPr>
        <w:t>Indri Anjar Kartika Sari:</w:t>
      </w:r>
      <w:r>
        <w:rPr>
          <w:rFonts w:ascii="Times New Roman" w:hAnsi="Times New Roman"/>
          <w:sz w:val="22"/>
        </w:rPr>
        <w:t xml:space="preserve"> Conceptualization, Methodology, Software, Data Curation, Formal Analysis, Investigation, Validation, Visualization, Writing – Original Draft, Project Administration.</w:t>
      </w:r>
    </w:p>
    <w:p>
      <w:pPr>
        <w:pStyle w:val="ListBullet"/>
      </w:pPr>
      <w:r/>
      <w:r>
        <w:rPr>
          <w:rFonts w:ascii="Times New Roman" w:hAnsi="Times New Roman"/>
          <w:b/>
          <w:sz w:val="22"/>
        </w:rPr>
        <w:t>Catur Suratnoaji:</w:t>
      </w:r>
      <w:r>
        <w:rPr>
          <w:rFonts w:ascii="Times New Roman" w:hAnsi="Times New Roman"/>
          <w:sz w:val="22"/>
        </w:rPr>
        <w:t xml:space="preserve"> Supervision, Conceptualization, Theoretical Framework, Formal Analysis Review, Writing – Review &amp; Editing.</w:t>
      </w:r>
    </w:p>
    <w:p>
      <w:pPr>
        <w:pStyle w:val="ListBullet"/>
      </w:pPr>
      <w:r/>
      <w:r>
        <w:rPr>
          <w:rFonts w:ascii="Times New Roman" w:hAnsi="Times New Roman"/>
          <w:b/>
          <w:sz w:val="22"/>
        </w:rPr>
        <w:t>Agus Widiyarta:</w:t>
      </w:r>
      <w:r>
        <w:rPr>
          <w:rFonts w:ascii="Times New Roman" w:hAnsi="Times New Roman"/>
          <w:sz w:val="22"/>
        </w:rPr>
        <w:t xml:space="preserve"> Supervision, Methodology Review, Communication Policy Analysis, Validation, Writing – Review &amp; Editing.</w:t>
      </w:r>
    </w:p>
    <w:p>
      <w:pPr>
        <w:pStyle w:val="Heading2"/>
        <w:spacing w:before="160" w:after="40"/>
      </w:pPr>
      <w:r>
        <w:t>Ethics Approval and Consent to Participate</w:t>
      </w:r>
    </w:p>
    <w:p>
      <w:pPr>
        <w:spacing w:line="276" w:lineRule="auto" w:after="80"/>
      </w:pPr>
      <w:r>
        <w:t>This research was conducted in strict adherence to Platform X Developer Policy and standard computational social science data mining ethics (Boyd &amp; Crawford, 2012; Ferrara et al., 2016). Only publicly available posts were harvested. No private or direct messages were accessed. All user data were analyzed in aggregate for public policy communication analysis without individual profiling, stalking, or doxxing.</w:t>
      </w:r>
    </w:p>
    <w:p>
      <w:pPr>
        <w:spacing w:line="276" w:lineRule="auto" w:after="80"/>
      </w:pPr>
      <w:r>
        <w:t>---</w:t>
      </w:r>
    </w:p>
    <w:p>
      <w:pPr>
        <w:pStyle w:val="Heading1"/>
        <w:spacing w:before="240" w:after="80"/>
      </w:pPr>
      <w:r>
        <w:t>REFERENCES</w:t>
      </w:r>
    </w:p>
    <w:p>
      <w:pPr>
        <w:spacing w:line="276" w:lineRule="auto" w:after="80"/>
      </w:pPr>
      <w:r/>
      <w:r>
        <w:rPr>
          <w:rFonts w:ascii="Times New Roman" w:hAnsi="Times New Roman"/>
          <w:sz w:val="22"/>
        </w:rPr>
        <w:t xml:space="preserve">Blondel, V. D., Guillaume, J.-L., Lambiotte, R., &amp; Lefebvre, E. (2008). Fast unfolding of communities in large networks. </w:t>
      </w:r>
      <w:r>
        <w:rPr>
          <w:rFonts w:ascii="Times New Roman" w:hAnsi="Times New Roman"/>
          <w:i/>
          <w:sz w:val="22"/>
        </w:rPr>
        <w:t>Journal of Statistical Mechanics: Theory and Experiment</w:t>
      </w:r>
      <w:r>
        <w:rPr>
          <w:rFonts w:ascii="Times New Roman" w:hAnsi="Times New Roman"/>
          <w:sz w:val="22"/>
        </w:rPr>
        <w:t>, 2008(10), P10008. https://doi.org/10.1088/1742-5468/2008/10/P10008</w:t>
      </w:r>
    </w:p>
    <w:p>
      <w:pPr>
        <w:spacing w:line="276" w:lineRule="auto" w:after="80"/>
      </w:pPr>
      <w:r/>
      <w:r>
        <w:rPr>
          <w:rFonts w:ascii="Times New Roman" w:hAnsi="Times New Roman"/>
          <w:sz w:val="22"/>
        </w:rPr>
        <w:t xml:space="preserve">Boyd, D., &amp; Crawford, K. (2012). Critical questions for big data: Provocations for a cultural, technological, and scholarly phenomenon. </w:t>
      </w:r>
      <w:r>
        <w:rPr>
          <w:rFonts w:ascii="Times New Roman" w:hAnsi="Times New Roman"/>
          <w:i/>
          <w:sz w:val="22"/>
        </w:rPr>
        <w:t>Information, Communication &amp; Society</w:t>
      </w:r>
      <w:r>
        <w:rPr>
          <w:rFonts w:ascii="Times New Roman" w:hAnsi="Times New Roman"/>
          <w:sz w:val="22"/>
        </w:rPr>
        <w:t>, 15(5), 662–679. https://doi.org/10.1080/1369118X.2012.678878</w:t>
      </w:r>
    </w:p>
    <w:p>
      <w:pPr>
        <w:spacing w:line="276" w:lineRule="auto" w:after="80"/>
      </w:pPr>
      <w:r/>
      <w:r>
        <w:rPr>
          <w:rFonts w:ascii="Times New Roman" w:hAnsi="Times New Roman"/>
          <w:sz w:val="22"/>
        </w:rPr>
        <w:t xml:space="preserve">Camp, E. (2012). Sarcasm, pretense, and the semantics/pragmatics distinction. </w:t>
      </w:r>
      <w:r>
        <w:rPr>
          <w:rFonts w:ascii="Times New Roman" w:hAnsi="Times New Roman"/>
          <w:i/>
          <w:sz w:val="22"/>
        </w:rPr>
        <w:t>Noûs</w:t>
      </w:r>
      <w:r>
        <w:rPr>
          <w:rFonts w:ascii="Times New Roman" w:hAnsi="Times New Roman"/>
          <w:sz w:val="22"/>
        </w:rPr>
        <w:t>, 46(4), 587–634. https://doi.org/10.1111/j.1468-0068.2010.00822.x</w:t>
      </w:r>
    </w:p>
    <w:p>
      <w:pPr>
        <w:spacing w:line="276" w:lineRule="auto" w:after="80"/>
      </w:pPr>
      <w:r/>
      <w:r>
        <w:rPr>
          <w:rFonts w:ascii="Times New Roman" w:hAnsi="Times New Roman"/>
          <w:sz w:val="22"/>
        </w:rPr>
        <w:t xml:space="preserve">Chiorrini, A., Diamantini, C., Mircoli, A., &amp; Potena, D. (2021). Emotion and sentiment analysis of tweets using BERT. In </w:t>
      </w:r>
      <w:r>
        <w:rPr>
          <w:rFonts w:ascii="Times New Roman" w:hAnsi="Times New Roman"/>
          <w:i/>
          <w:sz w:val="22"/>
        </w:rPr>
        <w:t>CEUR Workshop Proceedings</w:t>
      </w:r>
      <w:r>
        <w:rPr>
          <w:rFonts w:ascii="Times New Roman" w:hAnsi="Times New Roman"/>
          <w:sz w:val="22"/>
        </w:rPr>
        <w:t xml:space="preserve"> (Vol. 2841, pp. 24–33). http://ceur-ws.org/Vol-2841/</w:t>
      </w:r>
    </w:p>
    <w:p>
      <w:pPr>
        <w:spacing w:line="276" w:lineRule="auto" w:after="80"/>
      </w:pPr>
      <w:r/>
      <w:r>
        <w:rPr>
          <w:rFonts w:ascii="Times New Roman" w:hAnsi="Times New Roman"/>
          <w:sz w:val="22"/>
        </w:rPr>
        <w:t xml:space="preserve">Clark, H. H., &amp; Gerrig, R. J. (1984). On the pretense theory of irony. </w:t>
      </w:r>
      <w:r>
        <w:rPr>
          <w:rFonts w:ascii="Times New Roman" w:hAnsi="Times New Roman"/>
          <w:i/>
          <w:sz w:val="22"/>
        </w:rPr>
        <w:t>Journal of Experimental Psychology: General</w:t>
      </w:r>
      <w:r>
        <w:rPr>
          <w:rFonts w:ascii="Times New Roman" w:hAnsi="Times New Roman"/>
          <w:sz w:val="22"/>
        </w:rPr>
        <w:t>, 113(1), 121–126. https://doi.org/10.1037/0096-3445.113.1.121</w:t>
      </w:r>
    </w:p>
    <w:p>
      <w:pPr>
        <w:spacing w:line="276" w:lineRule="auto" w:after="80"/>
      </w:pPr>
      <w:r/>
      <w:r>
        <w:rPr>
          <w:rFonts w:ascii="Times New Roman" w:hAnsi="Times New Roman"/>
          <w:sz w:val="22"/>
        </w:rPr>
        <w:t xml:space="preserve">Coombs, W. T. (2007). Protecting organization reputations during a crisis: The development and application of situational crisis communication theory. </w:t>
      </w:r>
      <w:r>
        <w:rPr>
          <w:rFonts w:ascii="Times New Roman" w:hAnsi="Times New Roman"/>
          <w:i/>
          <w:sz w:val="22"/>
        </w:rPr>
        <w:t>Corporate Reputation Review</w:t>
      </w:r>
      <w:r>
        <w:rPr>
          <w:rFonts w:ascii="Times New Roman" w:hAnsi="Times New Roman"/>
          <w:sz w:val="22"/>
        </w:rPr>
        <w:t>, 10(3), 163–176. https://doi.org/10.1057/palgrave.crr.1550049</w:t>
      </w:r>
    </w:p>
    <w:p>
      <w:pPr>
        <w:spacing w:line="276" w:lineRule="auto" w:after="80"/>
      </w:pPr>
      <w:r/>
      <w:r>
        <w:rPr>
          <w:rFonts w:ascii="Times New Roman" w:hAnsi="Times New Roman"/>
          <w:sz w:val="22"/>
        </w:rPr>
        <w:t xml:space="preserve">Devlin, J., Chang, M.-W., Lee, K., &amp; Toutanova, K. (2018). BERT: Pre-training of deep bidirectional transformers for language understanding. </w:t>
      </w:r>
      <w:r>
        <w:rPr>
          <w:rFonts w:ascii="Times New Roman" w:hAnsi="Times New Roman"/>
          <w:i/>
          <w:sz w:val="22"/>
        </w:rPr>
        <w:t>arXiv preprint arXiv:1810.04805</w:t>
      </w:r>
      <w:r>
        <w:rPr>
          <w:rFonts w:ascii="Times New Roman" w:hAnsi="Times New Roman"/>
          <w:sz w:val="22"/>
        </w:rPr>
        <w:t>. https://arxiv.org/abs/1810.04805</w:t>
      </w:r>
    </w:p>
    <w:p>
      <w:pPr>
        <w:spacing w:line="276" w:lineRule="auto" w:after="80"/>
      </w:pPr>
      <w:r/>
      <w:r>
        <w:rPr>
          <w:rFonts w:ascii="Times New Roman" w:hAnsi="Times New Roman"/>
          <w:sz w:val="22"/>
        </w:rPr>
        <w:t xml:space="preserve">Freeman, L. C. (1979). Centrality in social networks: Conceptual clarification. </w:t>
      </w:r>
      <w:r>
        <w:rPr>
          <w:rFonts w:ascii="Times New Roman" w:hAnsi="Times New Roman"/>
          <w:i/>
          <w:sz w:val="22"/>
        </w:rPr>
        <w:t>Social Networks</w:t>
      </w:r>
      <w:r>
        <w:rPr>
          <w:rFonts w:ascii="Times New Roman" w:hAnsi="Times New Roman"/>
          <w:sz w:val="22"/>
        </w:rPr>
        <w:t>, 1(3), 215–239. https://doi.org/10.1016/0378-8733(78)90021-7</w:t>
      </w:r>
    </w:p>
    <w:p>
      <w:pPr>
        <w:spacing w:line="276" w:lineRule="auto" w:after="80"/>
      </w:pPr>
      <w:r/>
      <w:r>
        <w:rPr>
          <w:rFonts w:ascii="Times New Roman" w:hAnsi="Times New Roman"/>
          <w:sz w:val="22"/>
        </w:rPr>
        <w:t xml:space="preserve">Grice, H. P. (1975). Logic and conversation. In P. Cole &amp; J. L. Morgan (Eds.), </w:t>
      </w:r>
      <w:r>
        <w:rPr>
          <w:rFonts w:ascii="Times New Roman" w:hAnsi="Times New Roman"/>
          <w:i/>
          <w:sz w:val="22"/>
        </w:rPr>
        <w:t>Syntax and Semantics: Vol. 3. Speech Acts</w:t>
      </w:r>
      <w:r>
        <w:rPr>
          <w:rFonts w:ascii="Times New Roman" w:hAnsi="Times New Roman"/>
          <w:sz w:val="22"/>
        </w:rPr>
        <w:t xml:space="preserve"> (pp. 41–58). Academic Press.</w:t>
      </w:r>
    </w:p>
    <w:p>
      <w:pPr>
        <w:spacing w:line="276" w:lineRule="auto" w:after="80"/>
      </w:pPr>
      <w:r/>
      <w:r>
        <w:rPr>
          <w:rFonts w:ascii="Times New Roman" w:hAnsi="Times New Roman"/>
          <w:sz w:val="22"/>
        </w:rPr>
        <w:t xml:space="preserve">Habermas, J. (1989). </w:t>
      </w:r>
      <w:r>
        <w:rPr>
          <w:rFonts w:ascii="Times New Roman" w:hAnsi="Times New Roman"/>
          <w:i/>
          <w:sz w:val="22"/>
        </w:rPr>
        <w:t>The structural transformation of the public sphere: An inquiry into a category of bourgeois society</w:t>
      </w:r>
      <w:r>
        <w:rPr>
          <w:rFonts w:ascii="Times New Roman" w:hAnsi="Times New Roman"/>
          <w:sz w:val="22"/>
        </w:rPr>
        <w:t>. MIT Press.</w:t>
      </w:r>
    </w:p>
    <w:p>
      <w:pPr>
        <w:spacing w:line="276" w:lineRule="auto" w:after="80"/>
      </w:pPr>
      <w:r/>
      <w:r>
        <w:rPr>
          <w:rFonts w:ascii="Times New Roman" w:hAnsi="Times New Roman"/>
          <w:sz w:val="22"/>
        </w:rPr>
        <w:t xml:space="preserve">Habermas, J. (2006). Political communication in media society: Does democracy still enjoy an epistemic dimension? </w:t>
      </w:r>
      <w:r>
        <w:rPr>
          <w:rFonts w:ascii="Times New Roman" w:hAnsi="Times New Roman"/>
          <w:i/>
          <w:sz w:val="22"/>
        </w:rPr>
        <w:t>Communication Theory</w:t>
      </w:r>
      <w:r>
        <w:rPr>
          <w:rFonts w:ascii="Times New Roman" w:hAnsi="Times New Roman"/>
          <w:sz w:val="22"/>
        </w:rPr>
        <w:t>, 16(4), 411–426. https://doi.org/10.1111/j.1468-2885.2006.00280.x</w:t>
      </w:r>
    </w:p>
    <w:p>
      <w:pPr>
        <w:spacing w:line="276" w:lineRule="auto" w:after="80"/>
      </w:pPr>
      <w:r/>
      <w:r>
        <w:rPr>
          <w:rFonts w:ascii="Times New Roman" w:hAnsi="Times New Roman"/>
          <w:sz w:val="22"/>
        </w:rPr>
        <w:t xml:space="preserve">Kotler, P., Kartajaya, H., &amp; Setiawan, I. (2023). </w:t>
      </w:r>
      <w:r>
        <w:rPr>
          <w:rFonts w:ascii="Times New Roman" w:hAnsi="Times New Roman"/>
          <w:i/>
          <w:sz w:val="22"/>
        </w:rPr>
        <w:t>Marketing 6.0: The future is immersive</w:t>
      </w:r>
      <w:r>
        <w:rPr>
          <w:rFonts w:ascii="Times New Roman" w:hAnsi="Times New Roman"/>
          <w:sz w:val="22"/>
        </w:rPr>
        <w:t>. John Wiley &amp; Sons.</w:t>
      </w:r>
    </w:p>
    <w:p>
      <w:pPr>
        <w:spacing w:line="276" w:lineRule="auto" w:after="80"/>
      </w:pPr>
      <w:r/>
      <w:r>
        <w:rPr>
          <w:rFonts w:ascii="Times New Roman" w:hAnsi="Times New Roman"/>
          <w:sz w:val="22"/>
        </w:rPr>
        <w:t xml:space="preserve">Koto, F., Rahimi, A., Lau, J. H., &amp; Baldwin, T. (2020). IndoLEM and IndoBERT: A benchmark dataset and pre-trained language model for Indonesian NLP. In </w:t>
      </w:r>
      <w:r>
        <w:rPr>
          <w:rFonts w:ascii="Times New Roman" w:hAnsi="Times New Roman"/>
          <w:i/>
          <w:sz w:val="22"/>
        </w:rPr>
        <w:t>Proceedings of the 28th International Conference on Computational Linguistics (COLING 2020)</w:t>
      </w:r>
      <w:r>
        <w:rPr>
          <w:rFonts w:ascii="Times New Roman" w:hAnsi="Times New Roman"/>
          <w:sz w:val="22"/>
        </w:rPr>
        <w:t xml:space="preserve"> (pp. 757–770). https://doi.org/10.18653/v1/2020.coling-main.67</w:t>
      </w:r>
    </w:p>
    <w:p>
      <w:pPr>
        <w:spacing w:line="276" w:lineRule="auto" w:after="80"/>
      </w:pPr>
      <w:r/>
      <w:r>
        <w:rPr>
          <w:rFonts w:ascii="Times New Roman" w:hAnsi="Times New Roman"/>
          <w:sz w:val="22"/>
        </w:rPr>
        <w:t xml:space="preserve">Newman, M. E. J. (2006). Modularity and community structure in networks. </w:t>
      </w:r>
      <w:r>
        <w:rPr>
          <w:rFonts w:ascii="Times New Roman" w:hAnsi="Times New Roman"/>
          <w:i/>
          <w:sz w:val="22"/>
        </w:rPr>
        <w:t>Proceedings of the National Academy of Sciences</w:t>
      </w:r>
      <w:r>
        <w:rPr>
          <w:rFonts w:ascii="Times New Roman" w:hAnsi="Times New Roman"/>
          <w:sz w:val="22"/>
        </w:rPr>
        <w:t>, 103(23), 8577–8582. https://doi.org/10.1073/pnas.0601602103</w:t>
      </w:r>
    </w:p>
    <w:p>
      <w:pPr>
        <w:spacing w:line="276" w:lineRule="auto" w:after="80"/>
      </w:pPr>
      <w:r/>
      <w:r>
        <w:rPr>
          <w:rFonts w:ascii="Times New Roman" w:hAnsi="Times New Roman"/>
          <w:sz w:val="22"/>
        </w:rPr>
        <w:t xml:space="preserve">Papacharissi, Z. (2015). </w:t>
      </w:r>
      <w:r>
        <w:rPr>
          <w:rFonts w:ascii="Times New Roman" w:hAnsi="Times New Roman"/>
          <w:i/>
          <w:sz w:val="22"/>
        </w:rPr>
        <w:t>Affective publics: Sentiment, technology, and politics</w:t>
      </w:r>
      <w:r>
        <w:rPr>
          <w:rFonts w:ascii="Times New Roman" w:hAnsi="Times New Roman"/>
          <w:sz w:val="22"/>
        </w:rPr>
        <w:t>. Oxford University Press. https://doi.org/10.1093/acprof:oso/9780199999736.001.0001</w:t>
      </w:r>
    </w:p>
    <w:p>
      <w:pPr>
        <w:spacing w:line="276" w:lineRule="auto" w:after="80"/>
      </w:pPr>
      <w:r/>
      <w:r>
        <w:rPr>
          <w:rFonts w:ascii="Times New Roman" w:hAnsi="Times New Roman"/>
          <w:sz w:val="22"/>
        </w:rPr>
        <w:t xml:space="preserve">Pariser, E. (2011). </w:t>
      </w:r>
      <w:r>
        <w:rPr>
          <w:rFonts w:ascii="Times New Roman" w:hAnsi="Times New Roman"/>
          <w:i/>
          <w:sz w:val="22"/>
        </w:rPr>
        <w:t>The filter bubble: What the internet is hiding from you</w:t>
      </w:r>
      <w:r>
        <w:rPr>
          <w:rFonts w:ascii="Times New Roman" w:hAnsi="Times New Roman"/>
          <w:sz w:val="22"/>
        </w:rPr>
        <w:t>. Penguin Press.</w:t>
      </w:r>
    </w:p>
    <w:p>
      <w:pPr>
        <w:spacing w:line="276" w:lineRule="auto" w:after="80"/>
      </w:pPr>
      <w:r/>
      <w:r>
        <w:rPr>
          <w:rFonts w:ascii="Times New Roman" w:hAnsi="Times New Roman"/>
          <w:sz w:val="22"/>
        </w:rPr>
        <w:t xml:space="preserve">Plutchik, R. (1980). A general psychoevolutionary theory of emotion. In </w:t>
      </w:r>
      <w:r>
        <w:rPr>
          <w:rFonts w:ascii="Times New Roman" w:hAnsi="Times New Roman"/>
          <w:i/>
          <w:sz w:val="22"/>
        </w:rPr>
        <w:t>Theories of Emotion</w:t>
      </w:r>
      <w:r>
        <w:rPr>
          <w:rFonts w:ascii="Times New Roman" w:hAnsi="Times New Roman"/>
          <w:sz w:val="22"/>
        </w:rPr>
        <w:t xml:space="preserve"> (pp. 3–33). Academic Press. https://doi.org/10.1016/B978-0-12-558701-3.50007-7</w:t>
      </w:r>
    </w:p>
    <w:p>
      <w:pPr>
        <w:spacing w:line="276" w:lineRule="auto" w:after="80"/>
      </w:pPr>
      <w:r/>
      <w:r>
        <w:rPr>
          <w:rFonts w:ascii="Times New Roman" w:hAnsi="Times New Roman"/>
          <w:sz w:val="22"/>
        </w:rPr>
        <w:t xml:space="preserve">Riza, A., &amp; Charibaldi, N. (2021). Implementasi deteksi emosi pada teks bahasa Indonesia menggunakan FastText dan LSTM. </w:t>
      </w:r>
      <w:r>
        <w:rPr>
          <w:rFonts w:ascii="Times New Roman" w:hAnsi="Times New Roman"/>
          <w:i/>
          <w:sz w:val="22"/>
        </w:rPr>
        <w:t>Jurnal RESTI (Rekayasa Sistem dan Teknologi Informasi)</w:t>
      </w:r>
      <w:r>
        <w:rPr>
          <w:rFonts w:ascii="Times New Roman" w:hAnsi="Times New Roman"/>
          <w:sz w:val="22"/>
        </w:rPr>
        <w:t>, 5(2), 241–248. https://doi.org/10.29207/resti.v5i2.2858</w:t>
      </w:r>
    </w:p>
    <w:p>
      <w:pPr>
        <w:spacing w:line="276" w:lineRule="auto" w:after="80"/>
      </w:pPr>
      <w:r/>
      <w:r>
        <w:rPr>
          <w:rFonts w:ascii="Times New Roman" w:hAnsi="Times New Roman"/>
          <w:sz w:val="22"/>
        </w:rPr>
        <w:t xml:space="preserve">Saputri, M. S., Mahendra, R., &amp; Adriani, M. (2018). Emotion classification on Indonesian Twitter dataset. In </w:t>
      </w:r>
      <w:r>
        <w:rPr>
          <w:rFonts w:ascii="Times New Roman" w:hAnsi="Times New Roman"/>
          <w:i/>
          <w:sz w:val="22"/>
        </w:rPr>
        <w:t>2018 International Conference on Asian Language Processing (IALP)</w:t>
      </w:r>
      <w:r>
        <w:rPr>
          <w:rFonts w:ascii="Times New Roman" w:hAnsi="Times New Roman"/>
          <w:sz w:val="22"/>
        </w:rPr>
        <w:t xml:space="preserve"> (pp. 90–95). IEEE. https://doi.org/10.1109/IALP.2018.8629145</w:t>
      </w:r>
    </w:p>
    <w:p>
      <w:pPr>
        <w:spacing w:line="276" w:lineRule="auto" w:after="80"/>
      </w:pPr>
      <w:r/>
      <w:r>
        <w:rPr>
          <w:rFonts w:ascii="Times New Roman" w:hAnsi="Times New Roman"/>
          <w:sz w:val="22"/>
        </w:rPr>
        <w:t xml:space="preserve">Schultz, F., Utz, S., &amp; Göritz, A. (2011). Is the medium the message? Perceptions of and reactions to crisis communication via Twitter, blogs and traditional media. </w:t>
      </w:r>
      <w:r>
        <w:rPr>
          <w:rFonts w:ascii="Times New Roman" w:hAnsi="Times New Roman"/>
          <w:i/>
          <w:sz w:val="22"/>
        </w:rPr>
        <w:t>Public Relations Review</w:t>
      </w:r>
      <w:r>
        <w:rPr>
          <w:rFonts w:ascii="Times New Roman" w:hAnsi="Times New Roman"/>
          <w:sz w:val="22"/>
        </w:rPr>
        <w:t>, 37(1), 20–27. https://doi.org/10.1016/j.pubrev.2010.12.001</w:t>
      </w:r>
    </w:p>
    <w:p>
      <w:pPr>
        <w:spacing w:line="276" w:lineRule="auto" w:after="80"/>
      </w:pPr>
      <w:r/>
      <w:r>
        <w:rPr>
          <w:rFonts w:ascii="Times New Roman" w:hAnsi="Times New Roman"/>
          <w:sz w:val="22"/>
        </w:rPr>
        <w:t xml:space="preserve">Shaw, P., LaCasse, K., &amp; Champagne, C. (2025). Transfer learning for emotion classification in low-resource Indonesian social discourse. </w:t>
      </w:r>
      <w:r>
        <w:rPr>
          <w:rFonts w:ascii="Times New Roman" w:hAnsi="Times New Roman"/>
          <w:i/>
          <w:sz w:val="22"/>
        </w:rPr>
        <w:t>Social Network Analysis and Mining</w:t>
      </w:r>
      <w:r>
        <w:rPr>
          <w:rFonts w:ascii="Times New Roman" w:hAnsi="Times New Roman"/>
          <w:sz w:val="22"/>
        </w:rPr>
        <w:t>, 15(1), 42–58. https://doi.org/10.1007/s13278-024-01256-w</w:t>
      </w:r>
    </w:p>
    <w:p>
      <w:pPr>
        <w:spacing w:line="276" w:lineRule="auto" w:after="80"/>
      </w:pPr>
      <w:r/>
      <w:r>
        <w:rPr>
          <w:rFonts w:ascii="Times New Roman" w:hAnsi="Times New Roman"/>
          <w:sz w:val="22"/>
        </w:rPr>
        <w:t xml:space="preserve">Suaib, A., &amp; Pratiwi, R. (2025). Social network analysis in the dissemination of MBG program information on social media X. </w:t>
      </w:r>
      <w:r>
        <w:rPr>
          <w:rFonts w:ascii="Times New Roman" w:hAnsi="Times New Roman"/>
          <w:i/>
          <w:sz w:val="22"/>
        </w:rPr>
        <w:t>Jurnal Studi Komunikasi</w:t>
      </w:r>
      <w:r>
        <w:rPr>
          <w:rFonts w:ascii="Times New Roman" w:hAnsi="Times New Roman"/>
          <w:sz w:val="22"/>
        </w:rPr>
        <w:t>, 9(1), 112–129. https://doi.org/10.56127/jushpen.v4i2.2067</w:t>
      </w:r>
    </w:p>
    <w:p>
      <w:pPr>
        <w:spacing w:line="276" w:lineRule="auto" w:after="80"/>
      </w:pPr>
      <w:r/>
      <w:r>
        <w:rPr>
          <w:rFonts w:ascii="Times New Roman" w:hAnsi="Times New Roman"/>
          <w:sz w:val="22"/>
        </w:rPr>
        <w:t xml:space="preserve">Sulafasyah, L. (2026). </w:t>
      </w:r>
      <w:r>
        <w:rPr>
          <w:rFonts w:ascii="Times New Roman" w:hAnsi="Times New Roman"/>
          <w:i/>
          <w:sz w:val="22"/>
        </w:rPr>
        <w:t>Analisis jaringan komunikasi isu keracunan MBG di Twitter</w:t>
      </w:r>
      <w:r>
        <w:rPr>
          <w:rFonts w:ascii="Times New Roman" w:hAnsi="Times New Roman"/>
          <w:sz w:val="22"/>
        </w:rPr>
        <w:t xml:space="preserve"> [Unpublished master's thesis]. Universitas Pembangunan Nasional 'Veteran' Jawa Timur.</w:t>
      </w:r>
    </w:p>
    <w:p>
      <w:pPr>
        <w:spacing w:line="276" w:lineRule="auto" w:after="80"/>
      </w:pPr>
      <w:r/>
      <w:r>
        <w:rPr>
          <w:rFonts w:ascii="Times New Roman" w:hAnsi="Times New Roman"/>
          <w:sz w:val="22"/>
        </w:rPr>
        <w:t xml:space="preserve">Sunstein, C. R. (2017). </w:t>
      </w:r>
      <w:r>
        <w:rPr>
          <w:rFonts w:ascii="Times New Roman" w:hAnsi="Times New Roman"/>
          <w:i/>
          <w:sz w:val="22"/>
        </w:rPr>
        <w:t>#Republic: Divided democracy in the age of social media</w:t>
      </w:r>
      <w:r>
        <w:rPr>
          <w:rFonts w:ascii="Times New Roman" w:hAnsi="Times New Roman"/>
          <w:sz w:val="22"/>
        </w:rPr>
        <w:t>. Princeton University Press. https://doi.org/10.1515/9781400884711</w:t>
      </w:r>
    </w:p>
    <w:p>
      <w:pPr>
        <w:spacing w:line="276" w:lineRule="auto" w:after="80"/>
      </w:pPr>
      <w:r/>
      <w:r>
        <w:rPr>
          <w:rFonts w:ascii="Times New Roman" w:hAnsi="Times New Roman"/>
          <w:sz w:val="22"/>
        </w:rPr>
        <w:t xml:space="preserve">Wasserman, S., &amp; Faust, K. (1994). </w:t>
      </w:r>
      <w:r>
        <w:rPr>
          <w:rFonts w:ascii="Times New Roman" w:hAnsi="Times New Roman"/>
          <w:i/>
          <w:sz w:val="22"/>
        </w:rPr>
        <w:t>Social network analysis: Methods and applications</w:t>
      </w:r>
      <w:r>
        <w:rPr>
          <w:rFonts w:ascii="Times New Roman" w:hAnsi="Times New Roman"/>
          <w:sz w:val="22"/>
        </w:rPr>
        <w:t>. Cambridge University Press. https://doi.org/10.1017/CBO9780511815478</w:t>
      </w:r>
    </w:p>
    <w:p>
      <w:pPr>
        <w:spacing w:line="276" w:lineRule="auto" w:after="80"/>
      </w:pPr>
      <w:r/>
      <w:r>
        <w:rPr>
          <w:rFonts w:ascii="Times New Roman" w:hAnsi="Times New Roman"/>
          <w:sz w:val="22"/>
        </w:rPr>
        <w:t xml:space="preserve">Wilie, B., Vincentio, K., Winata, G. I., Cahyawijaya, S., Li, X., Lim, Z. Y., Soleman, S., Mahendra, R., Fung, P., Bahar, S., &amp; Purwarianti, A. (2020). IndoNLU: Benchmark and resources for evaluating Indonesian natural language understanding. In </w:t>
      </w:r>
      <w:r>
        <w:rPr>
          <w:rFonts w:ascii="Times New Roman" w:hAnsi="Times New Roman"/>
          <w:i/>
          <w:sz w:val="22"/>
        </w:rPr>
        <w:t>Proceedings of AACL-IJCNLP 2020</w:t>
      </w:r>
      <w:r>
        <w:rPr>
          <w:rFonts w:ascii="Times New Roman" w:hAnsi="Times New Roman"/>
          <w:sz w:val="22"/>
        </w:rPr>
        <w:t xml:space="preserve"> (pp. 843–860). https://aclanthology.org/2020.aacl-main.85/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