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Pr>
          <w:b/>
        </w:rPr>
        <w:t xml:space="preserve">1. </w:t>
      </w:r>
      <w:r>
        <w:rPr>
          <w:rFonts w:ascii="Times New Roman" w:hAnsi="Times New Roman"/>
          <w:b/>
          <w:i w:val="0"/>
          <w:sz w:val="24"/>
        </w:rPr>
        <w:t>Topological Phase Transition</w:t>
      </w:r>
      <w:r>
        <w:rPr>
          <w:rFonts w:ascii="Times New Roman" w:hAnsi="Times New Roman"/>
          <w:b w:val="0"/>
          <w:i w:val="0"/>
          <w:sz w:val="24"/>
        </w:rPr>
        <w:t>: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Pr>
          <w:b/>
        </w:rPr>
        <w:t xml:space="preserve">2. </w:t>
      </w:r>
      <w:r>
        <w:rPr>
          <w:rFonts w:ascii="Times New Roman" w:hAnsi="Times New Roman"/>
          <w:b/>
          <w:i w:val="0"/>
          <w:sz w:val="24"/>
        </w:rPr>
        <w:t>Persistent Deficit of Deliberative Reciprocity</w:t>
      </w:r>
      <w:r>
        <w:rPr>
          <w:rFonts w:ascii="Times New Roman" w:hAnsi="Times New Roman"/>
          <w:b w:val="0"/>
          <w:i w:val="0"/>
          <w:sz w:val="24"/>
        </w:rPr>
        <w:t>: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Pr>
          <w:b/>
        </w:rPr>
        <w:t xml:space="preserve">3. </w:t>
      </w:r>
      <w:r>
        <w:rPr>
          <w:rFonts w:ascii="Times New Roman" w:hAnsi="Times New Roman"/>
          <w:b/>
          <w:i w:val="0"/>
          <w:sz w:val="24"/>
        </w:rPr>
        <w:t>TERGM Generative Dynamics</w:t>
      </w:r>
      <w:r>
        <w:rPr>
          <w:rFonts w:ascii="Times New Roman" w:hAnsi="Times New Roman"/>
          <w:b w:val="0"/>
          <w:i w:val="0"/>
          <w:sz w:val="24"/>
        </w:rPr>
        <w:t xml:space="preserve">: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w:t>
      </w:r>
      <w:r>
        <w:rPr>
          <w:rFonts w:ascii="Courier New" w:hAnsi="Courier New"/>
          <w:sz w:val="23"/>
        </w:rPr>
        <w:t>@grok</w:t>
      </w:r>
      <w:r>
        <w:rPr>
          <w:rFonts w:ascii="Times New Roman" w:hAnsi="Times New Roman"/>
          <w:b w:val="0"/>
          <w:i w:val="0"/>
          <w:sz w:val="24"/>
        </w:rPr>
        <w:t xml:space="preserve"> as an autonomous truth arbiter during institutional communicative vacuums (Snijders et al., 2010).</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three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