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Evaluation Accuracy &amp; Macro-F1</w:t>
            </w:r>
          </w:p>
        </w:tc>
        <w:tc>
          <w:tcPr>
            <w:tcW w:type="dxa" w:w="3120"/>
            <w:shd w:val="clear" w:color="auto" w:fill="F8FAFC"/>
            <w:tcMar>
              <w:top w:w="80" w:type="dxa"/>
              <w:bottom w:w="80" w:type="dxa"/>
              <w:left w:w="120" w:type="dxa"/>
              <w:right w:w="120" w:type="dxa"/>
            </w:tcMar>
          </w:tcPr>
          <w:p>
            <w:r>
              <w:rPr>
                <w:sz w:val="19"/>
              </w:rPr>
              <w:t>79.40% - 81.43% | F1: 0.5160</w:t>
            </w:r>
          </w:p>
        </w:tc>
        <w:tc>
          <w:tcPr>
            <w:tcW w:type="dxa" w:w="3120"/>
            <w:shd w:val="clear" w:color="auto" w:fill="F8FAFC"/>
            <w:tcMar>
              <w:top w:w="80" w:type="dxa"/>
              <w:bottom w:w="80" w:type="dxa"/>
              <w:left w:w="120" w:type="dxa"/>
              <w:right w:w="120" w:type="dxa"/>
            </w:tcMar>
          </w:tcPr>
          <w:p>
            <w:r>
              <w:rPr>
                <w:sz w:val="19"/>
              </w:rPr>
              <w:t>Statistically superior to TF-IDF SVM (68.05%) and LogReg (67.11%)</w:t>
            </w:r>
          </w:p>
        </w:tc>
      </w:tr>
    </w:tbl>
    <w:p>
      <w:pPr>
        <w:spacing w:after="160"/>
      </w:pP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2"/>
        <w:spacing w:before="280" w:after="120"/>
      </w:pPr>
      <w:r>
        <w:rPr>
          <w:rFonts w:ascii="Times New Roman" w:hAnsi="Times New Roman"/>
          <w:b/>
          <w:color w:val="1E293B"/>
          <w:sz w:val="25"/>
        </w:rPr>
        <w:t>3.7 Dynamic Temporal Network Evolution &amp; Multi-Phase Modeling (TERGM &amp; SAOM/SIENA)</w:t>
      </w:r>
    </w:p>
    <w:p>
      <w:pPr>
        <w:spacing w:after="120" w:line="276" w:lineRule="auto"/>
      </w:pPr>
      <w:r>
        <w:rPr>
          <w:sz w:val="22"/>
        </w:rPr>
        <w:t>To resolve peer-reviewer scrutiny regarding cross-sectional static network limitations, we partitioned the 2026 policy lifecycle into four empirical phases based on governance milestones (Table 7). In Phase 1 (Piloting, Jan–Mar 2026, N = 299), the network was small and cohesive (|V| = 54, |E| = 40, density = 0.014). Following the mass catering kitchen suspension in May 2026, the network surged by +1,030% into an extreme crisis archipelago in Phase 2 (Peak I, N = 3,379, |V| = 962, |E| = 666, Q = 0.9769 across 322 clusters). Dyadic reciprocity remained near zero across all four phases (never exceeding 1.50%), confirming persistent institutional unresponsiveness.</w:t>
      </w:r>
    </w:p>
    <w:p>
      <w:pPr>
        <w:spacing w:after="120" w:line="276" w:lineRule="auto"/>
      </w:pPr>
      <w:r>
        <w:rPr>
          <w:sz w:val="22"/>
        </w:rPr>
        <w:t>Temporal Exponential Random Graph Modeling (TERGM; Krivitsky &amp; Handcock, 2014) and Stochastic Actor-Oriented Modeling (SAOM/SIENA; Snijders et al., 2010) formalize these dynamics: extreme density inhibition (theta_edge = -4.821, p &lt; 0.001), non-significant reciprocity (theta_rec = +0.112, p = 0.207), strong in-degree authority preferential attachment (theta_in_pop = +2.418, p &lt; 0.001), and highly significant algorithmic out-activity (theta_grok_act = +3.105, p &lt; 0.001), corroborating the displacement of state authorities by autonomous AI oracles (@grok) during communication vacuums.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Phase</w:t>
            </w:r>
          </w:p>
        </w:tc>
        <w:tc>
          <w:tcPr>
            <w:tcW w:type="dxa" w:w="936"/>
            <w:shd w:val="clear" w:color="auto" w:fill="0F172A"/>
            <w:tcMar>
              <w:top w:w="80" w:type="dxa"/>
              <w:bottom w:w="80" w:type="dxa"/>
              <w:left w:w="80" w:type="dxa"/>
              <w:right w:w="80" w:type="dxa"/>
            </w:tcMar>
          </w:tcPr>
          <w:p>
            <w:pPr>
              <w:jc w:val="center"/>
            </w:pPr>
            <w:r>
              <w:rPr>
                <w:b/>
                <w:color w:val="FFFFFF"/>
                <w:sz w:val="17"/>
              </w:rPr>
              <w:t>Time Horizon</w:t>
            </w:r>
          </w:p>
        </w:tc>
        <w:tc>
          <w:tcPr>
            <w:tcW w:type="dxa" w:w="936"/>
            <w:shd w:val="clear" w:color="auto" w:fill="0F172A"/>
            <w:tcMar>
              <w:top w:w="80" w:type="dxa"/>
              <w:bottom w:w="80" w:type="dxa"/>
              <w:left w:w="80" w:type="dxa"/>
              <w:right w:w="80" w:type="dxa"/>
            </w:tcMar>
          </w:tcPr>
          <w:p>
            <w:pPr>
              <w:jc w:val="center"/>
            </w:pPr>
            <w:r>
              <w:rPr>
                <w:b/>
                <w:color w:val="FFFFFF"/>
                <w:sz w:val="17"/>
              </w:rPr>
              <w:t>Posts (N)</w:t>
            </w:r>
          </w:p>
        </w:tc>
        <w:tc>
          <w:tcPr>
            <w:tcW w:type="dxa" w:w="936"/>
            <w:shd w:val="clear" w:color="auto" w:fill="0F172A"/>
            <w:tcMar>
              <w:top w:w="80" w:type="dxa"/>
              <w:bottom w:w="80" w:type="dxa"/>
              <w:left w:w="80" w:type="dxa"/>
              <w:right w:w="80" w:type="dxa"/>
            </w:tcMar>
          </w:tcPr>
          <w:p>
            <w:pPr>
              <w:jc w:val="center"/>
            </w:pPr>
            <w:r>
              <w:rPr>
                <w:b/>
                <w:color w:val="FFFFFF"/>
                <w:sz w:val="17"/>
              </w:rPr>
              <w:t>Nodes (|V|)</w:t>
            </w:r>
          </w:p>
        </w:tc>
        <w:tc>
          <w:tcPr>
            <w:tcW w:type="dxa" w:w="936"/>
            <w:shd w:val="clear" w:color="auto" w:fill="0F172A"/>
            <w:tcMar>
              <w:top w:w="80" w:type="dxa"/>
              <w:bottom w:w="80" w:type="dxa"/>
              <w:left w:w="80" w:type="dxa"/>
              <w:right w:w="80" w:type="dxa"/>
            </w:tcMar>
          </w:tcPr>
          <w:p>
            <w:pPr>
              <w:jc w:val="center"/>
            </w:pPr>
            <w:r>
              <w:rPr>
                <w:b/>
                <w:color w:val="FFFFFF"/>
                <w:sz w:val="17"/>
              </w:rPr>
              <w:t>Edges (|E|)</w:t>
            </w:r>
          </w:p>
        </w:tc>
        <w:tc>
          <w:tcPr>
            <w:tcW w:type="dxa" w:w="936"/>
            <w:shd w:val="clear" w:color="auto" w:fill="0F172A"/>
            <w:tcMar>
              <w:top w:w="80" w:type="dxa"/>
              <w:bottom w:w="80" w:type="dxa"/>
              <w:left w:w="80" w:type="dxa"/>
              <w:right w:w="80" w:type="dxa"/>
            </w:tcMar>
          </w:tcPr>
          <w:p>
            <w:pPr>
              <w:jc w:val="center"/>
            </w:pPr>
            <w:r>
              <w:rPr>
                <w:b/>
                <w:color w:val="FFFFFF"/>
                <w:sz w:val="17"/>
              </w:rPr>
              <w:t>Density (d)</w:t>
            </w:r>
          </w:p>
        </w:tc>
        <w:tc>
          <w:tcPr>
            <w:tcW w:type="dxa" w:w="936"/>
            <w:shd w:val="clear" w:color="auto" w:fill="0F172A"/>
            <w:tcMar>
              <w:top w:w="80" w:type="dxa"/>
              <w:bottom w:w="80" w:type="dxa"/>
              <w:left w:w="80" w:type="dxa"/>
              <w:right w:w="80" w:type="dxa"/>
            </w:tcMar>
          </w:tcPr>
          <w:p>
            <w:pPr>
              <w:jc w:val="center"/>
            </w:pPr>
            <w:r>
              <w:rPr>
                <w:b/>
                <w:color w:val="FFFFFF"/>
                <w:sz w:val="17"/>
              </w:rPr>
              <w:t>Reciprocity (r)</w:t>
            </w:r>
          </w:p>
        </w:tc>
        <w:tc>
          <w:tcPr>
            <w:tcW w:type="dxa" w:w="936"/>
            <w:shd w:val="clear" w:color="auto" w:fill="0F172A"/>
            <w:tcMar>
              <w:top w:w="80" w:type="dxa"/>
              <w:bottom w:w="80" w:type="dxa"/>
              <w:left w:w="80" w:type="dxa"/>
              <w:right w:w="80" w:type="dxa"/>
            </w:tcMar>
          </w:tcPr>
          <w:p>
            <w:pPr>
              <w:jc w:val="center"/>
            </w:pPr>
            <w:r>
              <w:rPr>
                <w:b/>
                <w:color w:val="FFFFFF"/>
                <w:sz w:val="17"/>
              </w:rPr>
              <w:t>Modularity (Q)</w:t>
            </w:r>
          </w:p>
        </w:tc>
        <w:tc>
          <w:tcPr>
            <w:tcW w:type="dxa" w:w="936"/>
            <w:shd w:val="clear" w:color="auto" w:fill="0F172A"/>
            <w:tcMar>
              <w:top w:w="80" w:type="dxa"/>
              <w:bottom w:w="80" w:type="dxa"/>
              <w:left w:w="80" w:type="dxa"/>
              <w:right w:w="80" w:type="dxa"/>
            </w:tcMar>
          </w:tcPr>
          <w:p>
            <w:pPr>
              <w:jc w:val="center"/>
            </w:pPr>
            <w:r>
              <w:rPr>
                <w:b/>
                <w:color w:val="FFFFFF"/>
                <w:sz w:val="17"/>
              </w:rPr>
              <w:t>Clusters</w:t>
            </w:r>
          </w:p>
        </w:tc>
        <w:tc>
          <w:tcPr>
            <w:tcW w:type="dxa" w:w="936"/>
            <w:shd w:val="clear" w:color="auto" w:fill="0F172A"/>
            <w:tcMar>
              <w:top w:w="80" w:type="dxa"/>
              <w:bottom w:w="80" w:type="dxa"/>
              <w:left w:w="80" w:type="dxa"/>
              <w:right w:w="80" w:type="dxa"/>
            </w:tcMar>
          </w:tcPr>
          <w:p>
            <w:pPr>
              <w:jc w:val="center"/>
            </w:pPr>
            <w:r>
              <w:rPr>
                <w:b/>
                <w:color w:val="FFFFFF"/>
                <w:sz w:val="17"/>
              </w:rPr>
              <w:t>Governance Milestones</w:t>
            </w:r>
          </w:p>
        </w:tc>
      </w:tr>
      <w:tr>
        <w:tc>
          <w:tcPr>
            <w:tcW w:type="dxa" w:w="936"/>
            <w:shd w:val="clear" w:color="auto" w:fill="F8FAFC"/>
            <w:tcMar>
              <w:top w:w="60" w:type="dxa"/>
              <w:bottom w:w="60" w:type="dxa"/>
              <w:left w:w="60" w:type="dxa"/>
              <w:right w:w="60" w:type="dxa"/>
            </w:tcMar>
          </w:tcPr>
          <w:p>
            <w:pPr>
              <w:jc w:val="center"/>
            </w:pPr>
            <w:r>
              <w:rPr>
                <w:b/>
                <w:sz w:val="16"/>
              </w:rPr>
              <w:t>Phase 1: Pre-Rollout Piloting</w:t>
            </w:r>
          </w:p>
        </w:tc>
        <w:tc>
          <w:tcPr>
            <w:tcW w:type="dxa" w:w="936"/>
            <w:shd w:val="clear" w:color="auto" w:fill="F8FAFC"/>
            <w:tcMar>
              <w:top w:w="60" w:type="dxa"/>
              <w:bottom w:w="60" w:type="dxa"/>
              <w:left w:w="60" w:type="dxa"/>
              <w:right w:w="60" w:type="dxa"/>
            </w:tcMar>
          </w:tcPr>
          <w:p>
            <w:pPr>
              <w:jc w:val="center"/>
            </w:pPr>
            <w:r>
              <w:rPr>
                <w:b/>
                <w:sz w:val="16"/>
              </w:rPr>
              <w:t>Jan 1 – Mar 31</w:t>
            </w:r>
          </w:p>
        </w:tc>
        <w:tc>
          <w:tcPr>
            <w:tcW w:type="dxa" w:w="936"/>
            <w:shd w:val="clear" w:color="auto" w:fill="F8FAFC"/>
            <w:tcMar>
              <w:top w:w="60" w:type="dxa"/>
              <w:bottom w:w="60" w:type="dxa"/>
              <w:left w:w="60" w:type="dxa"/>
              <w:right w:w="60" w:type="dxa"/>
            </w:tcMar>
          </w:tcPr>
          <w:p>
            <w:pPr>
              <w:jc w:val="center"/>
            </w:pPr>
            <w:r>
              <w:rPr>
                <w:sz w:val="16"/>
              </w:rPr>
              <w:t>299</w:t>
            </w:r>
          </w:p>
        </w:tc>
        <w:tc>
          <w:tcPr>
            <w:tcW w:type="dxa" w:w="936"/>
            <w:shd w:val="clear" w:color="auto" w:fill="F8FAFC"/>
            <w:tcMar>
              <w:top w:w="60" w:type="dxa"/>
              <w:bottom w:w="60" w:type="dxa"/>
              <w:left w:w="60" w:type="dxa"/>
              <w:right w:w="60" w:type="dxa"/>
            </w:tcMar>
          </w:tcPr>
          <w:p>
            <w:pPr>
              <w:jc w:val="center"/>
            </w:pPr>
            <w:r>
              <w:rPr>
                <w:sz w:val="16"/>
              </w:rPr>
              <w:t>54</w:t>
            </w:r>
          </w:p>
        </w:tc>
        <w:tc>
          <w:tcPr>
            <w:tcW w:type="dxa" w:w="936"/>
            <w:shd w:val="clear" w:color="auto" w:fill="F8FAFC"/>
            <w:tcMar>
              <w:top w:w="60" w:type="dxa"/>
              <w:bottom w:w="60" w:type="dxa"/>
              <w:left w:w="60" w:type="dxa"/>
              <w:right w:w="60" w:type="dxa"/>
            </w:tcMar>
          </w:tcPr>
          <w:p>
            <w:pPr>
              <w:jc w:val="center"/>
            </w:pPr>
            <w:r>
              <w:rPr>
                <w:sz w:val="16"/>
              </w:rPr>
              <w:t>40</w:t>
            </w:r>
          </w:p>
        </w:tc>
        <w:tc>
          <w:tcPr>
            <w:tcW w:type="dxa" w:w="936"/>
            <w:shd w:val="clear" w:color="auto" w:fill="F8FAFC"/>
            <w:tcMar>
              <w:top w:w="60" w:type="dxa"/>
              <w:bottom w:w="60" w:type="dxa"/>
              <w:left w:w="60" w:type="dxa"/>
              <w:right w:w="60" w:type="dxa"/>
            </w:tcMar>
          </w:tcPr>
          <w:p>
            <w:pPr>
              <w:jc w:val="center"/>
            </w:pPr>
            <w:r>
              <w:rPr>
                <w:sz w:val="16"/>
              </w:rPr>
              <w:t>0.013976</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0.7116</w:t>
            </w:r>
          </w:p>
        </w:tc>
        <w:tc>
          <w:tcPr>
            <w:tcW w:type="dxa" w:w="936"/>
            <w:shd w:val="clear" w:color="auto" w:fill="F8FAFC"/>
            <w:tcMar>
              <w:top w:w="60" w:type="dxa"/>
              <w:bottom w:w="60" w:type="dxa"/>
              <w:left w:w="60" w:type="dxa"/>
              <w:right w:w="60" w:type="dxa"/>
            </w:tcMar>
          </w:tcPr>
          <w:p>
            <w:pPr>
              <w:jc w:val="center"/>
            </w:pPr>
            <w:r>
              <w:rPr>
                <w:sz w:val="16"/>
              </w:rPr>
              <w:t>15</w:t>
            </w:r>
          </w:p>
        </w:tc>
        <w:tc>
          <w:tcPr>
            <w:tcW w:type="dxa" w:w="936"/>
            <w:shd w:val="clear" w:color="auto" w:fill="F8FAFC"/>
            <w:tcMar>
              <w:top w:w="60" w:type="dxa"/>
              <w:bottom w:w="60" w:type="dxa"/>
              <w:left w:w="60" w:type="dxa"/>
              <w:right w:w="60" w:type="dxa"/>
            </w:tcMar>
          </w:tcPr>
          <w:p>
            <w:r>
              <w:rPr>
                <w:sz w:val="16"/>
              </w:rPr>
              <w:t>Trial rollouts; initial fiscal skepticism on IDR 15k portion feasibility.</w:t>
            </w:r>
          </w:p>
        </w:tc>
      </w:tr>
      <w:tr>
        <w:tc>
          <w:tcPr>
            <w:tcW w:type="dxa" w:w="936"/>
            <w:shd w:val="clear" w:color="auto" w:fill="FFFFFF"/>
            <w:tcMar>
              <w:top w:w="60" w:type="dxa"/>
              <w:bottom w:w="60" w:type="dxa"/>
              <w:left w:w="60" w:type="dxa"/>
              <w:right w:w="60" w:type="dxa"/>
            </w:tcMar>
          </w:tcPr>
          <w:p>
            <w:pPr>
              <w:jc w:val="center"/>
            </w:pPr>
            <w:r>
              <w:rPr>
                <w:b/>
                <w:sz w:val="16"/>
              </w:rPr>
              <w:t>Phase 2: Escalation &amp; Peak I</w:t>
            </w:r>
          </w:p>
        </w:tc>
        <w:tc>
          <w:tcPr>
            <w:tcW w:type="dxa" w:w="936"/>
            <w:shd w:val="clear" w:color="auto" w:fill="FFFFFF"/>
            <w:tcMar>
              <w:top w:w="60" w:type="dxa"/>
              <w:bottom w:w="60" w:type="dxa"/>
              <w:left w:w="60" w:type="dxa"/>
              <w:right w:w="60" w:type="dxa"/>
            </w:tcMar>
          </w:tcPr>
          <w:p>
            <w:pPr>
              <w:jc w:val="center"/>
            </w:pPr>
            <w:r>
              <w:rPr>
                <w:b/>
                <w:sz w:val="16"/>
              </w:rPr>
              <w:t>Apr 1 – May 31</w:t>
            </w:r>
          </w:p>
        </w:tc>
        <w:tc>
          <w:tcPr>
            <w:tcW w:type="dxa" w:w="936"/>
            <w:shd w:val="clear" w:color="auto" w:fill="FFFFFF"/>
            <w:tcMar>
              <w:top w:w="60" w:type="dxa"/>
              <w:bottom w:w="60" w:type="dxa"/>
              <w:left w:w="60" w:type="dxa"/>
              <w:right w:w="60" w:type="dxa"/>
            </w:tcMar>
          </w:tcPr>
          <w:p>
            <w:pPr>
              <w:jc w:val="center"/>
            </w:pPr>
            <w:r>
              <w:rPr>
                <w:sz w:val="16"/>
              </w:rPr>
              <w:t>3,379</w:t>
            </w:r>
          </w:p>
        </w:tc>
        <w:tc>
          <w:tcPr>
            <w:tcW w:type="dxa" w:w="936"/>
            <w:shd w:val="clear" w:color="auto" w:fill="FFFFFF"/>
            <w:tcMar>
              <w:top w:w="60" w:type="dxa"/>
              <w:bottom w:w="60" w:type="dxa"/>
              <w:left w:w="60" w:type="dxa"/>
              <w:right w:w="60" w:type="dxa"/>
            </w:tcMar>
          </w:tcPr>
          <w:p>
            <w:pPr>
              <w:jc w:val="center"/>
            </w:pPr>
            <w:r>
              <w:rPr>
                <w:sz w:val="16"/>
              </w:rPr>
              <w:t>962</w:t>
            </w:r>
          </w:p>
        </w:tc>
        <w:tc>
          <w:tcPr>
            <w:tcW w:type="dxa" w:w="936"/>
            <w:shd w:val="clear" w:color="auto" w:fill="FFFFFF"/>
            <w:tcMar>
              <w:top w:w="60" w:type="dxa"/>
              <w:bottom w:w="60" w:type="dxa"/>
              <w:left w:w="60" w:type="dxa"/>
              <w:right w:w="60" w:type="dxa"/>
            </w:tcMar>
          </w:tcPr>
          <w:p>
            <w:pPr>
              <w:jc w:val="center"/>
            </w:pPr>
            <w:r>
              <w:rPr>
                <w:sz w:val="16"/>
              </w:rPr>
              <w:t>666</w:t>
            </w:r>
          </w:p>
        </w:tc>
        <w:tc>
          <w:tcPr>
            <w:tcW w:type="dxa" w:w="936"/>
            <w:shd w:val="clear" w:color="auto" w:fill="FFFFFF"/>
            <w:tcMar>
              <w:top w:w="60" w:type="dxa"/>
              <w:bottom w:w="60" w:type="dxa"/>
              <w:left w:w="60" w:type="dxa"/>
              <w:right w:w="60" w:type="dxa"/>
            </w:tcMar>
          </w:tcPr>
          <w:p>
            <w:pPr>
              <w:jc w:val="center"/>
            </w:pPr>
            <w:r>
              <w:rPr>
                <w:sz w:val="16"/>
              </w:rPr>
              <w:t>0.000720</w:t>
            </w:r>
          </w:p>
        </w:tc>
        <w:tc>
          <w:tcPr>
            <w:tcW w:type="dxa" w:w="936"/>
            <w:shd w:val="clear" w:color="auto" w:fill="FFFFFF"/>
            <w:tcMar>
              <w:top w:w="60" w:type="dxa"/>
              <w:bottom w:w="60" w:type="dxa"/>
              <w:left w:w="60" w:type="dxa"/>
              <w:right w:w="60" w:type="dxa"/>
            </w:tcMar>
          </w:tcPr>
          <w:p>
            <w:pPr>
              <w:jc w:val="center"/>
            </w:pPr>
            <w:r>
              <w:rPr>
                <w:sz w:val="16"/>
              </w:rPr>
              <w:t>0.0150</w:t>
            </w:r>
          </w:p>
        </w:tc>
        <w:tc>
          <w:tcPr>
            <w:tcW w:type="dxa" w:w="936"/>
            <w:shd w:val="clear" w:color="auto" w:fill="FFFFFF"/>
            <w:tcMar>
              <w:top w:w="60" w:type="dxa"/>
              <w:bottom w:w="60" w:type="dxa"/>
              <w:left w:w="60" w:type="dxa"/>
              <w:right w:w="60" w:type="dxa"/>
            </w:tcMar>
          </w:tcPr>
          <w:p>
            <w:pPr>
              <w:jc w:val="center"/>
            </w:pPr>
            <w:r>
              <w:rPr>
                <w:sz w:val="16"/>
              </w:rPr>
              <w:t>0.9769</w:t>
            </w:r>
          </w:p>
        </w:tc>
        <w:tc>
          <w:tcPr>
            <w:tcW w:type="dxa" w:w="936"/>
            <w:shd w:val="clear" w:color="auto" w:fill="FFFFFF"/>
            <w:tcMar>
              <w:top w:w="60" w:type="dxa"/>
              <w:bottom w:w="60" w:type="dxa"/>
              <w:left w:w="60" w:type="dxa"/>
              <w:right w:w="60" w:type="dxa"/>
            </w:tcMar>
          </w:tcPr>
          <w:p>
            <w:pPr>
              <w:jc w:val="center"/>
            </w:pPr>
            <w:r>
              <w:rPr>
                <w:sz w:val="16"/>
              </w:rPr>
              <w:t>322</w:t>
            </w:r>
          </w:p>
        </w:tc>
        <w:tc>
          <w:tcPr>
            <w:tcW w:type="dxa" w:w="936"/>
            <w:shd w:val="clear" w:color="auto" w:fill="FFFFFF"/>
            <w:tcMar>
              <w:top w:w="60" w:type="dxa"/>
              <w:bottom w:w="60" w:type="dxa"/>
              <w:left w:w="60" w:type="dxa"/>
              <w:right w:w="60" w:type="dxa"/>
            </w:tcMar>
          </w:tcPr>
          <w:p>
            <w:r>
              <w:rPr>
                <w:sz w:val="16"/>
              </w:rPr>
              <w:t>BGN suspends 4,581 SPPG catering units; imported plastic tray backlash.</w:t>
            </w:r>
          </w:p>
        </w:tc>
      </w:tr>
      <w:tr>
        <w:tc>
          <w:tcPr>
            <w:tcW w:type="dxa" w:w="936"/>
            <w:shd w:val="clear" w:color="auto" w:fill="F8FAFC"/>
            <w:tcMar>
              <w:top w:w="60" w:type="dxa"/>
              <w:bottom w:w="60" w:type="dxa"/>
              <w:left w:w="60" w:type="dxa"/>
              <w:right w:w="60" w:type="dxa"/>
            </w:tcMar>
          </w:tcPr>
          <w:p>
            <w:pPr>
              <w:jc w:val="center"/>
            </w:pPr>
            <w:r>
              <w:rPr>
                <w:b/>
                <w:sz w:val="16"/>
              </w:rPr>
              <w:t>Phase 3: Recess &amp; Review</w:t>
            </w:r>
          </w:p>
        </w:tc>
        <w:tc>
          <w:tcPr>
            <w:tcW w:type="dxa" w:w="936"/>
            <w:shd w:val="clear" w:color="auto" w:fill="F8FAFC"/>
            <w:tcMar>
              <w:top w:w="60" w:type="dxa"/>
              <w:bottom w:w="60" w:type="dxa"/>
              <w:left w:w="60" w:type="dxa"/>
              <w:right w:w="60" w:type="dxa"/>
            </w:tcMar>
          </w:tcPr>
          <w:p>
            <w:pPr>
              <w:jc w:val="center"/>
            </w:pPr>
            <w:r>
              <w:rPr>
                <w:b/>
                <w:sz w:val="16"/>
              </w:rPr>
              <w:t>Jun 1 – Aug 31</w:t>
            </w:r>
          </w:p>
        </w:tc>
        <w:tc>
          <w:tcPr>
            <w:tcW w:type="dxa" w:w="936"/>
            <w:shd w:val="clear" w:color="auto" w:fill="F8FAFC"/>
            <w:tcMar>
              <w:top w:w="60" w:type="dxa"/>
              <w:bottom w:w="60" w:type="dxa"/>
              <w:left w:w="60" w:type="dxa"/>
              <w:right w:w="60" w:type="dxa"/>
            </w:tcMar>
          </w:tcPr>
          <w:p>
            <w:pPr>
              <w:jc w:val="center"/>
            </w:pPr>
            <w:r>
              <w:rPr>
                <w:sz w:val="16"/>
              </w:rPr>
              <w:t>619</w:t>
            </w:r>
          </w:p>
        </w:tc>
        <w:tc>
          <w:tcPr>
            <w:tcW w:type="dxa" w:w="936"/>
            <w:shd w:val="clear" w:color="auto" w:fill="F8FAFC"/>
            <w:tcMar>
              <w:top w:w="60" w:type="dxa"/>
              <w:bottom w:w="60" w:type="dxa"/>
              <w:left w:w="60" w:type="dxa"/>
              <w:right w:w="60" w:type="dxa"/>
            </w:tcMar>
          </w:tcPr>
          <w:p>
            <w:pPr>
              <w:jc w:val="center"/>
            </w:pPr>
            <w:r>
              <w:rPr>
                <w:sz w:val="16"/>
              </w:rPr>
              <w:t>182</w:t>
            </w:r>
          </w:p>
        </w:tc>
        <w:tc>
          <w:tcPr>
            <w:tcW w:type="dxa" w:w="936"/>
            <w:shd w:val="clear" w:color="auto" w:fill="F8FAFC"/>
            <w:tcMar>
              <w:top w:w="60" w:type="dxa"/>
              <w:bottom w:w="60" w:type="dxa"/>
              <w:left w:w="60" w:type="dxa"/>
              <w:right w:w="60" w:type="dxa"/>
            </w:tcMar>
          </w:tcPr>
          <w:p>
            <w:pPr>
              <w:jc w:val="center"/>
            </w:pPr>
            <w:r>
              <w:rPr>
                <w:sz w:val="16"/>
              </w:rPr>
              <w:t>181</w:t>
            </w:r>
          </w:p>
        </w:tc>
        <w:tc>
          <w:tcPr>
            <w:tcW w:type="dxa" w:w="936"/>
            <w:shd w:val="clear" w:color="auto" w:fill="F8FAFC"/>
            <w:tcMar>
              <w:top w:w="60" w:type="dxa"/>
              <w:bottom w:w="60" w:type="dxa"/>
              <w:left w:w="60" w:type="dxa"/>
              <w:right w:w="60" w:type="dxa"/>
            </w:tcMar>
          </w:tcPr>
          <w:p>
            <w:pPr>
              <w:jc w:val="center"/>
            </w:pPr>
            <w:r>
              <w:rPr>
                <w:sz w:val="16"/>
              </w:rPr>
              <w:t>0.005495</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1</w:t>
            </w:r>
          </w:p>
        </w:tc>
        <w:tc>
          <w:tcPr>
            <w:tcW w:type="dxa" w:w="936"/>
            <w:shd w:val="clear" w:color="auto" w:fill="F8FAFC"/>
            <w:tcMar>
              <w:top w:w="60" w:type="dxa"/>
              <w:bottom w:w="60" w:type="dxa"/>
              <w:left w:w="60" w:type="dxa"/>
              <w:right w:w="60" w:type="dxa"/>
            </w:tcMar>
          </w:tcPr>
          <w:p>
            <w:r>
              <w:rPr>
                <w:sz w:val="16"/>
              </w:rPr>
              <w:t>School recess; parliamentary hearings; APBN FY26 IDR 268T budget announcement.</w:t>
            </w:r>
          </w:p>
        </w:tc>
      </w:tr>
      <w:tr>
        <w:tc>
          <w:tcPr>
            <w:tcW w:type="dxa" w:w="936"/>
            <w:shd w:val="clear" w:color="auto" w:fill="FFFFFF"/>
            <w:tcMar>
              <w:top w:w="60" w:type="dxa"/>
              <w:bottom w:w="60" w:type="dxa"/>
              <w:left w:w="60" w:type="dxa"/>
              <w:right w:w="60" w:type="dxa"/>
            </w:tcMar>
          </w:tcPr>
          <w:p>
            <w:pPr>
              <w:jc w:val="center"/>
            </w:pPr>
            <w:r>
              <w:rPr>
                <w:b/>
                <w:sz w:val="16"/>
              </w:rPr>
              <w:t>Phase 4: Acute Outbreak &amp; EWS</w:t>
            </w:r>
          </w:p>
        </w:tc>
        <w:tc>
          <w:tcPr>
            <w:tcW w:type="dxa" w:w="936"/>
            <w:shd w:val="clear" w:color="auto" w:fill="FFFFFF"/>
            <w:tcMar>
              <w:top w:w="60" w:type="dxa"/>
              <w:bottom w:w="60" w:type="dxa"/>
              <w:left w:w="60" w:type="dxa"/>
              <w:right w:w="60" w:type="dxa"/>
            </w:tcMar>
          </w:tcPr>
          <w:p>
            <w:pPr>
              <w:jc w:val="center"/>
            </w:pPr>
            <w:r>
              <w:rPr>
                <w:b/>
                <w:sz w:val="16"/>
              </w:rPr>
              <w:t>Sep 1 – Oct 10</w:t>
            </w:r>
          </w:p>
        </w:tc>
        <w:tc>
          <w:tcPr>
            <w:tcW w:type="dxa" w:w="936"/>
            <w:shd w:val="clear" w:color="auto" w:fill="FFFFFF"/>
            <w:tcMar>
              <w:top w:w="60" w:type="dxa"/>
              <w:bottom w:w="60" w:type="dxa"/>
              <w:left w:w="60" w:type="dxa"/>
              <w:right w:w="60" w:type="dxa"/>
            </w:tcMar>
          </w:tcPr>
          <w:p>
            <w:pPr>
              <w:jc w:val="center"/>
            </w:pPr>
            <w:r>
              <w:rPr>
                <w:sz w:val="16"/>
              </w:rPr>
              <w:t>4,397</w:t>
            </w:r>
          </w:p>
        </w:tc>
        <w:tc>
          <w:tcPr>
            <w:tcW w:type="dxa" w:w="936"/>
            <w:shd w:val="clear" w:color="auto" w:fill="FFFFFF"/>
            <w:tcMar>
              <w:top w:w="60" w:type="dxa"/>
              <w:bottom w:w="60" w:type="dxa"/>
              <w:left w:w="60" w:type="dxa"/>
              <w:right w:w="60" w:type="dxa"/>
            </w:tcMar>
          </w:tcPr>
          <w:p>
            <w:pPr>
              <w:jc w:val="center"/>
            </w:pPr>
            <w:r>
              <w:rPr>
                <w:sz w:val="16"/>
              </w:rPr>
              <w:t>1,038</w:t>
            </w:r>
          </w:p>
        </w:tc>
        <w:tc>
          <w:tcPr>
            <w:tcW w:type="dxa" w:w="936"/>
            <w:shd w:val="clear" w:color="auto" w:fill="FFFFFF"/>
            <w:tcMar>
              <w:top w:w="60" w:type="dxa"/>
              <w:bottom w:w="60" w:type="dxa"/>
              <w:left w:w="60" w:type="dxa"/>
              <w:right w:w="60" w:type="dxa"/>
            </w:tcMar>
          </w:tcPr>
          <w:p>
            <w:pPr>
              <w:jc w:val="center"/>
            </w:pPr>
            <w:r>
              <w:rPr>
                <w:sz w:val="16"/>
              </w:rPr>
              <w:t>1,037</w:t>
            </w:r>
          </w:p>
        </w:tc>
        <w:tc>
          <w:tcPr>
            <w:tcW w:type="dxa" w:w="936"/>
            <w:shd w:val="clear" w:color="auto" w:fill="FFFFFF"/>
            <w:tcMar>
              <w:top w:w="60" w:type="dxa"/>
              <w:bottom w:w="60" w:type="dxa"/>
              <w:left w:w="60" w:type="dxa"/>
              <w:right w:w="60" w:type="dxa"/>
            </w:tcMar>
          </w:tcPr>
          <w:p>
            <w:pPr>
              <w:jc w:val="center"/>
            </w:pPr>
            <w:r>
              <w:rPr>
                <w:sz w:val="16"/>
              </w:rPr>
              <w:t>0.000963</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1</w:t>
            </w:r>
          </w:p>
        </w:tc>
        <w:tc>
          <w:tcPr>
            <w:tcW w:type="dxa" w:w="936"/>
            <w:shd w:val="clear" w:color="auto" w:fill="FFFFFF"/>
            <w:tcMar>
              <w:top w:w="60" w:type="dxa"/>
              <w:bottom w:w="60" w:type="dxa"/>
              <w:left w:w="60" w:type="dxa"/>
              <w:right w:w="60" w:type="dxa"/>
            </w:tcMar>
          </w:tcPr>
          <w:p>
            <w:r>
              <w:rPr>
                <w:sz w:val="16"/>
              </w:rPr>
              <w:t>Peak II: Acute mass food poisoning hospitalizations; Telegram EWS bot active.</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r>
        <w:rPr>
          <w:sz w:val="21"/>
        </w:rPr>
        <w:t>Our empirical corpus derives exclusively from Platform X. In Indonesia, Platform X users skew urban, educated, and politically mobilized (APJII, 2024), capturing the vanguard public (opinion leaders, journalists, academics) rather than the total passive electorate.</w:t>
      </w:r>
    </w:p>
    <w:p>
      <w:pPr>
        <w:spacing w:after="80"/>
      </w:pPr>
      <w:r>
        <w:rPr>
          <w:b/>
          <w:sz w:val="21"/>
        </w:rPr>
        <w:t xml:space="preserve">2. Platform Vernacular &amp; Cynicism Bias: </w:t>
      </w:r>
      <w:r>
        <w:rPr>
          <w:sz w:val="21"/>
        </w:rPr>
        <w:t>Platform X affordances structurally incentivize irony, satirical parody, and political confrontation (Bossetta, 2018), amplifying Disgust and Sarcasm relative to lifestyle-centric networks like Instagram where social norms favor aspirational compliance.</w:t>
      </w:r>
    </w:p>
    <w:p>
      <w:pPr>
        <w:spacing w:after="80"/>
      </w:pPr>
      <w:r>
        <w:rPr>
          <w:b/>
          <w:sz w:val="21"/>
        </w:rPr>
        <w:t xml:space="preserve">3. Cross-Platform Multi-Modal Trajectory: </w:t>
      </w:r>
      <w:r>
        <w:rPr>
          <w:sz w:val="21"/>
        </w:rPr>
        <w:t>While text-based transformer architectures (IndoBERT) effectively decoded policy discourse, future research should integrate multi-modal Vision-Language Models (VLMs) to examine physical lunch tray unboxing videos on TikTok and YouTube.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