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Emotion classification was operationalized using IndoBERT (indobenchmark/indobert-base-p2),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also used to flag sarcasm via text-emoji incongruence. The classification head was configured with nine output labels derived from Ekman (1992) and Plutchik (1980); however, only six of these classes occur in the labelled corpus (Joy and Surprise have no samples, and Fear has two samples and none in the test set), so all performance claims are restricted to the six active classes. Reference labels for training and evaluation are silver-standard: they were produced through a keyword- and rule-assisted procedure rather than by independent human annotators.</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Pr/>
              <w:t>Unweighted mean F1 across the 6 active emotion classes</w:t>
            </w:r>
          </w:p>
        </w:tc>
      </w:tr>
      <w:tr>
        <w:tc>
          <w:tcPr>
            <w:tcW w:type="dxa" w:w="3120"/>
            <w:tcMar>
              <w:top w:w="60" w:type="dxa"/>
              <w:bottom w:w="60" w:type="dxa"/>
              <w:left w:w="90" w:type="dxa"/>
              <w:right w:w="90" w:type="dxa"/>
            </w:tcMar>
          </w:tcPr>
          <w:p>
            <w:pPr>
              <w:spacing w:before="40" w:after="40" w:line="252" w:lineRule="auto"/>
            </w:pPr>
            <w:r>
              <w:rPr/>
              <w:t>Reference Labels</w:t>
            </w:r>
          </w:p>
        </w:tc>
        <w:tc>
          <w:tcPr>
            <w:tcW w:type="dxa" w:w="3120"/>
            <w:tcMar>
              <w:top w:w="60" w:type="dxa"/>
              <w:bottom w:w="60" w:type="dxa"/>
              <w:left w:w="90" w:type="dxa"/>
              <w:right w:w="90" w:type="dxa"/>
            </w:tcMar>
          </w:tcPr>
          <w:p>
            <w:pPr>
              <w:spacing w:before="40" w:after="40" w:line="252" w:lineRule="auto"/>
            </w:pPr>
            <w:r>
              <w:rPr/>
              <w:t>Silver-standard</w:t>
            </w:r>
          </w:p>
        </w:tc>
        <w:tc>
          <w:tcPr>
            <w:tcW w:type="dxa" w:w="3120"/>
            <w:tcMar>
              <w:top w:w="60" w:type="dxa"/>
              <w:bottom w:w="60" w:type="dxa"/>
              <w:left w:w="90" w:type="dxa"/>
              <w:right w:w="90" w:type="dxa"/>
            </w:tcMar>
          </w:tcPr>
          <w:p>
            <w:pPr>
              <w:spacing w:before="40" w:after="40" w:line="252" w:lineRule="auto"/>
            </w:pPr>
            <w:r>
              <w:rPr/>
              <w:t>Keyword/rule-assisted; not human-adjudicated</w:t>
            </w:r>
          </w:p>
        </w:tc>
      </w:tr>
      <w:tr>
        <w:tc>
          <w:tcPr>
            <w:tcW w:type="dxa" w:w="3120"/>
            <w:tcMar>
              <w:top w:w="60" w:type="dxa"/>
              <w:bottom w:w="60" w:type="dxa"/>
              <w:left w:w="90" w:type="dxa"/>
              <w:right w:w="90" w:type="dxa"/>
            </w:tcMar>
          </w:tcPr>
          <w:p>
            <w:pPr>
              <w:spacing w:before="40" w:after="40" w:line="252" w:lineRule="auto"/>
            </w:pPr>
            <w:r>
              <w:rPr/>
              <w:t>Independent Human Gold Standard</w:t>
            </w:r>
          </w:p>
        </w:tc>
        <w:tc>
          <w:tcPr>
            <w:tcW w:type="dxa" w:w="3120"/>
            <w:tcMar>
              <w:top w:w="60" w:type="dxa"/>
              <w:bottom w:w="60" w:type="dxa"/>
              <w:left w:w="90" w:type="dxa"/>
              <w:right w:w="90" w:type="dxa"/>
            </w:tcMar>
          </w:tcPr>
          <w:p>
            <w:pPr>
              <w:spacing w:before="40" w:after="40" w:line="252" w:lineRule="auto"/>
            </w:pPr>
            <w:r>
              <w:rPr/>
              <w:t>Not yet constructed</w:t>
            </w:r>
          </w:p>
        </w:tc>
        <w:tc>
          <w:tcPr>
            <w:tcW w:type="dxa" w:w="3120"/>
            <w:tcMar>
              <w:top w:w="60" w:type="dxa"/>
              <w:bottom w:w="60" w:type="dxa"/>
              <w:left w:w="90" w:type="dxa"/>
              <w:right w:w="90" w:type="dxa"/>
            </w:tcMar>
          </w:tcPr>
          <w:p>
            <w:pPr>
              <w:spacing w:before="40" w:after="40" w:line="252" w:lineRule="auto"/>
            </w:pPr>
            <w:r>
              <w:rPr/>
              <w:t>Inter-rater reliability not reported</w:t>
            </w:r>
          </w:p>
        </w:tc>
      </w:tr>
      <w:tr>
        <w:tc>
          <w:tcPr>
            <w:tcW w:type="dxa" w:w="3120"/>
            <w:tcMar>
              <w:top w:w="60" w:type="dxa"/>
              <w:bottom w:w="60" w:type="dxa"/>
              <w:left w:w="90" w:type="dxa"/>
              <w:right w:w="90" w:type="dxa"/>
            </w:tcMar>
          </w:tcPr>
          <w:p>
            <w:pPr>
              <w:spacing w:before="40" w:after="40" w:line="252" w:lineRule="auto"/>
            </w:pPr>
            <w:r>
              <w:rPr/>
              <w:t>Active Emotion Classes (test set)</w:t>
            </w:r>
          </w:p>
        </w:tc>
        <w:tc>
          <w:tcPr>
            <w:tcW w:type="dxa" w:w="3120"/>
            <w:tcMar>
              <w:top w:w="60" w:type="dxa"/>
              <w:bottom w:w="60" w:type="dxa"/>
              <w:left w:w="90" w:type="dxa"/>
              <w:right w:w="90" w:type="dxa"/>
            </w:tcMar>
          </w:tcPr>
          <w:p>
            <w:pPr>
              <w:spacing w:before="40" w:after="40" w:line="252" w:lineRule="auto"/>
            </w:pPr>
            <w:r>
              <w:rPr/>
              <w:t>6 of 9 output labels</w:t>
            </w:r>
          </w:p>
        </w:tc>
        <w:tc>
          <w:tcPr>
            <w:tcW w:type="dxa" w:w="3120"/>
            <w:tcMar>
              <w:top w:w="60" w:type="dxa"/>
              <w:bottom w:w="60" w:type="dxa"/>
              <w:left w:w="90" w:type="dxa"/>
              <w:right w:w="90" w:type="dxa"/>
            </w:tcMar>
          </w:tcPr>
          <w:p>
            <w:pPr>
              <w:spacing w:before="40" w:after="40" w:line="252" w:lineRule="auto"/>
            </w:pPr>
            <w:r>
              <w:rPr/>
              <w:t>Joy and Surprise absent; Fear absent from test set</w:t>
            </w:r>
          </w:p>
        </w:tc>
      </w:tr>
      <w:tr>
        <w:tc>
          <w:tcPr>
            <w:tcW w:type="dxa" w:w="3120"/>
            <w:tcMar>
              <w:top w:w="60" w:type="dxa"/>
              <w:bottom w:w="60" w:type="dxa"/>
              <w:left w:w="90" w:type="dxa"/>
              <w:right w:w="90" w:type="dxa"/>
            </w:tcMar>
          </w:tcPr>
          <w:p>
            <w:pPr>
              <w:spacing w:before="40" w:after="40" w:line="252" w:lineRule="auto"/>
            </w:pPr>
            <w:r>
              <w:rPr/>
              <w:t>Minority-Class F1 (Anger, Sadness)</w:t>
            </w:r>
          </w:p>
        </w:tc>
        <w:tc>
          <w:tcPr>
            <w:tcW w:type="dxa" w:w="3120"/>
            <w:tcMar>
              <w:top w:w="60" w:type="dxa"/>
              <w:bottom w:w="60" w:type="dxa"/>
              <w:left w:w="90" w:type="dxa"/>
              <w:right w:w="90" w:type="dxa"/>
            </w:tcMar>
          </w:tcPr>
          <w:p>
            <w:pPr>
              <w:spacing w:before="40" w:after="40" w:line="252" w:lineRule="auto"/>
            </w:pPr>
            <w:r>
              <w:rPr/>
              <w:t>0.000 / 0.000</w:t>
            </w:r>
          </w:p>
        </w:tc>
        <w:tc>
          <w:tcPr>
            <w:tcW w:type="dxa" w:w="3120"/>
            <w:tcMar>
              <w:top w:w="60" w:type="dxa"/>
              <w:bottom w:w="60" w:type="dxa"/>
              <w:left w:w="90" w:type="dxa"/>
              <w:right w:w="90" w:type="dxa"/>
            </w:tcMar>
          </w:tcPr>
          <w:p>
            <w:pPr>
              <w:spacing w:before="40" w:after="40" w:line="252" w:lineRule="auto"/>
            </w:pPr>
            <w:r>
              <w:rPr/>
              <w:t>Model does not recognise these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2. Reference-Label Status (n = 1,058)</w:t>
      </w:r>
      <w:r>
        <w:rPr>
          <w:b w:val="0"/>
        </w:rPr>
        <w:t>: All reported metrics are computed against silver-standard labels produced by a keyword- and rule-assisted procedure. No independent, double-annotated human gold standard has yet been constructed for this corpus; we therefore do not report inter-rater reliability coefficients, and accuracy should be read as agreement with silver labels rather than with human judgement. Building such a benchmark is a priority for future work (see Limitations).</w:t>
      </w:r>
    </w:p>
    <w:p>
      <w:pPr>
        <w:spacing w:line="480" w:lineRule="auto" w:after="40"/>
        <w:ind w:left="720" w:hanging="360"/>
      </w:pPr>
      <w:r>
        <w:rPr>
          <w:b/>
        </w:rPr>
        <w:t>3. Illustrative Sarcasm Cases</w:t>
      </w:r>
      <w:r>
        <w:rPr>
          <w:b w:val="0"/>
        </w:rPr>
        <w:t>: Qualitative inspection of sampled posts shows cases in which keyword-based silver labels assign positive emotions to sarcastic posts because of literal laudatory words (terima kasih, mantap, mewah), whereas IndoBERT predicts Disgust, in line with paralinguistic emoji inversions (e.g., 🤡, 🤮, 🤣). These examples are illustrative and have not been verified through systematic human annotation.</w:t>
      </w:r>
    </w:p>
    <w:p>
      <w:pPr>
        <w:spacing w:line="480" w:lineRule="auto" w:after="40"/>
        <w:ind w:left="720" w:hanging="360"/>
      </w:pPr>
      <w:r>
        <w:rPr>
          <w:b/>
        </w:rPr>
        <w:t>4. Hierarchical Taxonomy &amp; Minority Error Dissection</w:t>
      </w:r>
      <w:r>
        <w:rPr>
          <w:b w:val="0"/>
        </w:rPr>
        <w:t>: An audit of extreme class imbalance (Disgust 606 vs. Anger 14 vs. Sadness 3) revealed that 12 of the 14 Anger-labelled posts were non-Indonesian noise or spam that IndoBERT predicted as Neutral (indicating silver-label noise; these predictions are still counted as errors), while Sadness posts reflected moral grievances that sociolinguistically collapsed into Disgust (Gutierrez &amp; Giner-Sorolla, 2007; Rozin et al., 2000). When re-evaluated on a 3-tier valence taxonomy (Negative Dissent, Positive Support, Neutrality), IndoBERT achieved Macro-F1 of 0.7522 (75.22%), accuracy of 76.56%, and Weighted-F1 of 0.7610, suggesting that the model captures coarse affective valence more reliably than granular emotion categories; because this three-tier grouping was defined after the granular evaluation, it is reported as a supplementary, post-hoc analysis.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Pr>
          <w:rFonts w:ascii="Times New Roman" w:hAnsi="Times New Roman"/>
          <w:b w:val="0"/>
          <w:i w:val="0"/>
          <w:sz w:val="24"/>
        </w:rPr>
        <w:t xml:space="preserve">Evaluating provincial rankings confirmed a statistically significant positive monotonic rank correlation: </w:t>
      </w:r>
      <w:r>
        <w:rPr>
          <w:rFonts w:ascii="Times New Roman" w:hAnsi="Times New Roman"/>
          <w:b/>
          <w:i w:val="0"/>
          <w:sz w:val="24"/>
        </w:rPr>
        <w:t>Spearman $\rho = 0.7212$ ($p = 0.0186 &lt; 0.05$)</w:t>
      </w:r>
      <w:r>
        <w:rPr>
          <w:rFonts w:ascii="Times New Roman" w:hAnsi="Times New Roman"/>
          <w:b w:val="0"/>
          <w:i w:val="0"/>
          <w:sz w:val="24"/>
        </w:rPr>
        <w:t xml:space="preserve"> against both </w:t>
      </w:r>
      <w:r>
        <w:rPr>
          <w:rFonts w:ascii="Times New Roman" w:hAnsi="Times New Roman"/>
          <w:b/>
          <w:i w:val="0"/>
          <w:sz w:val="24"/>
        </w:rPr>
        <w:t>Hospitalized Food Poisoning Victims</w:t>
      </w:r>
      <w:r>
        <w:rPr>
          <w:rFonts w:ascii="Times New Roman" w:hAnsi="Times New Roman"/>
          <w:b w:val="0"/>
          <w:i w:val="0"/>
          <w:sz w:val="24"/>
        </w:rPr>
        <w:t xml:space="preserve"> and </w:t>
      </w:r>
      <w:r>
        <w:rPr>
          <w:rFonts w:ascii="Times New Roman" w:hAnsi="Times New Roman"/>
          <w:b/>
          <w:i w:val="0"/>
          <w:sz w:val="24"/>
        </w:rPr>
        <w:t>Suspended SPPG Catering Kitchens</w:t>
      </w:r>
      <w:r>
        <w:rPr>
          <w:rFonts w:ascii="Times New Roman" w:hAnsi="Times New Roman"/>
          <w:b w:val="0"/>
          <w:i w:val="0"/>
          <w:sz w:val="24"/>
        </w:rPr>
        <w:t xml:space="preserve">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240" w:after="60"/>
        <w:ind w:firstLine="0"/>
        <w:jc w:val="left"/>
      </w:pPr>
      <w:r>
        <w:rPr>
          <w:rFonts w:ascii="Times New Roman" w:hAnsi="Times New Roman"/>
          <w:b/>
          <w:i w:val="0"/>
          <w:sz w:val="25"/>
        </w:rPr>
        <w:t>4.9 Aspect-Based Sentiment Analysis Granularity: Category-Level (ACSA) vs. Token-Span Level (ATE)</w:t>
      </w:r>
    </w:p>
    <w:p>
      <w:pPr>
        <w:spacing w:line="480" w:lineRule="auto" w:before="0" w:after="0"/>
        <w:ind w:firstLine="720"/>
      </w:pPr>
      <w:r>
        <w:rPr>
          <w:rFonts w:ascii="Times New Roman" w:hAnsi="Times New Roman"/>
          <w:b w:val="0"/>
          <w:i w:val="0"/>
          <w:sz w:val="24"/>
        </w:rPr>
        <w:t xml:space="preserve">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w:t>
      </w:r>
      <w:r>
        <w:rPr>
          <w:rFonts w:ascii="Times New Roman" w:hAnsi="Times New Roman"/>
          <w:b/>
          <w:i w:val="0"/>
          <w:sz w:val="24"/>
        </w:rPr>
        <w:t>42.59%</w:t>
      </w:r>
      <w:r>
        <w:rPr>
          <w:rFonts w:ascii="Times New Roman" w:hAnsi="Times New Roman"/>
          <w:b w:val="0"/>
          <w:i w:val="0"/>
          <w:sz w:val="24"/>
        </w:rPr>
        <w:t xml:space="preserve"> of citizen grievance posts constitute </w:t>
      </w:r>
      <w:r>
        <w:rPr>
          <w:rFonts w:ascii="Times New Roman" w:hAnsi="Times New Roman"/>
          <w:b w:val="0"/>
          <w:i/>
          <w:sz w:val="24"/>
        </w:rPr>
        <w:t>implicit aspect expressions</w:t>
      </w:r>
      <w:r>
        <w:rPr>
          <w:rFonts w:ascii="Times New Roman" w:hAnsi="Times New Roman"/>
          <w:b w:val="0"/>
          <w:i w:val="0"/>
          <w:sz w:val="24"/>
        </w:rPr>
        <w:t xml:space="preserve"> (e.g., </w:t>
      </w:r>
      <w:r>
        <w:rPr>
          <w:rFonts w:ascii="Times New Roman" w:hAnsi="Times New Roman"/>
          <w:b w:val="0"/>
          <w:i/>
          <w:sz w:val="24"/>
        </w:rPr>
        <w:t>'Menu mewah banget ya, pas dibuka cuma ada tempe seukuran perangko 🤡'</w:t>
      </w:r>
      <w:r>
        <w:rPr>
          <w:rFonts w:ascii="Times New Roman" w:hAnsi="Times New Roman"/>
          <w:b w:val="0"/>
          <w:i w:val="0"/>
          <w:sz w:val="24"/>
        </w:rPr>
        <w:t xml:space="preserve"> evaluating nutritional adequacy without mentioning the noun </w:t>
      </w:r>
      <w:r>
        <w:rPr>
          <w:rFonts w:ascii="Times New Roman" w:hAnsi="Times New Roman"/>
          <w:b w:val="0"/>
          <w:i/>
          <w:sz w:val="24"/>
        </w:rPr>
        <w:t>gizi</w:t>
      </w:r>
      <w:r>
        <w:rPr>
          <w:rFonts w:ascii="Times New Roman" w:hAnsi="Times New Roman"/>
          <w:b w:val="0"/>
          <w:i w:val="0"/>
          <w:sz w:val="24"/>
        </w:rPr>
        <w:t>). Restricting analysis to span-level ATE results in catastrophic false-negative truncation (~42.6% zero-span omission), discarding vital civic feedback.</w:t>
      </w:r>
    </w:p>
    <w:p>
      <w:pPr>
        <w:spacing w:before="240" w:after="60" w:line="288" w:lineRule="auto"/>
        <w:jc w:val="left"/>
      </w:pPr>
      <w:r>
        <w:rPr>
          <w:rFonts w:ascii="Times New Roman" w:hAnsi="Times New Roman"/>
          <w:b/>
          <w:i w:val="0"/>
          <w:sz w:val="22"/>
        </w:rPr>
        <w:t>Table 10: Aspect Category Sentiment Analysis (ACSA) vs. Token Span-Level (ATE) Benchmark (N = 2,282 Mentions)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936"/>
        <w:gridCol w:w="936"/>
        <w:gridCol w:w="936"/>
        <w:gridCol w:w="936"/>
        <w:gridCol w:w="936"/>
        <w:gridCol w:w="936"/>
        <w:gridCol w:w="936"/>
        <w:gridCol w:w="936"/>
        <w:gridCol w:w="936"/>
        <w:gridCol w:w="936"/>
      </w:tblGrid>
      <w:tr>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Aspect Dimension ($A_i$)</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ACSA Mentions ($N$,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Trust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Precision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Recall</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F1</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Explicit Spans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Implicit Expressions (%)</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Budget &amp; Procurement</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535 (23.44%)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77.01%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4.30%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61.20%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38.80%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Distribution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403 (17.66%)</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78.91%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5.21%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0.819</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58.70%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41.30%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Hygiene</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1,344 (58.90%)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71.13%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8.85%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0.915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55.40%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44.60%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Total / Macro</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Macro-Policy Aggregation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2,282 (100.0%)</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75.68%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6.12%</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0.849</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57.41%</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42.59%</w:t>
            </w:r>
          </w:p>
        </w:tc>
      </w:tr>
    </w:tbl>
    <w:p>
      <w:pPr>
        <w:spacing w:after="120"/>
      </w:pPr>
    </w:p>
    <w:p>
      <w:pPr>
        <w:spacing w:line="480" w:lineRule="auto" w:before="0" w:after="0"/>
        <w:ind w:firstLine="720"/>
      </w:pPr>
      <w:r>
        <w:rPr>
          <w:rFonts w:ascii="Times New Roman" w:hAnsi="Times New Roman"/>
          <w:b w:val="0"/>
          <w:i w:val="0"/>
          <w:sz w:val="24"/>
        </w:rPr>
        <w:t>Across all three core operational dimensions, Disgust maintained overwhelming hegemony (&gt;70%), while Positive affect (Trust) remained confined to a marginal 6.12% aggregate share. Sentence-level ACSA preserves 100% of implicit and sarcastic civic resistance, providing an ecologically valid diagnostic of governance failure.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four foundational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after="40"/>
        <w:ind w:left="720" w:hanging="360"/>
      </w:pPr>
      <w:r>
        <w:rPr>
          <w:b/>
        </w:rPr>
        <w:t>4. Silver-Standard Emotion Labels</w:t>
      </w:r>
      <w:r>
        <w:rPr>
          <w:b w:val="0"/>
        </w:rPr>
        <w:t>: Emotion labels are silver-standard and have not yet been validated against an independent, double-annotated human benchmark. Macro-F1 on the six active classes remains modest (0.4535), the model does not recognise Anger or Sadness (F1 = 0.000), and Joy, Surprise, and Fear are absent or near-absent from the evaluation data. Future work should construct a human-annotated benchmark with reported inter-rater reliability (Cohen's kappa, Krippendorff's alpha) before granular emotion proportions are interpreted as population-level estimates.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Declarations and Data Availability</w:t>
      </w:r>
    </w:p>
    <w:p>
      <w:pPr>
        <w:spacing w:line="480" w:lineRule="auto" w:before="0" w:after="0"/>
        <w:ind w:firstLine="720"/>
      </w:pPr>
      <w:r>
        <w:rPr>
          <w:rFonts w:ascii="Times New Roman" w:hAnsi="Times New Roman"/>
          <w:b/>
          <w:i w:val="0"/>
          <w:sz w:val="24"/>
        </w:rPr>
        <w:t>Data Availability Statement</w:t>
      </w:r>
      <w:r>
        <w:rPr>
          <w:rFonts w:ascii="Times New Roman" w:hAnsi="Times New Roman"/>
          <w:b w:val="0"/>
          <w:i w:val="0"/>
          <w:sz w:val="24"/>
        </w:rPr>
        <w:t>: In strict compliance with the Open Science mandates of Information, Communication &amp; Society (Taylor &amp; Francis) and FAIR data principles, all research replication materials—including AoIR 3.0-pseudonymized directed network interaction edge lists (|V|=971, |E|=666), silver-standard labelled corpora, spatial epidemiological benchmarks, ABSA matrices, and PyTorch inference pipelines—are permanently archived in the Zenodo open-access repository under Digital Object Identifier (DOI): [10.5281/zenodo.11029482](https://doi.org/10.5281/zenodo.11029482). The active development repository remains mirrored at GitHub: [https://github.com/indri007/ThisIsEconomy](https://github.com/indri007/ThisIsEconomy). Raw tweet text containing personally identifying citizen information has been pseudonymized using SHA-256 HMAC cryptographic hashing in full compliance with AoIR 3.0 ethical guidelines.</w:t>
      </w:r>
    </w:p>
    <w:p>
      <w:pPr>
        <w:spacing w:line="480" w:lineRule="auto" w:before="0" w:after="0"/>
        <w:ind w:firstLine="720"/>
      </w:pPr>
      <w:r>
        <w:rPr>
          <w:rFonts w:ascii="Times New Roman" w:hAnsi="Times New Roman"/>
          <w:b/>
          <w:i w:val="0"/>
          <w:sz w:val="24"/>
        </w:rPr>
        <w:t>Funding</w:t>
      </w:r>
      <w:r>
        <w:rPr>
          <w:rFonts w:ascii="Times New Roman" w:hAnsi="Times New Roman"/>
          <w:b w:val="0"/>
          <w:i w:val="0"/>
          <w:sz w:val="24"/>
        </w:rPr>
        <w:t>: The authors declare that no external funding, grants, or financial sponsorships were received for this study.</w:t>
      </w:r>
    </w:p>
    <w:p>
      <w:pPr>
        <w:spacing w:line="480" w:lineRule="auto" w:before="0" w:after="0"/>
        <w:ind w:firstLine="720"/>
      </w:pPr>
      <w:r>
        <w:rPr>
          <w:rFonts w:ascii="Times New Roman" w:hAnsi="Times New Roman"/>
          <w:b/>
          <w:i w:val="0"/>
          <w:sz w:val="24"/>
        </w:rPr>
        <w:t>Conflict of Interest</w:t>
      </w:r>
      <w:r>
        <w:rPr>
          <w:rFonts w:ascii="Times New Roman" w:hAnsi="Times New Roman"/>
          <w:b w:val="0"/>
          <w:i w:val="0"/>
          <w:sz w:val="24"/>
        </w:rPr>
        <w:t>: The authors declare no competing financial or non-financial interests.</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SemEval 2014</w:t>
      </w:r>
      <w:r>
        <w:rPr>
          <w:rFonts w:ascii="Times New Roman" w:hAnsi="Times New Roman"/>
          <w:b w:val="0"/>
          <w:i w:val="0"/>
          <w:sz w:val="22"/>
        </w:rPr>
        <w:t>, 27–35. https://doi.org/10.3115/v1/S14-2004</w:t>
      </w:r>
    </w:p>
    <w:p>
      <w:pPr>
        <w:spacing w:line="360" w:lineRule="auto" w:after="60"/>
        <w:ind w:left="720" w:hanging="720"/>
      </w:pPr>
      <w:r>
        <w:rPr>
          <w:rFonts w:ascii="Times New Roman" w:hAnsi="Times New Roman"/>
          <w:b w:val="0"/>
          <w:i w:val="0"/>
          <w:sz w:val="22"/>
        </w:rPr>
        <w:t xml:space="preserve">Pontiki, M., Galanis, D., Papageorgiou, H., Androutsopoulos, I., Manandhar, S., AL-Smadi, M., ... &amp; Hoste, V. (2016). SemEval-2016 Task 5: Aspect based sentiment analysis. </w:t>
      </w:r>
      <w:r>
        <w:rPr>
          <w:rFonts w:ascii="Times New Roman" w:hAnsi="Times New Roman"/>
          <w:b w:val="0"/>
          <w:i/>
          <w:sz w:val="22"/>
        </w:rPr>
        <w:t>Proceedings of SemEval 2016</w:t>
      </w:r>
      <w:r>
        <w:rPr>
          <w:rFonts w:ascii="Times New Roman" w:hAnsi="Times New Roman"/>
          <w:b w:val="0"/>
          <w:i w:val="0"/>
          <w:sz w:val="22"/>
        </w:rPr>
        <w:t>, 19–30. https://doi.org/10.18653/v1/S16-1002</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Schouten, K., &amp; Frasincar, F. (2016). Survey on aspect-level sentiment analysis.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28</w:t>
      </w:r>
      <w:r>
        <w:rPr>
          <w:rFonts w:ascii="Times New Roman" w:hAnsi="Times New Roman"/>
          <w:b w:val="0"/>
          <w:i w:val="0"/>
          <w:sz w:val="22"/>
        </w:rPr>
        <w:t>(3), 813–830. https://doi.org/10.1109/TKDE.2015.2485209</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 https://doi.org/10.18653/v1/N19-1035</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W., Li, X., Deng, Y., Bing, L., &amp; Lam, W. (2022). A survey on aspect-based sentiment analysis: Tasks, methods, and challenges.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35</w:t>
      </w:r>
      <w:r>
        <w:rPr>
          <w:rFonts w:ascii="Times New Roman" w:hAnsi="Times New Roman"/>
          <w:b w:val="0"/>
          <w:i w:val="0"/>
          <w:sz w:val="22"/>
        </w:rPr>
        <w:t>(11), 11019–11038. https://doi.org/10.1109/TKDE.2022.3230975</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