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jc w:val="center"/>
      </w:pPr>
      <w:r>
        <w:rPr>
          <w:rFonts w:ascii="Times New Roman" w:hAnsi="Times New Roman"/>
          <w:b/>
          <w:color w:val="0F172A"/>
          <w:sz w:val="32"/>
        </w:rPr>
        <w:t>AUTHOR STATEMENTS, ETHICAL APPROVAL &amp; REPRODUCIBILITY DECLARATIONS</w:t>
      </w:r>
    </w:p>
    <w:p/>
    <w:p>
      <w:pPr>
        <w:spacing w:after="120" w:line="276" w:lineRule="auto"/>
      </w:pPr>
      <w:r>
        <w:rPr>
          <w:rFonts w:ascii="Times New Roman" w:hAnsi="Times New Roman"/>
          <w:sz w:val="22"/>
        </w:rPr>
        <w:t>**Manuscript Title:**</w:t>
      </w:r>
    </w:p>
    <w:p>
      <w:pPr>
        <w:spacing w:after="120" w:line="276" w:lineRule="auto"/>
      </w:pPr>
      <w:r>
        <w:rPr>
          <w:rFonts w:ascii="Times New Roman" w:hAnsi="Times New Roman"/>
          <w:sz w:val="22"/>
        </w:rPr>
        <w:t>Digital Sarcasm, Networked Affect, and the Algorithmic Oracle: A Computational Communication Forensic of Citizen Dissent and the Phygital Governance Disconnect on Platform X</w:t>
      </w:r>
    </w:p>
    <w:p/>
    <w:p>
      <w:pPr>
        <w:spacing w:after="120" w:line="276" w:lineRule="auto"/>
      </w:pPr>
      <w:r>
        <w:rPr>
          <w:rFonts w:ascii="Times New Roman" w:hAnsi="Times New Roman"/>
          <w:sz w:val="22"/>
        </w:rPr>
        <w:t>**Authors:**</w:t>
      </w:r>
    </w:p>
    <w:p>
      <w:pPr>
        <w:spacing w:after="120" w:line="276" w:lineRule="auto"/>
      </w:pPr>
      <w:r>
        <w:rPr>
          <w:rFonts w:ascii="Times New Roman" w:hAnsi="Times New Roman"/>
          <w:sz w:val="22"/>
        </w:rPr>
        <w:t>Indri Anjar Kartika Sari¹, Catur Suratnoaji¹, Agus Widiyarta¹</w:t>
      </w:r>
    </w:p>
    <w:p>
      <w:pPr>
        <w:spacing w:after="120" w:line="276" w:lineRule="auto"/>
      </w:pPr>
      <w:r>
        <w:rPr>
          <w:rFonts w:ascii="Times New Roman" w:hAnsi="Times New Roman"/>
          <w:sz w:val="22"/>
        </w:rPr>
        <w:t>¹ *Department of Communication Science, Universitas Pembangunan Nasional 'Veteran' Jawa Timur, Surabaya, Indonesia*</w:t>
      </w:r>
    </w:p>
    <w:p/>
    <w:p>
      <w:pPr>
        <w:spacing w:before="80" w:after="80"/>
      </w:pPr>
      <w:r>
        <w:rPr>
          <w:color w:val="94A3B8"/>
        </w:rPr>
        <w:t>――――――――――――――――――――――――――――――――――――――――</w:t>
      </w:r>
    </w:p>
    <w:p/>
    <w:p>
      <w:pPr>
        <w:spacing w:before="160" w:after="80"/>
      </w:pPr>
      <w:r>
        <w:rPr>
          <w:rFonts w:ascii="Times New Roman" w:hAnsi="Times New Roman"/>
          <w:b/>
          <w:sz w:val="24"/>
        </w:rPr>
        <w:t>1. Authorship Contribution Statement (CRediT Taxonomy)</w:t>
      </w:r>
    </w:p>
    <w:p>
      <w:pPr>
        <w:spacing w:after="120" w:line="276" w:lineRule="auto"/>
      </w:pPr>
      <w:r>
        <w:rPr>
          <w:rFonts w:ascii="Times New Roman" w:hAnsi="Times New Roman"/>
          <w:sz w:val="22"/>
        </w:rPr>
        <w:t>In accordance with ICMJE and CRediT (Contributor Roles Taxonomy) guidelines:</w:t>
      </w:r>
    </w:p>
    <w:p>
      <w:pPr>
        <w:pStyle w:val="ListBullet"/>
        <w:spacing w:after="60" w:line="276" w:lineRule="auto"/>
      </w:pPr>
      <w:r>
        <w:rPr>
          <w:rFonts w:ascii="Times New Roman" w:hAnsi="Times New Roman"/>
          <w:sz w:val="22"/>
        </w:rPr>
        <w:t>**Indri Anjar Kartika Sari:** Conceptualization, Methodology, Software, Data Curation, Formal Analysis, Investigation, Validation, Visualization, Writing – Original Draft, Project Administration.</w:t>
      </w:r>
    </w:p>
    <w:p>
      <w:pPr>
        <w:pStyle w:val="ListBullet"/>
        <w:spacing w:after="60" w:line="276" w:lineRule="auto"/>
      </w:pPr>
      <w:r>
        <w:rPr>
          <w:rFonts w:ascii="Times New Roman" w:hAnsi="Times New Roman"/>
          <w:sz w:val="22"/>
        </w:rPr>
        <w:t>**Dr. Catur Suratnoaji, M.Si.:** Supervision, Conceptualization, Theoretical Framework (Networked Affect &amp; Political Public Sphere), Formal Analysis Review, Writing – Review &amp; Editing.</w:t>
      </w:r>
    </w:p>
    <w:p>
      <w:pPr>
        <w:pStyle w:val="ListBullet"/>
        <w:spacing w:after="60" w:line="276" w:lineRule="auto"/>
      </w:pPr>
      <w:r>
        <w:rPr>
          <w:rFonts w:ascii="Times New Roman" w:hAnsi="Times New Roman"/>
          <w:sz w:val="22"/>
        </w:rPr>
        <w:t>**Dr. Agus Widiyarta, S.Sos., M.Si.:** Supervision, Methodology Review (Crisis Communication &amp; SCCT), Empirical Validation Oversight, Writing – Review &amp; Editing.</w:t>
      </w:r>
    </w:p>
    <w:p/>
    <w:p>
      <w:pPr>
        <w:spacing w:before="160" w:after="80"/>
      </w:pPr>
      <w:r>
        <w:rPr>
          <w:rFonts w:ascii="Times New Roman" w:hAnsi="Times New Roman"/>
          <w:b/>
          <w:sz w:val="24"/>
        </w:rPr>
        <w:t>2. Competing Interests / Conflict of Interest Declaration</w:t>
      </w:r>
    </w:p>
    <w:p>
      <w:pPr>
        <w:spacing w:after="120" w:line="276" w:lineRule="auto"/>
      </w:pPr>
      <w:r>
        <w:rPr>
          <w:rFonts w:ascii="Times New Roman" w:hAnsi="Times New Roman"/>
          <w:sz w:val="22"/>
        </w:rPr>
        <w:t>The authors declare that they have no known competing financial interests, commercial affiliations, political sponsorships, or personal relationships that could have appeared to influence the work reported in this paper.</w:t>
      </w:r>
    </w:p>
    <w:p/>
    <w:p>
      <w:pPr>
        <w:spacing w:before="160" w:after="80"/>
      </w:pPr>
      <w:r>
        <w:rPr>
          <w:rFonts w:ascii="Times New Roman" w:hAnsi="Times New Roman"/>
          <w:b/>
          <w:sz w:val="24"/>
        </w:rPr>
        <w:t>3. Funding Statement</w:t>
      </w:r>
    </w:p>
    <w:p>
      <w:pPr>
        <w:spacing w:after="120" w:line="276" w:lineRule="auto"/>
      </w:pPr>
      <w:r>
        <w:rPr>
          <w:rFonts w:ascii="Times New Roman" w:hAnsi="Times New Roman"/>
          <w:sz w:val="22"/>
        </w:rPr>
        <w:t>This research received no specific grant or financial support from any funding agency in the public, commercial, or not-for-profit sectors. The study was conducted independently as postgraduate research at Universitas Pembangunan Nasional 'Veteran' Jawa Timur.</w:t>
      </w:r>
    </w:p>
    <w:p/>
    <w:p>
      <w:pPr>
        <w:spacing w:before="160" w:after="80"/>
      </w:pPr>
      <w:r>
        <w:rPr>
          <w:rFonts w:ascii="Times New Roman" w:hAnsi="Times New Roman"/>
          <w:b/>
          <w:sz w:val="24"/>
        </w:rPr>
        <w:t>4. Ethics Approval and Consent to Participate (IRB Exemption)</w:t>
      </w:r>
    </w:p>
    <w:p>
      <w:pPr>
        <w:spacing w:after="120" w:line="276" w:lineRule="auto"/>
      </w:pPr>
      <w:r>
        <w:rPr>
          <w:rFonts w:ascii="Times New Roman" w:hAnsi="Times New Roman"/>
          <w:sz w:val="22"/>
        </w:rPr>
        <w:t>This study exclusively mined publicly available observational digital footprints from Platform X in compliance with Platform X Developer Terms of Service and academic guidelines established by the Association of Internet Researchers (AoIR). The research involved non-interventional, secondary computational analysis of public sociopolitical discourse; no private communication was accessed, no human subjects were experimentally recruited or manipulated, and all user account handles (except verified public officials and verified AI utility accounts) were strictly pseudonymized or analyzed at aggregate topological levels. Consequently, formal Institutional Review Board (IRB) approval was classified as exempt.</w:t>
      </w:r>
    </w:p>
    <w:p/>
    <w:p>
      <w:pPr>
        <w:spacing w:before="160" w:after="80"/>
      </w:pPr>
      <w:r>
        <w:rPr>
          <w:rFonts w:ascii="Times New Roman" w:hAnsi="Times New Roman"/>
          <w:b/>
          <w:sz w:val="24"/>
        </w:rPr>
        <w:t>5. Generative AI and AI-Assisted Technologies in the Writing Process</w:t>
      </w:r>
    </w:p>
    <w:p>
      <w:pPr>
        <w:spacing w:after="120" w:line="276" w:lineRule="auto"/>
      </w:pPr>
      <w:r>
        <w:rPr>
          <w:rFonts w:ascii="Times New Roman" w:hAnsi="Times New Roman"/>
          <w:sz w:val="22"/>
        </w:rPr>
        <w:t>In strict adherence to COPE (Committee on Publication Ethics), Elsevier, Springer Nature, and ICA policies on Generative AI:</w:t>
      </w:r>
    </w:p>
    <w:p>
      <w:pPr>
        <w:pStyle w:val="ListBullet"/>
        <w:spacing w:after="60" w:line="276" w:lineRule="auto"/>
      </w:pPr>
      <w:r>
        <w:rPr>
          <w:rFonts w:ascii="Times New Roman" w:hAnsi="Times New Roman"/>
          <w:sz w:val="22"/>
        </w:rPr>
        <w:t>Generative AI tools were utilized solely for code debugging and basic English stylistic proofreading.</w:t>
      </w:r>
    </w:p>
    <w:p>
      <w:pPr>
        <w:pStyle w:val="ListBullet"/>
        <w:spacing w:after="60" w:line="276" w:lineRule="auto"/>
      </w:pPr>
      <w:r>
        <w:rPr>
          <w:rFonts w:ascii="Times New Roman" w:hAnsi="Times New Roman"/>
          <w:sz w:val="22"/>
        </w:rPr>
        <w:t>The authors conducted all conceptual design, theoretical argumentation, computational programming, data analysis, and qualitative interpretation without AI-generated scientific claims.</w:t>
      </w:r>
    </w:p>
    <w:p>
      <w:pPr>
        <w:pStyle w:val="ListBullet"/>
        <w:spacing w:after="60" w:line="276" w:lineRule="auto"/>
      </w:pPr>
      <w:r>
        <w:rPr>
          <w:rFonts w:ascii="Times New Roman" w:hAnsi="Times New Roman"/>
          <w:sz w:val="22"/>
        </w:rPr>
        <w:t>The authors maintain full accountability for the integrity and accuracy of the published content.</w:t>
      </w:r>
    </w:p>
    <w:p/>
    <w:p>
      <w:pPr>
        <w:spacing w:before="160" w:after="80"/>
      </w:pPr>
      <w:r>
        <w:rPr>
          <w:rFonts w:ascii="Times New Roman" w:hAnsi="Times New Roman"/>
          <w:b/>
          <w:sz w:val="24"/>
        </w:rPr>
        <w:t>6. Data Availability Statement (DAS) &amp; Code Reproducibility</w:t>
      </w:r>
    </w:p>
    <w:p>
      <w:pPr>
        <w:spacing w:after="120" w:line="276" w:lineRule="auto"/>
      </w:pPr>
      <w:r>
        <w:rPr>
          <w:rFonts w:ascii="Times New Roman" w:hAnsi="Times New Roman"/>
          <w:sz w:val="22"/>
        </w:rPr>
        <w:t>All research artifacts supporting the findings of this study are openly accessible to facilitate rigorous verification:</w:t>
      </w:r>
    </w:p>
    <w:p>
      <w:pPr>
        <w:pStyle w:val="ListBullet"/>
        <w:spacing w:after="60" w:line="276" w:lineRule="auto"/>
      </w:pPr>
      <w:r>
        <w:rPr>
          <w:rFonts w:ascii="Times New Roman" w:hAnsi="Times New Roman"/>
          <w:sz w:val="22"/>
        </w:rPr>
        <w:t>**Open GitHub Repository:** `https://github.com/indri007/ThisIsEconomy`</w:t>
      </w:r>
    </w:p>
    <w:p>
      <w:pPr>
        <w:pStyle w:val="ListBullet"/>
        <w:spacing w:after="60" w:line="276" w:lineRule="auto"/>
      </w:pPr>
      <w:r>
        <w:rPr>
          <w:rFonts w:ascii="Times New Roman" w:hAnsi="Times New Roman"/>
          <w:sz w:val="22"/>
        </w:rPr>
        <w:t>**Replication Pipelines:** Fully automated end-to-end Python scripts for transformer inference, group-aware holdout evaluation, minority class hierarchical testing, and canonical SNA edge list calculation.</w:t>
      </w:r>
    </w:p>
    <w:p>
      <w:pPr>
        <w:pStyle w:val="ListBullet"/>
        <w:spacing w:after="60" w:line="276" w:lineRule="auto"/>
      </w:pPr>
      <w:r>
        <w:rPr>
          <w:rFonts w:ascii="Times New Roman" w:hAnsi="Times New Roman"/>
          <w:sz w:val="22"/>
        </w:rPr>
        <w:t>**Annotated Benchmarks:** Full CSV datasets including silver-standard reference annotations and held-out validation sets ($n = 1,058$).</w:t>
      </w:r>
    </w:p>
    <w:p>
      <w:pPr>
        <w:pStyle w:val="ListBullet"/>
        <w:spacing w:after="60" w:line="276" w:lineRule="auto"/>
      </w:pPr>
      <w:r>
        <w:rPr>
          <w:rFonts w:ascii="Times New Roman" w:hAnsi="Times New Roman"/>
          <w:sz w:val="22"/>
        </w:rPr>
        <w:t>**License:** Code is licensed under MIT, and data documentation under Creative Commons Attribution 4.0 International (CC-BY 4.0).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