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jc w:val="center"/>
      </w:pPr>
      <w:r>
        <w:rPr>
          <w:rFonts w:ascii="Times New Roman" w:hAnsi="Times New Roman"/>
          <w:b/>
          <w:color w:val="0F172A"/>
          <w:sz w:val="32"/>
        </w:rPr>
        <w:t>COVER LETTER FOR SUBMISSION TO JOURNAL OF COMPUTER-MEDIATED COMMUNICATION</w:t>
      </w:r>
    </w:p>
    <w:p/>
    <w:p>
      <w:pPr>
        <w:spacing w:after="120" w:line="276" w:lineRule="auto"/>
      </w:pPr>
      <w:r>
        <w:rPr>
          <w:rFonts w:ascii="Times New Roman" w:hAnsi="Times New Roman"/>
          <w:b w:val="0"/>
          <w:sz w:val="22"/>
        </w:rPr>
        <w:t>**Date:** March 20, 2026</w:t>
      </w:r>
    </w:p>
    <w:p/>
    <w:p>
      <w:pPr>
        <w:spacing w:after="120" w:line="276" w:lineRule="auto"/>
      </w:pPr>
      <w:r>
        <w:rPr>
          <w:rFonts w:ascii="Times New Roman" w:hAnsi="Times New Roman"/>
          <w:b w:val="0"/>
          <w:sz w:val="22"/>
        </w:rPr>
        <w:t>**To:**</w:t>
      </w:r>
    </w:p>
    <w:p>
      <w:pPr>
        <w:spacing w:after="120" w:line="276" w:lineRule="auto"/>
      </w:pPr>
      <w:r>
        <w:rPr>
          <w:rFonts w:ascii="Times New Roman" w:hAnsi="Times New Roman"/>
          <w:sz w:val="22"/>
        </w:rPr>
        <w:t>**Editor-in-Chief &amp; Editorial Board**</w:t>
      </w:r>
    </w:p>
    <w:p>
      <w:pPr>
        <w:spacing w:after="120" w:line="276" w:lineRule="auto"/>
      </w:pPr>
      <w:r>
        <w:rPr>
          <w:rFonts w:ascii="Times New Roman" w:hAnsi="Times New Roman"/>
          <w:sz w:val="22"/>
        </w:rPr>
        <w:t>*Journal of Computer-Mediated Communication* (JCMC)</w:t>
      </w:r>
    </w:p>
    <w:p>
      <w:pPr>
        <w:spacing w:after="120" w:line="276" w:lineRule="auto"/>
      </w:pPr>
      <w:r>
        <w:rPr>
          <w:rFonts w:ascii="Times New Roman" w:hAnsi="Times New Roman"/>
          <w:sz w:val="22"/>
        </w:rPr>
        <w:t>Oxford University Press on behalf of the International Communication Association (ICA)</w:t>
      </w:r>
    </w:p>
    <w:p/>
    <w:p>
      <w:pPr>
        <w:spacing w:after="120" w:line="276" w:lineRule="auto"/>
      </w:pPr>
      <w:r>
        <w:rPr>
          <w:rFonts w:ascii="Times New Roman" w:hAnsi="Times New Roman"/>
          <w:b w:val="0"/>
          <w:sz w:val="22"/>
        </w:rPr>
        <w:t>**Subject:** Submission of Original Research Article for Double-Blind Peer Review</w:t>
      </w:r>
    </w:p>
    <w:p/>
    <w:p>
      <w:pPr>
        <w:spacing w:before="80" w:after="80"/>
      </w:pPr>
      <w:r>
        <w:rPr>
          <w:color w:val="94A3B8"/>
        </w:rPr>
        <w:t>――――――――――――――――――――――――――――――――――――――――</w:t>
      </w:r>
    </w:p>
    <w:p/>
    <w:p>
      <w:pPr>
        <w:spacing w:after="120" w:line="276" w:lineRule="auto"/>
      </w:pPr>
      <w:r>
        <w:rPr>
          <w:rFonts w:ascii="Times New Roman" w:hAnsi="Times New Roman"/>
          <w:sz w:val="22"/>
        </w:rPr>
        <w:t>Dear Editor-in-Chief and Members of the Editorial Board,</w:t>
      </w:r>
    </w:p>
    <w:p/>
    <w:p>
      <w:pPr>
        <w:spacing w:after="120" w:line="276" w:lineRule="auto"/>
      </w:pPr>
      <w:r>
        <w:rPr>
          <w:rFonts w:ascii="Times New Roman" w:hAnsi="Times New Roman"/>
          <w:sz w:val="22"/>
        </w:rPr>
        <w:t>We are delighted to submit our original research manuscript entitled:</w:t>
      </w:r>
    </w:p>
    <w:p/>
    <w:p>
      <w:pPr>
        <w:spacing w:after="120" w:line="276" w:lineRule="auto"/>
      </w:pPr>
      <w:r>
        <w:rPr>
          <w:rFonts w:ascii="Times New Roman" w:hAnsi="Times New Roman"/>
          <w:sz w:val="22"/>
        </w:rPr>
        <w:t>**"Digital Sarcasm, Networked Affect, and the Algorithmic Oracle: A Computational Communication Forensic of Citizen Dissent and the Phygital Governance Disconnect on Platform X"**</w:t>
      </w:r>
    </w:p>
    <w:p/>
    <w:p>
      <w:pPr>
        <w:spacing w:after="120" w:line="276" w:lineRule="auto"/>
      </w:pPr>
      <w:r>
        <w:rPr>
          <w:rFonts w:ascii="Times New Roman" w:hAnsi="Times New Roman"/>
          <w:sz w:val="22"/>
        </w:rPr>
        <w:t>for consideration as an Original Research Article in the *Journal of Computer-Mediated Communication* (JCMC).</w:t>
      </w:r>
    </w:p>
    <w:p/>
    <w:p>
      <w:pPr>
        <w:spacing w:before="160" w:after="80"/>
      </w:pPr>
      <w:r>
        <w:rPr>
          <w:rFonts w:ascii="Times New Roman" w:hAnsi="Times New Roman"/>
          <w:b/>
          <w:sz w:val="24"/>
        </w:rPr>
        <w:t>Research Significance and Alignment with JCMC Scope</w:t>
      </w:r>
    </w:p>
    <w:p>
      <w:pPr>
        <w:spacing w:after="120" w:line="276" w:lineRule="auto"/>
      </w:pPr>
      <w:r>
        <w:rPr>
          <w:rFonts w:ascii="Times New Roman" w:hAnsi="Times New Roman"/>
          <w:sz w:val="22"/>
        </w:rPr>
        <w:t>In an era where algorithmic mediation, artificial intelligence agents, and non-verbal computer-mediated tokens redefine political discourse, scholarship in Computer-Mediated Communication (CMC) urgently requires empirical frameworks bridging micro-linguistic nuance with macro-network architecture.</w:t>
      </w:r>
    </w:p>
    <w:p/>
    <w:p>
      <w:pPr>
        <w:spacing w:after="120" w:line="276" w:lineRule="auto"/>
      </w:pPr>
      <w:r>
        <w:rPr>
          <w:rFonts w:ascii="Times New Roman" w:hAnsi="Times New Roman"/>
          <w:sz w:val="22"/>
        </w:rPr>
        <w:t>Our study investigates citizen reaction to Indonesia's multi-billion-dollar Free Nutritious Meal (*Makan Bergizi Gratis* / MBG) program on Platform X ($N = 9,862$). We make three primary theoretical and empirical contributions that align squarely with JCMC's mission:</w:t>
      </w:r>
    </w:p>
    <w:p>
      <w:pPr>
        <w:pStyle w:val="ListNumber"/>
        <w:spacing w:after="60" w:line="276" w:lineRule="auto"/>
      </w:pPr>
      <w:r>
        <w:rPr>
          <w:rFonts w:ascii="Times New Roman" w:hAnsi="Times New Roman"/>
          <w:sz w:val="22"/>
        </w:rPr>
        <w:t>**Paralinguistic Sarcasm Inversion &amp; Affective CMC:** We examine how non-verbal digital affordances (sarcastic emojis such as 🤡, 🤮, 😭) invert literal laudatory text into visceral moral resistance, addressing pragmatic incongruence that conventional sentiment analysis consistently misinterprets.</w:t>
      </w:r>
    </w:p>
    <w:p>
      <w:pPr>
        <w:pStyle w:val="ListNumber"/>
        <w:spacing w:after="60" w:line="276" w:lineRule="auto"/>
      </w:pPr>
      <w:r>
        <w:rPr>
          <w:rFonts w:ascii="Times New Roman" w:hAnsi="Times New Roman"/>
          <w:sz w:val="22"/>
        </w:rPr>
        <w:t>**The Algorithmic Oracle &amp; Human-Machine Communication (HMC):** We reveal an acute structural power asymmetry where official government accounts manifested high authority but zero conversational reciprocity, creating an institutional communication vacuum. Consequently, citizens bypassed human governance to petition an autonomous generative AI agent (`@grok`, out-degree = 42) as an objective "Algorithmic Oracle" to adjudicate public policy facts.</w:t>
      </w:r>
    </w:p>
    <w:p>
      <w:pPr>
        <w:pStyle w:val="ListNumber"/>
        <w:spacing w:after="60" w:line="276" w:lineRule="auto"/>
      </w:pPr>
      <w:r>
        <w:rPr>
          <w:rFonts w:ascii="Times New Roman" w:hAnsi="Times New Roman"/>
          <w:sz w:val="22"/>
        </w:rPr>
        <w:t>**The Phygital Governance Disconnect:** Combining Aspect-Based Sentiment Analysis (ABSA) and Plutchik emotion modeling, we demonstrate how physical operational breakdowns (food poisoning, procurement corruption, logistical failures) triggered widespread digital moral disgust ($98.14\%$), severing public trust.</w:t>
      </w:r>
    </w:p>
    <w:p/>
    <w:p>
      <w:pPr>
        <w:spacing w:before="160" w:after="80"/>
      </w:pPr>
      <w:r>
        <w:rPr>
          <w:rFonts w:ascii="Times New Roman" w:hAnsi="Times New Roman"/>
          <w:b/>
          <w:sz w:val="24"/>
        </w:rPr>
        <w:t>Methodological Rigor and Empirical Accountability</w:t>
      </w:r>
    </w:p>
    <w:p>
      <w:pPr>
        <w:pStyle w:val="ListBullet"/>
        <w:spacing w:after="60" w:line="276" w:lineRule="auto"/>
      </w:pPr>
      <w:r>
        <w:rPr>
          <w:rFonts w:ascii="Times New Roman" w:hAnsi="Times New Roman"/>
          <w:sz w:val="22"/>
        </w:rPr>
        <w:t>**State-of-the-Art Transformer Architecture:** Fine-tuned `indobenchmark/indobert-base-p2` with monotonic training loss reduction ($1.8708 \rightarrow 0.6974$) and $223.3$ posts/sec GPU inference throughput.</w:t>
      </w:r>
    </w:p>
    <w:p>
      <w:pPr>
        <w:pStyle w:val="ListBullet"/>
        <w:spacing w:after="60" w:line="276" w:lineRule="auto"/>
      </w:pPr>
      <w:r>
        <w:rPr>
          <w:rFonts w:ascii="Times New Roman" w:hAnsi="Times New Roman"/>
          <w:sz w:val="22"/>
        </w:rPr>
        <w:t>**Empirical Held-Out Validation &amp; Error Dissection:** Evaluated on an isolated group-aware held-out split ($n = 1,058$, silver-standard references) achieving **75.99% accuracy** and **Macro-F1 of 0.4535** across 6 active classes, with explicit documentation of minority class sparsity and methodological boundaries.</w:t>
      </w:r>
    </w:p>
    <w:p>
      <w:pPr>
        <w:pStyle w:val="ListBullet"/>
        <w:spacing w:after="60" w:line="276" w:lineRule="auto"/>
      </w:pPr>
      <w:r>
        <w:rPr>
          <w:rFonts w:ascii="Times New Roman" w:hAnsi="Times New Roman"/>
          <w:sz w:val="22"/>
        </w:rPr>
        <w:t>**Hierarchical Taxonomy for Minority Imbalance:** We addressed extreme corpus imbalance through linguistic error dissection and a 3-tier functional valence taxonomy, achieving **Macro-F1 of 0.7522 (75.22%)** and accuracy of **76.56%**.</w:t>
      </w:r>
    </w:p>
    <w:p>
      <w:pPr>
        <w:pStyle w:val="ListBullet"/>
        <w:spacing w:after="60" w:line="276" w:lineRule="auto"/>
      </w:pPr>
      <w:r>
        <w:rPr>
          <w:rFonts w:ascii="Times New Roman" w:hAnsi="Times New Roman"/>
          <w:sz w:val="22"/>
        </w:rPr>
        <w:t>**Canonical Network Topology:** Mathematical directed network analysis ($|V| = 971$, $|E| = 666$, reciprocity = $1.21\%$, modularity $Q = 0.9837$ across $332$ clusters).</w:t>
      </w:r>
    </w:p>
    <w:p/>
    <w:p>
      <w:pPr>
        <w:spacing w:before="160" w:after="80"/>
      </w:pPr>
      <w:r>
        <w:rPr>
          <w:rFonts w:ascii="Times New Roman" w:hAnsi="Times New Roman"/>
          <w:b/>
          <w:sz w:val="24"/>
        </w:rPr>
        <w:t>Formal Editorial Declarations</w:t>
      </w:r>
    </w:p>
    <w:p>
      <w:pPr>
        <w:pStyle w:val="ListBullet"/>
        <w:spacing w:after="60" w:line="276" w:lineRule="auto"/>
      </w:pPr>
      <w:r>
        <w:rPr>
          <w:rFonts w:ascii="Times New Roman" w:hAnsi="Times New Roman"/>
          <w:sz w:val="22"/>
        </w:rPr>
        <w:t>**Originality &amp; Exclusivity:** This manuscript represents original research that has not been published elsewhere and is not currently under consideration by any other journal.</w:t>
      </w:r>
    </w:p>
    <w:p>
      <w:pPr>
        <w:pStyle w:val="ListBullet"/>
        <w:spacing w:after="60" w:line="276" w:lineRule="auto"/>
      </w:pPr>
      <w:r>
        <w:rPr>
          <w:rFonts w:ascii="Times New Roman" w:hAnsi="Times New Roman"/>
          <w:sz w:val="22"/>
        </w:rPr>
        <w:t>**Double-Blind Review Compliance:** The main manuscript is completely anonymized. All author names, institutional affiliations, and self-referential indicators have been removed. Author details are provided exclusively in the separate Title Page.</w:t>
      </w:r>
    </w:p>
    <w:p>
      <w:pPr>
        <w:pStyle w:val="ListBullet"/>
        <w:spacing w:after="60" w:line="276" w:lineRule="auto"/>
      </w:pPr>
      <w:r>
        <w:rPr>
          <w:rFonts w:ascii="Times New Roman" w:hAnsi="Times New Roman"/>
          <w:sz w:val="22"/>
        </w:rPr>
        <w:t>**Open Science &amp; Reproducibility:** In full compliance with ICA open science standards, all replication scripts, canonical network edge lists, silver-standard benchmark datasets, and model evaluation reports are permanently hosted at our public repository: `https://github.com/indri007/ThisIsEconomy`.</w:t>
      </w:r>
    </w:p>
    <w:p>
      <w:pPr>
        <w:pStyle w:val="ListBullet"/>
        <w:spacing w:after="60" w:line="276" w:lineRule="auto"/>
      </w:pPr>
      <w:r>
        <w:rPr>
          <w:rFonts w:ascii="Times New Roman" w:hAnsi="Times New Roman"/>
          <w:sz w:val="22"/>
        </w:rPr>
        <w:t>**Ethical Compliance:** Data collection adhered strictly to Platform X Developer Terms of Service and academic data ethics guidelines for public digital footprints. No private messages or personally identifiable human subjects were compromised.</w:t>
      </w:r>
    </w:p>
    <w:p>
      <w:pPr>
        <w:pStyle w:val="ListBullet"/>
        <w:spacing w:after="60" w:line="276" w:lineRule="auto"/>
      </w:pPr>
      <w:r>
        <w:rPr>
          <w:rFonts w:ascii="Times New Roman" w:hAnsi="Times New Roman"/>
          <w:sz w:val="22"/>
        </w:rPr>
        <w:t>**Author Approval:** All co-authors have actively contributed to and approved this submission.</w:t>
      </w:r>
    </w:p>
    <w:p/>
    <w:p>
      <w:pPr>
        <w:spacing w:after="120" w:line="276" w:lineRule="auto"/>
      </w:pPr>
      <w:r>
        <w:rPr>
          <w:rFonts w:ascii="Times New Roman" w:hAnsi="Times New Roman"/>
          <w:sz w:val="22"/>
        </w:rPr>
        <w:t>We thank you for considering our work and look forward to the constructive review of the editorial board and peer reviewers.</w:t>
      </w:r>
    </w:p>
    <w:p/>
    <w:p>
      <w:pPr>
        <w:spacing w:after="120" w:line="276" w:lineRule="auto"/>
      </w:pPr>
      <w:r>
        <w:rPr>
          <w:rFonts w:ascii="Times New Roman" w:hAnsi="Times New Roman"/>
          <w:sz w:val="22"/>
        </w:rPr>
        <w:t>Sincerely yours,</w:t>
      </w:r>
    </w:p>
    <w:p/>
    <w:p>
      <w:pPr>
        <w:spacing w:after="120" w:line="276" w:lineRule="auto"/>
      </w:pPr>
      <w:r>
        <w:rPr>
          <w:rFonts w:ascii="Times New Roman" w:hAnsi="Times New Roman"/>
          <w:sz w:val="22"/>
        </w:rPr>
        <w:t>**Indri Anjar Kartika Sari** *(Corresponding Author)*</w:t>
      </w:r>
    </w:p>
    <w:p>
      <w:pPr>
        <w:spacing w:after="120" w:line="276" w:lineRule="auto"/>
      </w:pPr>
      <w:r>
        <w:rPr>
          <w:rFonts w:ascii="Times New Roman" w:hAnsi="Times New Roman"/>
          <w:sz w:val="22"/>
        </w:rPr>
        <w:t>Department of Communication Science, Faculty of Social and Political Sciences</w:t>
      </w:r>
    </w:p>
    <w:p>
      <w:pPr>
        <w:spacing w:after="120" w:line="276" w:lineRule="auto"/>
      </w:pPr>
      <w:r>
        <w:rPr>
          <w:rFonts w:ascii="Times New Roman" w:hAnsi="Times New Roman"/>
          <w:sz w:val="22"/>
        </w:rPr>
        <w:t>Universitas Pembangunan Nasional 'Veteran' Jawa Timur</w:t>
      </w:r>
    </w:p>
    <w:p>
      <w:pPr>
        <w:spacing w:after="120" w:line="276" w:lineRule="auto"/>
      </w:pPr>
      <w:r>
        <w:rPr>
          <w:rFonts w:ascii="Times New Roman" w:hAnsi="Times New Roman"/>
          <w:sz w:val="22"/>
        </w:rPr>
        <w:t>Surabaya, 60294, Indonesia</w:t>
      </w:r>
    </w:p>
    <w:p>
      <w:pPr>
        <w:spacing w:after="120" w:line="276" w:lineRule="auto"/>
      </w:pPr>
      <w:r>
        <w:rPr>
          <w:rFonts w:ascii="Times New Roman" w:hAnsi="Times New Roman"/>
          <w:sz w:val="22"/>
        </w:rPr>
        <w:t>Email: `indrianjar@gmail.com` | ORCID: [0009-0002-8419-7231](https://orcid.org/0009-0002-8419-7231)</w:t>
      </w:r>
    </w:p>
    <w:p/>
    <w:p>
      <w:pPr>
        <w:spacing w:after="120" w:line="276" w:lineRule="auto"/>
      </w:pPr>
      <w:r>
        <w:rPr>
          <w:rFonts w:ascii="Times New Roman" w:hAnsi="Times New Roman"/>
          <w:sz w:val="22"/>
        </w:rPr>
        <w:t>*On behalf of Co-Authors:*</w:t>
      </w:r>
    </w:p>
    <w:p>
      <w:pPr>
        <w:pStyle w:val="ListBullet"/>
        <w:spacing w:after="60" w:line="276" w:lineRule="auto"/>
      </w:pPr>
      <w:r>
        <w:rPr>
          <w:rFonts w:ascii="Times New Roman" w:hAnsi="Times New Roman"/>
          <w:sz w:val="22"/>
        </w:rPr>
        <w:t>**Dr. Catur Suratnoaji, M.Si.** (UPN Veteran Jawa Timur, ORCID: 0000-0002-8596-3914)</w:t>
      </w:r>
    </w:p>
    <w:p>
      <w:pPr>
        <w:pStyle w:val="ListBullet"/>
        <w:spacing w:after="60" w:line="276" w:lineRule="auto"/>
      </w:pPr>
      <w:r>
        <w:rPr>
          <w:rFonts w:ascii="Times New Roman" w:hAnsi="Times New Roman"/>
          <w:sz w:val="22"/>
        </w:rPr>
        <w:t>**Dr. Agus Widiyarta, S.Sos., M.Si.** (UPN Veteran Jawa Timur, ORCID: 0000-0002-7104-5820)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