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720" w:after="360"/>
        <w:jc w:val="center"/>
      </w:pPr>
      <w:r>
        <w:rPr>
          <w:rFonts w:ascii="Times New Roman" w:hAnsi="Times New Roman"/>
          <w:b/>
          <w:i w:val="0"/>
          <w:sz w:val="32"/>
        </w:rPr>
        <w:t>Digital Sarcasm, Networked Affect, and the Algorithmic Oracle: A Computational Communication Forensic of Citizen Dissent and the Phygital Governance Disconnect on Platform X</w:t>
      </w:r>
    </w:p>
    <w:p>
      <w:pPr>
        <w:spacing w:line="360" w:lineRule="auto" w:after="12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8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Journal</w:t>
      </w:r>
      <w:r>
        <w:rPr>
          <w:rFonts w:ascii="Times New Roman" w:hAnsi="Times New Roman"/>
          <w:b w:val="0"/>
          <w:i/>
          <w:color w:val="334155"/>
          <w:sz w:val="21"/>
        </w:rPr>
        <w:t xml:space="preserve">: </w:t>
      </w:r>
      <w:r>
        <w:rPr>
          <w:rFonts w:ascii="Times New Roman" w:hAnsi="Times New Roman"/>
          <w:b w:val="0"/>
          <w:i/>
          <w:color w:val="334155"/>
          <w:sz w:val="21"/>
        </w:rPr>
        <w:t>Journal of Computer-Mediated Communication</w:t>
      </w:r>
      <w:r>
        <w:rPr>
          <w:rFonts w:ascii="Times New Roman" w:hAnsi="Times New Roman"/>
          <w:b w:val="0"/>
          <w:i/>
          <w:color w:val="334155"/>
          <w:sz w:val="21"/>
        </w:rPr>
        <w:t xml:space="preserve"> (Oxford University Press / International Communication Association)</w:t>
      </w:r>
    </w:p>
    <w:p>
      <w:pPr>
        <w:spacing w:line="276" w:lineRule="auto" w:before="40" w:after="80"/>
        <w:ind w:left="720" w:right="720"/>
      </w:pPr>
      <w:r>
        <w:rPr>
          <w:rFonts w:ascii="Times New Roman" w:hAnsi="Times New Roman"/>
          <w:b/>
          <w:i/>
          <w:color w:val="334155"/>
          <w:sz w:val="21"/>
        </w:rPr>
        <w:t>Article Type</w:t>
      </w:r>
      <w:r>
        <w:rPr>
          <w:rFonts w:ascii="Times New Roman" w:hAnsi="Times New Roman"/>
          <w:b w:val="0"/>
          <w:i/>
          <w:color w:val="334155"/>
          <w:sz w:val="21"/>
        </w:rPr>
        <w:t>: Original Research Article</w:t>
      </w:r>
    </w:p>
    <w:p>
      <w:pPr>
        <w:spacing w:line="276" w:lineRule="auto" w:before="40" w:after="80"/>
        <w:ind w:left="720" w:right="720"/>
      </w:pPr>
      <w:r>
        <w:rPr>
          <w:rFonts w:ascii="Times New Roman" w:hAnsi="Times New Roman"/>
          <w:b/>
          <w:i/>
          <w:color w:val="334155"/>
          <w:sz w:val="21"/>
        </w:rPr>
        <w:t>SJR Ranking</w:t>
      </w:r>
      <w:r>
        <w:rPr>
          <w:rFonts w:ascii="Times New Roman" w:hAnsi="Times New Roman"/>
          <w:b w:val="0"/>
          <w:i/>
          <w:color w:val="334155"/>
          <w:sz w:val="21"/>
        </w:rPr>
        <w:t>: Q1 in Communication (CiteScore 12.8, 2025; APC Waived by Publisher)</w:t>
      </w:r>
    </w:p>
    <w:p>
      <w:pPr>
        <w:spacing w:line="276" w:lineRule="auto" w:before="40" w:after="80"/>
        <w:ind w:left="720" w:right="720"/>
      </w:pPr>
      <w:r>
        <w:rPr>
          <w:rFonts w:ascii="Times New Roman" w:hAnsi="Times New Roman"/>
          <w:b/>
          <w:i/>
          <w:color w:val="334155"/>
          <w:sz w:val="21"/>
        </w:rPr>
        <w:t>Estimated Length</w:t>
      </w:r>
      <w:r>
        <w:rPr>
          <w:rFonts w:ascii="Times New Roman" w:hAnsi="Times New Roman"/>
          <w:b w:val="0"/>
          <w:i/>
          <w:color w:val="334155"/>
          <w:sz w:val="21"/>
        </w:rPr>
        <w:t>: ~16,200 words (52 standard double-spaced academic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Computer-Mediated Communication (CMC), Human-Machine Communication (HMC), Algorithmic Oracle, Paralinguistic Affordances, Networked Affect, Phygital Gap, IndoBERT Transformer, Social Network Analysis.</w:t>
      </w:r>
    </w:p>
    <w:p>
      <w:pPr>
        <w:spacing w:line="480" w:lineRule="auto" w:before="360" w:after="120"/>
        <w:jc w:val="center"/>
      </w:pPr>
      <w:r>
        <w:rPr>
          <w:rFonts w:ascii="Times New Roman" w:hAnsi="Times New Roman"/>
          <w:b/>
          <w:i w:val="0"/>
          <w:sz w:val="28"/>
        </w:rPr>
        <w:t>Abstract</w:t>
      </w:r>
    </w:p>
    <w:p>
      <w:pPr>
        <w:spacing w:line="480" w:lineRule="auto" w:before="0" w:after="0"/>
        <w:ind w:firstLine="0"/>
      </w:pPr>
      <w:r>
        <w:rPr>
          <w:rFonts w:ascii="Times New Roman" w:hAnsi="Times New Roman"/>
          <w:b w:val="0"/>
          <w:i w:val="0"/>
          <w:sz w:val="24"/>
        </w:rPr>
        <w:t>Indonesia’s Free Nutritious Meal (</w:t>
      </w:r>
      <w:r>
        <w:rPr>
          <w:rFonts w:ascii="Times New Roman" w:hAnsi="Times New Roman"/>
          <w:b w:val="0"/>
          <w:i/>
          <w:sz w:val="24"/>
        </w:rPr>
        <w:t>Makan Bergizi Gratis</w:t>
      </w:r>
      <w:r>
        <w:rPr>
          <w:rFonts w:ascii="Times New Roman" w:hAnsi="Times New Roman"/>
          <w:b w:val="0"/>
          <w:i w:val="0"/>
          <w:sz w:val="24"/>
        </w:rPr>
        <w:t xml:space="preserve">, MBG) program—a flagship nationwide public health and human capital intervention backed by an indicative state budget exceeding IDR 268 trillion—triggered an intense wave of sarcastic, ironic, and critical digital discourse on the social media platform X (formerly Twitter) during its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fine-tuned IndoBERT for 9-class granular emotion classification and sarcasm identification based on pragmatic text-emoji incongruence; (2) directed Social Network Analysis (SNA) using NetworkX with Louvain community detection and degree assortativity; and (3) Aspect-Based Sentiment Analysis (ABSA) targeting three operational facets of policy delivery: Budget &amp; Procurement, Logistics &amp; Distribution, and Nutritional Quality. The official empirical corpus comprises 971 unique actor nodes connected through 692 directed interaction edges, complemented by 3,395 domain-specific tweets. Topological analysis reveals extreme structural fragmentation: a Louvain modularity score of $Q = 0.9837$, 341 weakly connected components, an overall graph density of $0.000707$, a dyadic reciprocity of merely $1.20\%$, and a giant component encapsulating only $9.17\%$ of total network actors. The network exhibits a scale-free degree distribution ($\alpha = 2.168$) and disassortative mixing ($r = -0.0847$), demonstrating a stark hub-and-spoke monologue dynamic. Crucially, the platform-native artificial intelligence account </w:t>
      </w:r>
      <w:r>
        <w:rPr>
          <w:rFonts w:ascii="Courier New" w:hAnsi="Courier New"/>
          <w:sz w:val="23"/>
        </w:rPr>
        <w:t>@grok</w:t>
      </w:r>
      <w:r>
        <w:rPr>
          <w:rFonts w:ascii="Times New Roman" w:hAnsi="Times New Roman"/>
          <w:b w:val="0"/>
          <w:i w:val="0"/>
          <w:sz w:val="24"/>
        </w:rPr>
        <w:t xml:space="preserve"> and the presidential account </w:t>
      </w:r>
      <w:r>
        <w:rPr>
          <w:rFonts w:ascii="Courier New" w:hAnsi="Courier New"/>
          <w:sz w:val="23"/>
        </w:rPr>
        <w:t>@prabowo</w:t>
      </w:r>
      <w:r>
        <w:rPr>
          <w:rFonts w:ascii="Times New Roman" w:hAnsi="Times New Roman"/>
          <w:b w:val="0"/>
          <w:i w:val="0"/>
          <w:sz w:val="24"/>
        </w:rPr>
        <w:t xml:space="preserve"> emerged as the two highest-centrality actors—with </w:t>
      </w:r>
      <w:r>
        <w:rPr>
          <w:rFonts w:ascii="Courier New" w:hAnsi="Courier New"/>
          <w:sz w:val="23"/>
        </w:rPr>
        <w:t>@grok</w:t>
      </w:r>
      <w:r>
        <w:rPr>
          <w:rFonts w:ascii="Times New Roman" w:hAnsi="Times New Roman"/>
          <w:b w:val="0"/>
          <w:i w:val="0"/>
          <w:sz w:val="24"/>
        </w:rPr>
        <w:t xml:space="preserve"> acting as an actively solicited epistemic oracle and </w:t>
      </w:r>
      <w:r>
        <w:rPr>
          <w:rFonts w:ascii="Courier New" w:hAnsi="Courier New"/>
          <w:sz w:val="23"/>
        </w:rPr>
        <w:t>@prabowo</w:t>
      </w:r>
      <w:r>
        <w:rPr>
          <w:rFonts w:ascii="Times New Roman" w:hAnsi="Times New Roman"/>
          <w:b w:val="0"/>
          <w:i w:val="0"/>
          <w:sz w:val="24"/>
        </w:rPr>
        <w:t xml:space="preserve"> operating as an in-degree sink for public grievances. ABSA results demonstrate that </w:t>
      </w:r>
      <w:r>
        <w:rPr>
          <w:rFonts w:ascii="Times New Roman" w:hAnsi="Times New Roman"/>
          <w:b w:val="0"/>
          <w:i/>
          <w:sz w:val="24"/>
        </w:rPr>
        <w:t>disgust</w:t>
      </w:r>
      <w:r>
        <w:rPr>
          <w:rFonts w:ascii="Times New Roman" w:hAnsi="Times New Roman"/>
          <w:b w:val="0"/>
          <w:i w:val="0"/>
          <w:sz w:val="24"/>
        </w:rPr>
        <w:t xml:space="preserve"> constitutes the overwhelmingly dominant affective orientation across all three facets: Logistics &amp; Distribution ($78.91\%$), Budget &amp; Procurement ($77.01\%$), and Nutritional Quality ($71.13\%$), with Nutritional Quality generating the largest absolute discursive volume ($1,344$ tweets). We synthesize these empirical findings through the diagnostic lens of Marketing 6.0’s </w:t>
      </w:r>
      <w:r>
        <w:rPr>
          <w:rFonts w:ascii="Times New Roman" w:hAnsi="Times New Roman"/>
          <w:b w:val="0"/>
          <w:i/>
          <w:sz w:val="24"/>
        </w:rPr>
        <w:t>phygital gap</w:t>
      </w:r>
      <w:r>
        <w:rPr>
          <w:rFonts w:ascii="Times New Roman" w:hAnsi="Times New Roman"/>
          <w:b w:val="0"/>
          <w:i w:val="0"/>
          <w:sz w:val="24"/>
        </w:rPr>
        <w:t>—the communicative rift between high-salience digital policy branding and flawed physical service touchpoints. Digital sarcasm operates not as frivolous noise, but as a sophisticated coping mechanism and paralinguistic shield enabling citizens to register sharp moral critique while navigating platform algorithms and surveillance. The study concludes with actionable institutional blueprints for responsive governance, algorithmic risk management, and restorative public health communication.</w:t>
      </w:r>
    </w:p>
    <w:p>
      <w:pPr>
        <w:spacing w:line="480" w:lineRule="auto" w:before="360" w:after="120"/>
        <w:jc w:val="center"/>
      </w:pPr>
      <w:r>
        <w:rPr>
          <w:rFonts w:ascii="Times New Roman" w:hAnsi="Times New Roman"/>
          <w:b/>
          <w:i w:val="0"/>
          <w:sz w:val="28"/>
        </w:rPr>
        <w:t>1. Introduction</w:t>
      </w:r>
    </w:p>
    <w:p>
      <w:pPr>
        <w:spacing w:line="480" w:lineRule="auto" w:before="280" w:after="80"/>
        <w:ind w:firstLine="0"/>
        <w:jc w:val="left"/>
      </w:pPr>
      <w:r>
        <w:rPr>
          <w:rFonts w:ascii="Times New Roman" w:hAnsi="Times New Roman"/>
          <w:b/>
          <w:i w:val="0"/>
          <w:sz w:val="25"/>
        </w:rPr>
        <w:t>1.1 Background and Problem Statement</w:t>
      </w:r>
    </w:p>
    <w:p>
      <w:pPr>
        <w:spacing w:line="480" w:lineRule="auto" w:before="0" w:after="0"/>
        <w:ind w:firstLine="720"/>
      </w:pPr>
      <w:r>
        <w:rPr>
          <w:rFonts w:ascii="Times New Roman" w:hAnsi="Times New Roman"/>
          <w:b w:val="0"/>
          <w:i w:val="0"/>
          <w:sz w:val="24"/>
        </w:rPr>
        <w:t xml:space="preserve">Public policy initiatives of monumental fiscal scale inevitably trigger communicative reverberations that rival their operational complexity. In late 2024 and early 2026, the Government of Indonesia embarked upon one of the most ambitious social welfare programs in modern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initiative. Positioned as the foundational pillar of the national development agenda toward </w:t>
      </w:r>
      <w:r>
        <w:rPr>
          <w:rFonts w:ascii="Times New Roman" w:hAnsi="Times New Roman"/>
          <w:b w:val="0"/>
          <w:i/>
          <w:sz w:val="24"/>
        </w:rPr>
        <w:t>Indonesia Emas</w:t>
      </w:r>
      <w:r>
        <w:rPr>
          <w:rFonts w:ascii="Times New Roman" w:hAnsi="Times New Roman"/>
          <w:b w:val="0"/>
          <w:i w:val="0"/>
          <w:sz w:val="24"/>
        </w:rPr>
        <w:t xml:space="preserve">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rFonts w:ascii="Times New Roman" w:hAnsi="Times New Roman"/>
          <w:b w:val="0"/>
          <w:i/>
          <w:sz w:val="24"/>
        </w:rPr>
        <w:t>Badan Gizi Nasional</w:t>
      </w:r>
      <w:r>
        <w:rPr>
          <w:rFonts w:ascii="Times New Roman" w:hAnsi="Times New Roman"/>
          <w:b w:val="0"/>
          <w:i w:val="0"/>
          <w:sz w:val="24"/>
        </w:rPr>
        <w:t>, BGN) and economic ministries announced a technical reduction of IDR 67 trillion from the program's upper ceiling—explaining the revision as a prudent reallocation of unabsorbed contingency funds—public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March–May 2026 implementation window:</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temporary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suspended into May 2026 due to hygiene and standard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High-profile, viral outbreaks of acute foodborne illness and mass food poisoning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Public controversies regarding the importation of food containers (</w:t>
      </w:r>
      <w:r>
        <w:rPr>
          <w:rFonts w:ascii="Times New Roman" w:hAnsi="Times New Roman"/>
          <w:b w:val="0"/>
          <w:i/>
          <w:sz w:val="24"/>
        </w:rPr>
        <w:t>ompreng</w:t>
      </w:r>
      <w:r>
        <w:rPr>
          <w:rFonts w:ascii="Times New Roman" w:hAnsi="Times New Roman"/>
          <w:b w:val="0"/>
          <w:i w:val="0"/>
          <w:sz w:val="24"/>
        </w:rPr>
        <w:t>) from foreign manufacturers, alongside allegations of "fictitious SPPGs" and political favoritism in vendor selection.</w:t>
      </w:r>
    </w:p>
    <w:p>
      <w:pPr>
        <w:spacing w:line="480" w:lineRule="auto" w:before="0" w:after="0"/>
        <w:ind w:firstLine="720"/>
      </w:pPr>
      <w:r>
        <w:rPr>
          <w:rFonts w:ascii="Times New Roman" w:hAnsi="Times New Roman"/>
          <w:b w:val="0"/>
          <w:i w:val="0"/>
          <w:sz w:val="24"/>
        </w:rP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line="480" w:lineRule="auto" w:before="280" w:after="80"/>
        <w:ind w:firstLine="0"/>
        <w:jc w:val="left"/>
      </w:pPr>
      <w:r>
        <w:rPr>
          <w:rFonts w:ascii="Times New Roman" w:hAnsi="Times New Roman"/>
          <w:b/>
          <w:i w:val="0"/>
          <w:sz w:val="25"/>
        </w:rPr>
        <w:t>1.2 Digital Sarcasm as a Methodological and Communicative Problem</w:t>
      </w:r>
    </w:p>
    <w:p>
      <w:pPr>
        <w:spacing w:line="480" w:lineRule="auto" w:before="0" w:after="0"/>
        <w:ind w:firstLine="720"/>
      </w:pPr>
      <w:r>
        <w:rPr>
          <w:rFonts w:ascii="Times New Roman" w:hAnsi="Times New Roman"/>
          <w:b w:val="0"/>
          <w:i w:val="0"/>
          <w:sz w:val="24"/>
        </w:rPr>
        <w:t xml:space="preserve">On platform X, public dissatisfaction did not manifest primarily through formal petitions, structured legal challenges, or conventional political argumentation. Instead, it manifested through an overwhelming deluge of </w:t>
      </w:r>
      <w:r>
        <w:rPr>
          <w:rFonts w:ascii="Times New Roman" w:hAnsi="Times New Roman"/>
          <w:b w:val="0"/>
          <w:i/>
          <w:sz w:val="24"/>
        </w:rPr>
        <w:t>digital sarcasm, biting satire, and affective mockery</w:t>
      </w:r>
      <w:r>
        <w:rPr>
          <w:rFonts w:ascii="Times New Roman" w:hAnsi="Times New Roman"/>
          <w:b w:val="0"/>
          <w:i w:val="0"/>
          <w:sz w:val="24"/>
        </w:rP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rFonts w:ascii="Times New Roman" w:hAnsi="Times New Roman"/>
          <w:b w:val="0"/>
          <w:i/>
          <w:sz w:val="24"/>
        </w:rPr>
        <w:t>"What a glorious world-class meal"</w:t>
      </w:r>
      <w:r>
        <w:rPr>
          <w:rFonts w:ascii="Times New Roman" w:hAnsi="Times New Roman"/>
          <w:b w:val="0"/>
          <w:i w:val="0"/>
          <w:sz w:val="24"/>
        </w:rPr>
        <w:t xml:space="preserve"> with clown faces 🤡, upside-down smiles 🙃, or imagery of decayed food items).</w:t>
      </w:r>
    </w:p>
    <w:p>
      <w:pPr>
        <w:spacing w:line="480" w:lineRule="auto" w:before="0" w:after="0"/>
        <w:ind w:firstLine="720"/>
      </w:pPr>
      <w:r>
        <w:rPr>
          <w:rFonts w:ascii="Times New Roman" w:hAnsi="Times New Roman"/>
          <w:b w:val="0"/>
          <w:i w:val="0"/>
          <w:sz w:val="24"/>
        </w:rP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rFonts w:ascii="Times New Roman" w:hAnsi="Times New Roman"/>
          <w:b w:val="0"/>
          <w:i/>
          <w:sz w:val="24"/>
        </w:rPr>
        <w:t>"A magnificent 268-trillion program for our beloved children 🤡"</w:t>
      </w:r>
      <w:r>
        <w:rPr>
          <w:rFonts w:ascii="Times New Roman" w:hAnsi="Times New Roman"/>
          <w:b w:val="0"/>
          <w:i w:val="0"/>
          <w:sz w:val="24"/>
        </w:rPr>
        <w:t>, classical models misclassify the document as strongly positive due to the presence of high-valence tokens (</w:t>
      </w:r>
      <w:r>
        <w:rPr>
          <w:rFonts w:ascii="Times New Roman" w:hAnsi="Times New Roman"/>
          <w:b w:val="0"/>
          <w:i/>
          <w:sz w:val="24"/>
        </w:rPr>
        <w:t>"magnificent"</w:t>
      </w:r>
      <w:r>
        <w:rPr>
          <w:rFonts w:ascii="Times New Roman" w:hAnsi="Times New Roman"/>
          <w:b w:val="0"/>
          <w:i w:val="0"/>
          <w:sz w:val="24"/>
        </w:rPr>
        <w:t xml:space="preserve">, </w:t>
      </w:r>
      <w:r>
        <w:rPr>
          <w:rFonts w:ascii="Times New Roman" w:hAnsi="Times New Roman"/>
          <w:b w:val="0"/>
          <w:i/>
          <w:sz w:val="24"/>
        </w:rPr>
        <w:t>"beloved"</w:t>
      </w:r>
      <w:r>
        <w:rPr>
          <w:rFonts w:ascii="Times New Roman" w:hAnsi="Times New Roman"/>
          <w:b w:val="0"/>
          <w:i w:val="0"/>
          <w:sz w:val="24"/>
        </w:rPr>
        <w:t xml:space="preserve">, </w:t>
      </w:r>
      <w:r>
        <w:rPr>
          <w:rFonts w:ascii="Times New Roman" w:hAnsi="Times New Roman"/>
          <w:b w:val="0"/>
          <w:i/>
          <w:sz w:val="24"/>
        </w:rPr>
        <w:t>"program"</w:t>
      </w:r>
      <w:r>
        <w:rPr>
          <w:rFonts w:ascii="Times New Roman" w:hAnsi="Times New Roman"/>
          <w:b w:val="0"/>
          <w:i w:val="0"/>
          <w:sz w:val="24"/>
        </w:rPr>
        <w:t>). They fail to process the paralinguistic and multimodal inversion signaled by the terminal clown emoji. In political communication, such misclassification distorts intelligence, leading government agencies to systematically underestimate public rage and cynicism.</w:t>
      </w:r>
    </w:p>
    <w:p>
      <w:pPr>
        <w:spacing w:line="480" w:lineRule="auto" w:before="0" w:after="0"/>
        <w:ind w:firstLine="720"/>
      </w:pPr>
      <w:r>
        <w:rPr>
          <w:rFonts w:ascii="Times New Roman" w:hAnsi="Times New Roman"/>
          <w:b w:val="0"/>
          <w:i w:val="0"/>
          <w:sz w:val="24"/>
        </w:rP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line="480" w:lineRule="auto" w:before="280" w:after="80"/>
        <w:ind w:firstLine="0"/>
        <w:jc w:val="left"/>
      </w:pPr>
      <w:r>
        <w:rPr>
          <w:rFonts w:ascii="Times New Roman" w:hAnsi="Times New Roman"/>
          <w:b/>
          <w:i w:val="0"/>
          <w:sz w:val="25"/>
        </w:rPr>
        <w:t>1.3 Research Objectives and Theoretical Focus</w:t>
      </w:r>
    </w:p>
    <w:p>
      <w:pPr>
        <w:spacing w:line="480" w:lineRule="auto" w:before="0" w:after="0"/>
        <w:ind w:firstLine="720"/>
      </w:pPr>
      <w:r>
        <w:rPr>
          <w:rFonts w:ascii="Times New Roman" w:hAnsi="Times New Roman"/>
          <w:b w:val="0"/>
          <w:i w:val="0"/>
          <w:sz w:val="24"/>
        </w:rPr>
        <w:t>To unpack these dynamics, this study establishes five interrelated Research Objectives (RO) and corresponding Research Questions (RQ):</w:t>
      </w:r>
    </w:p>
    <w:p>
      <w:pPr>
        <w:spacing w:line="480" w:lineRule="auto" w:after="40"/>
        <w:ind w:left="720" w:hanging="360"/>
      </w:pPr>
      <w:r>
        <w:rPr>
          <w:b/>
        </w:rPr>
        <w:t xml:space="preserve">• </w:t>
      </w:r>
      <w:r>
        <w:rPr>
          <w:rFonts w:ascii="Times New Roman" w:hAnsi="Times New Roman"/>
          <w:b/>
          <w:i w:val="0"/>
          <w:sz w:val="24"/>
        </w:rPr>
        <w:t>RO1 / RQ1</w:t>
      </w:r>
      <w:r>
        <w:rPr>
          <w:rFonts w:ascii="Times New Roman" w:hAnsi="Times New Roman"/>
          <w:b w:val="0"/>
          <w:i w:val="0"/>
          <w:sz w:val="24"/>
        </w:rPr>
        <w:t>: To decode the linguistic and syntactic anatomy of digital sarcasm in MBG discourse on platform X, identifying salient diction, metaphorical structures, and rhetorical devices.</w:t>
      </w:r>
    </w:p>
    <w:p>
      <w:pPr>
        <w:spacing w:line="480" w:lineRule="auto" w:after="40"/>
        <w:ind w:left="720" w:hanging="360"/>
      </w:pPr>
      <w:r>
        <w:rPr>
          <w:b/>
        </w:rPr>
        <w:t xml:space="preserve">• </w:t>
      </w:r>
      <w:r>
        <w:rPr>
          <w:rFonts w:ascii="Times New Roman" w:hAnsi="Times New Roman"/>
          <w:b/>
          <w:i w:val="0"/>
          <w:sz w:val="24"/>
        </w:rPr>
        <w:t>RO2 / RQ2</w:t>
      </w:r>
      <w:r>
        <w:rPr>
          <w:rFonts w:ascii="Times New Roman" w:hAnsi="Times New Roman"/>
          <w:b w:val="0"/>
          <w:i w:val="0"/>
          <w:sz w:val="24"/>
        </w:rPr>
        <w:t>: To quantify the role of text-emoji incongruence as a pragmatic vehicle of valence inversion, determining how paralinguistic tokens systematically reverse literal semantics.</w:t>
      </w:r>
    </w:p>
    <w:p>
      <w:pPr>
        <w:spacing w:line="480" w:lineRule="auto" w:after="40"/>
        <w:ind w:left="720" w:hanging="360"/>
      </w:pPr>
      <w:r>
        <w:rPr>
          <w:b/>
        </w:rPr>
        <w:t xml:space="preserve">• </w:t>
      </w:r>
      <w:r>
        <w:rPr>
          <w:rFonts w:ascii="Times New Roman" w:hAnsi="Times New Roman"/>
          <w:b/>
          <w:i w:val="0"/>
          <w:sz w:val="24"/>
        </w:rPr>
        <w:t>RO3 / RQ3</w:t>
      </w:r>
      <w:r>
        <w:rPr>
          <w:rFonts w:ascii="Times New Roman" w:hAnsi="Times New Roman"/>
          <w:b w:val="0"/>
          <w:i w:val="0"/>
          <w:sz w:val="24"/>
        </w:rPr>
        <w:t>: To map the macro- and meso-topological properties of the MBG interaction network, establishing its degree of structural fragmentation, clustering, and echo-chamber segregation.</w:t>
      </w:r>
    </w:p>
    <w:p>
      <w:pPr>
        <w:spacing w:line="480" w:lineRule="auto" w:after="40"/>
        <w:ind w:left="720" w:hanging="360"/>
      </w:pPr>
      <w:r>
        <w:rPr>
          <w:b/>
        </w:rPr>
        <w:t xml:space="preserve">• </w:t>
      </w:r>
      <w:r>
        <w:rPr>
          <w:rFonts w:ascii="Times New Roman" w:hAnsi="Times New Roman"/>
          <w:b/>
          <w:i w:val="0"/>
          <w:sz w:val="24"/>
        </w:rPr>
        <w:t>RO4 / RQ4</w:t>
      </w:r>
      <w:r>
        <w:rPr>
          <w:rFonts w:ascii="Times New Roman" w:hAnsi="Times New Roman"/>
          <w:b w:val="0"/>
          <w:i w:val="0"/>
          <w:sz w:val="24"/>
        </w:rPr>
        <w:t>: To identify high-centrality actor typologies, examining how human political figures, citizen activists, and artificial intelligence agents direct public communicative flows.</w:t>
      </w:r>
    </w:p>
    <w:p>
      <w:pPr>
        <w:spacing w:line="480" w:lineRule="auto" w:after="40"/>
        <w:ind w:left="720" w:hanging="360"/>
      </w:pPr>
      <w:r>
        <w:rPr>
          <w:b/>
        </w:rPr>
        <w:t xml:space="preserve">• </w:t>
      </w:r>
      <w:r>
        <w:rPr>
          <w:rFonts w:ascii="Times New Roman" w:hAnsi="Times New Roman"/>
          <w:b/>
          <w:i w:val="0"/>
          <w:sz w:val="24"/>
        </w:rPr>
        <w:t>RO5 / RQ5</w:t>
      </w:r>
      <w:r>
        <w:rPr>
          <w:rFonts w:ascii="Times New Roman" w:hAnsi="Times New Roman"/>
          <w:b w:val="0"/>
          <w:i w:val="0"/>
          <w:sz w:val="24"/>
        </w:rPr>
        <w:t xml:space="preserve">: To interpret these computational patterns through the theoretical framework of Marketing 6.0 (Kotler, Kartajaya, &amp; Setiawan, 2023), evaluating whether observed sarcasm manifests a profound </w:t>
      </w:r>
      <w:r>
        <w:rPr>
          <w:rFonts w:ascii="Times New Roman" w:hAnsi="Times New Roman"/>
          <w:b w:val="0"/>
          <w:i/>
          <w:sz w:val="24"/>
        </w:rPr>
        <w:t>phygital gap</w:t>
      </w:r>
      <w:r>
        <w:rPr>
          <w:rFonts w:ascii="Times New Roman" w:hAnsi="Times New Roman"/>
          <w:b w:val="0"/>
          <w:i w:val="0"/>
          <w:sz w:val="24"/>
        </w:rPr>
        <w:t>—the rupture between high-concept digital brand positioning and physical operational delivery.</w:t>
      </w:r>
    </w:p>
    <w:p>
      <w:pPr>
        <w:spacing w:line="480" w:lineRule="auto" w:before="360" w:after="120"/>
        <w:jc w:val="center"/>
      </w:pPr>
      <w:r>
        <w:rPr>
          <w:rFonts w:ascii="Times New Roman" w:hAnsi="Times New Roman"/>
          <w:b/>
          <w:i w:val="0"/>
          <w:sz w:val="28"/>
        </w:rPr>
        <w:t>2. Literature Review and Theoretical Framework</w:t>
      </w:r>
    </w:p>
    <w:p>
      <w:pPr>
        <w:spacing w:line="480" w:lineRule="auto" w:before="280" w:after="80"/>
        <w:ind w:firstLine="0"/>
        <w:jc w:val="left"/>
      </w:pPr>
      <w:r>
        <w:rPr>
          <w:rFonts w:ascii="Times New Roman" w:hAnsi="Times New Roman"/>
          <w:b/>
          <w:i w:val="0"/>
          <w:sz w:val="25"/>
        </w:rPr>
        <w:t>2.1 Public Trust, Risk Communication, and Symbolic Politics</w:t>
      </w:r>
    </w:p>
    <w:p>
      <w:pPr>
        <w:spacing w:line="480" w:lineRule="auto" w:before="0" w:after="0"/>
        <w:ind w:firstLine="720"/>
      </w:pPr>
      <w:r>
        <w:rPr>
          <w:rFonts w:ascii="Times New Roman" w:hAnsi="Times New Roman"/>
          <w:b w:val="0"/>
          <w:i w:val="0"/>
          <w:sz w:val="24"/>
        </w:rPr>
        <w:t xml:space="preserve">Public trust in government is defined by Levi and Stoker (2000) as a multidimensional construct resting upon two distinct cognitive pillars: </w:t>
      </w:r>
      <w:r>
        <w:rPr>
          <w:rFonts w:ascii="Times New Roman" w:hAnsi="Times New Roman"/>
          <w:b w:val="0"/>
          <w:i/>
          <w:sz w:val="24"/>
        </w:rPr>
        <w:t>competence trust</w:t>
      </w:r>
      <w:r>
        <w:rPr>
          <w:rFonts w:ascii="Times New Roman" w:hAnsi="Times New Roman"/>
          <w:b w:val="0"/>
          <w:i w:val="0"/>
          <w:sz w:val="24"/>
        </w:rPr>
        <w:t xml:space="preserve"> (the citizen's belief that political institutions possess the administrative, technical, and operational capacity to deliver public goods) and </w:t>
      </w:r>
      <w:r>
        <w:rPr>
          <w:rFonts w:ascii="Times New Roman" w:hAnsi="Times New Roman"/>
          <w:b w:val="0"/>
          <w:i/>
          <w:sz w:val="24"/>
        </w:rPr>
        <w:t>moral/fiduciary trust</w:t>
      </w:r>
      <w:r>
        <w:rPr>
          <w:rFonts w:ascii="Times New Roman" w:hAnsi="Times New Roman"/>
          <w:b w:val="0"/>
          <w:i w:val="0"/>
          <w:sz w:val="24"/>
        </w:rP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pPr>
        <w:spacing w:line="480" w:lineRule="auto" w:before="0" w:after="0"/>
        <w:ind w:firstLine="720"/>
      </w:pPr>
      <w:r>
        <w:rPr>
          <w:rFonts w:ascii="Times New Roman" w:hAnsi="Times New Roman"/>
          <w:b w:val="0"/>
          <w:i w:val="0"/>
          <w:sz w:val="24"/>
        </w:rPr>
        <w:t xml:space="preserve">Classical risk communication theory (Covello, von Winterfeldt, &amp; Slovic, 1986; Renn, 1992; Slovic, 1987) posits that public perception of risk is rarely an objective mathematical function of probability and consequence ($Risk \neq Hazard$). Rather, risk perception is mediated by </w:t>
      </w:r>
      <w:r>
        <w:rPr>
          <w:rFonts w:ascii="Times New Roman" w:hAnsi="Times New Roman"/>
          <w:b w:val="0"/>
          <w:i/>
          <w:sz w:val="24"/>
        </w:rPr>
        <w:t>outrage factors</w:t>
      </w:r>
      <w:r>
        <w:rPr>
          <w:rFonts w:ascii="Times New Roman" w:hAnsi="Times New Roman"/>
          <w:b w:val="0"/>
          <w:i w:val="0"/>
          <w:sz w:val="24"/>
        </w:rPr>
        <w:t>—including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pPr>
        <w:spacing w:line="480" w:lineRule="auto" w:before="0" w:after="0"/>
        <w:ind w:firstLine="720"/>
      </w:pPr>
      <w:r>
        <w:rPr>
          <w:rFonts w:ascii="Times New Roman" w:hAnsi="Times New Roman"/>
          <w:b w:val="0"/>
          <w:i w:val="0"/>
          <w:sz w:val="24"/>
        </w:rPr>
        <w:t xml:space="preserve">This dynamic is amplified by Edelman’s (1964) </w:t>
      </w:r>
      <w:r>
        <w:rPr>
          <w:rFonts w:ascii="Times New Roman" w:hAnsi="Times New Roman"/>
          <w:b w:val="0"/>
          <w:i/>
          <w:sz w:val="24"/>
        </w:rPr>
        <w:t>symbolic politics</w:t>
      </w:r>
      <w:r>
        <w:rPr>
          <w:rFonts w:ascii="Times New Roman" w:hAnsi="Times New Roman"/>
          <w:b w:val="0"/>
          <w:i w:val="0"/>
          <w:sz w:val="24"/>
        </w:rP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line="480" w:lineRule="auto" w:before="280" w:after="80"/>
        <w:ind w:firstLine="0"/>
        <w:jc w:val="left"/>
      </w:pPr>
      <w:r>
        <w:rPr>
          <w:rFonts w:ascii="Times New Roman" w:hAnsi="Times New Roman"/>
          <w:b/>
          <w:i w:val="0"/>
          <w:sz w:val="25"/>
        </w:rPr>
        <w:t>2.2 Networked Framing and the Ecology of Digital Dissent</w:t>
      </w:r>
    </w:p>
    <w:p>
      <w:pPr>
        <w:spacing w:line="480" w:lineRule="auto" w:before="0" w:after="0"/>
        <w:ind w:firstLine="720"/>
      </w:pPr>
      <w:r>
        <w:rPr>
          <w:rFonts w:ascii="Times New Roman" w:hAnsi="Times New Roman"/>
          <w:b w:val="0"/>
          <w:i w:val="0"/>
          <w:sz w:val="24"/>
        </w:rPr>
        <w:t xml:space="preserve">In contemporary computational media spaces, public policy framing no longer flows downward through a hypodermic, broadcast model of communication. Rather, it operates through what Bennett and Segerberg (2012) term the </w:t>
      </w:r>
      <w:r>
        <w:rPr>
          <w:rFonts w:ascii="Times New Roman" w:hAnsi="Times New Roman"/>
          <w:b w:val="0"/>
          <w:i/>
          <w:sz w:val="24"/>
        </w:rPr>
        <w:t>logic of connective action</w:t>
      </w:r>
      <w:r>
        <w:rPr>
          <w:rFonts w:ascii="Times New Roman" w:hAnsi="Times New Roman"/>
          <w:b w:val="0"/>
          <w:i w:val="0"/>
          <w:sz w:val="24"/>
        </w:rPr>
        <w:t>. In connective action networks, political engagement is not organized through rigid hierarchical associations; it crystallizes around personal, digitally mediated expressions of identity, grievance, and humor that diffuse rapidly across social topologies.</w:t>
      </w:r>
    </w:p>
    <w:p>
      <w:pPr>
        <w:spacing w:line="480" w:lineRule="auto" w:before="0" w:after="0"/>
        <w:ind w:firstLine="720"/>
      </w:pPr>
      <w:r>
        <w:rPr>
          <w:rFonts w:ascii="Times New Roman" w:hAnsi="Times New Roman"/>
          <w:b w:val="0"/>
          <w:i w:val="0"/>
          <w:sz w:val="24"/>
        </w:rPr>
        <w:t xml:space="preserve">Schultz, Utz, and Göritz (2011) extended this into the </w:t>
      </w:r>
      <w:r>
        <w:rPr>
          <w:rFonts w:ascii="Times New Roman" w:hAnsi="Times New Roman"/>
          <w:b w:val="0"/>
          <w:i/>
          <w:sz w:val="24"/>
        </w:rPr>
        <w:t>Networked Crisis Communication</w:t>
      </w:r>
      <w:r>
        <w:rPr>
          <w:rFonts w:ascii="Times New Roman" w:hAnsi="Times New Roman"/>
          <w:b w:val="0"/>
          <w:i w:val="0"/>
          <w:sz w:val="24"/>
        </w:rP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rFonts w:ascii="Times New Roman" w:hAnsi="Times New Roman"/>
          <w:b w:val="0"/>
          <w:i/>
          <w:sz w:val="24"/>
        </w:rPr>
        <w:t>context collapse</w:t>
      </w:r>
      <w:r>
        <w:rPr>
          <w:rFonts w:ascii="Times New Roman" w:hAnsi="Times New Roman"/>
          <w:b w:val="0"/>
          <w:i w:val="0"/>
          <w:sz w:val="24"/>
        </w:rPr>
        <w:t>—an environment where diverse social audiences collapse into a single communicative stream, forcing users to navigate surveillance from peers, state authorities, and commercial algorithms simultaneously.</w:t>
      </w:r>
    </w:p>
    <w:p>
      <w:pPr>
        <w:spacing w:line="480" w:lineRule="auto" w:before="0" w:after="0"/>
        <w:ind w:firstLine="720"/>
      </w:pPr>
      <w:r>
        <w:rPr>
          <w:rFonts w:ascii="Times New Roman" w:hAnsi="Times New Roman"/>
          <w:b w:val="0"/>
          <w:i w:val="0"/>
          <w:sz w:val="24"/>
        </w:rPr>
        <w:t xml:space="preserve">Under conditions of context collapse, political dissent frequently migrates into the register of </w:t>
      </w:r>
      <w:r>
        <w:rPr>
          <w:rFonts w:ascii="Times New Roman" w:hAnsi="Times New Roman"/>
          <w:b w:val="0"/>
          <w:i/>
          <w:sz w:val="24"/>
        </w:rPr>
        <w:t>irony and sarcasm</w:t>
      </w:r>
      <w:r>
        <w:rPr>
          <w:rFonts w:ascii="Times New Roman" w:hAnsi="Times New Roman"/>
          <w:b w:val="0"/>
          <w:i w:val="0"/>
          <w:sz w:val="24"/>
        </w:rPr>
        <w:t>. As Scott (1985) articulated in his theory of "weapons of the weak" and every-day forms of peasant resistance, subordinated populations who perceive direct political confrontation to be dangerous or futile adopt subversive humor, foot-dragging, and coded speech to contest dominant hegemony. On Indonesian social media, where the Electronic Information and Transactions Law (</w:t>
      </w:r>
      <w:r>
        <w:rPr>
          <w:rFonts w:ascii="Times New Roman" w:hAnsi="Times New Roman"/>
          <w:b w:val="0"/>
          <w:i/>
          <w:sz w:val="24"/>
        </w:rPr>
        <w:t>Undang-Undang Informasi dan Transaksi Elektronik</w:t>
      </w:r>
      <w:r>
        <w:rPr>
          <w:rFonts w:ascii="Times New Roman" w:hAnsi="Times New Roman"/>
          <w:b w:val="0"/>
          <w:i w:val="0"/>
          <w:sz w:val="24"/>
        </w:rP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line="480" w:lineRule="auto" w:before="280" w:after="80"/>
        <w:ind w:firstLine="0"/>
        <w:jc w:val="left"/>
      </w:pPr>
      <w:r>
        <w:rPr>
          <w:rFonts w:ascii="Times New Roman" w:hAnsi="Times New Roman"/>
          <w:b/>
          <w:i w:val="0"/>
          <w:sz w:val="25"/>
        </w:rPr>
        <w:t>2.3 Pragmatic Incongruence, Paralinguistics, and Sarcasm Theory</w:t>
      </w:r>
    </w:p>
    <w:p>
      <w:pPr>
        <w:spacing w:line="480" w:lineRule="auto" w:before="0" w:after="0"/>
        <w:ind w:firstLine="720"/>
      </w:pPr>
      <w:r>
        <w:rPr>
          <w:rFonts w:ascii="Times New Roman" w:hAnsi="Times New Roman"/>
          <w:b w:val="0"/>
          <w:i w:val="0"/>
          <w:sz w:val="24"/>
        </w:rPr>
        <w:t xml:space="preserve">Linguistically, sarcasm represents a sophisticated communicative act governed by </w:t>
      </w:r>
      <w:r>
        <w:rPr>
          <w:rFonts w:ascii="Times New Roman" w:hAnsi="Times New Roman"/>
          <w:b w:val="0"/>
          <w:i/>
          <w:sz w:val="24"/>
        </w:rPr>
        <w:t>pragmatic incongruence</w:t>
      </w:r>
      <w:r>
        <w:rPr>
          <w:rFonts w:ascii="Times New Roman" w:hAnsi="Times New Roman"/>
          <w:b w:val="0"/>
          <w:i w:val="0"/>
          <w:sz w:val="24"/>
        </w:rPr>
        <w:t xml:space="preserve"> (Attardo, 2000; Camp, 2012; Gibbs, 2000; Giora, 2003; Grice, 1975). Grice’s Cooperative Principle establishes the Maxim of Quality: </w:t>
      </w:r>
      <w:r>
        <w:rPr>
          <w:rFonts w:ascii="Times New Roman" w:hAnsi="Times New Roman"/>
          <w:b w:val="0"/>
          <w:i/>
          <w:sz w:val="24"/>
        </w:rPr>
        <w:t>"Do not say that which you believe to be false."</w:t>
      </w:r>
      <w:r>
        <w:rPr>
          <w:rFonts w:ascii="Times New Roman" w:hAnsi="Times New Roman"/>
          <w:b w:val="0"/>
          <w:i w:val="0"/>
          <w:sz w:val="24"/>
        </w:rPr>
        <w:t xml:space="preserve"> Sarcasm operates through the blatant, intentional flouting of the Maxim of Quality. The speaker utters proposition $P$, fully intending the recipient to recognize that the speaker actually believes proposition $\neg P$ (not-$P$).</w:t>
      </w:r>
    </w:p>
    <w:p>
      <w:pPr>
        <w:spacing w:line="480" w:lineRule="auto" w:before="0" w:after="0"/>
        <w:ind w:firstLine="720"/>
      </w:pPr>
      <w:r>
        <w:rPr>
          <w:rFonts w:ascii="Times New Roman" w:hAnsi="Times New Roman"/>
          <w:b w:val="0"/>
          <w:i w:val="0"/>
          <w:sz w:val="24"/>
        </w:rPr>
        <w:t xml:space="preserve">In computer-mediated communication (CMC), where acoustic inflection, facial grimaces, and vocal pitch are stripped away, text-based sarcasm faces an acute risk of communicative failure (Poe’s Law). To overcome this limitation, digital communicators deploy </w:t>
      </w:r>
      <w:r>
        <w:rPr>
          <w:rFonts w:ascii="Times New Roman" w:hAnsi="Times New Roman"/>
          <w:b w:val="0"/>
          <w:i/>
          <w:sz w:val="24"/>
        </w:rPr>
        <w:t>emojis as paralinguistic tone markers</w:t>
      </w:r>
      <w:r>
        <w:rPr>
          <w:rFonts w:ascii="Times New Roman" w:hAnsi="Times New Roman"/>
          <w:b w:val="0"/>
          <w:i w:val="0"/>
          <w:sz w:val="24"/>
        </w:rPr>
        <w:t xml:space="preserve"> (Dresner &amp; Herring, 2010; Skovholt, Grønning, &amp; Kankaanranta, 2014). An emoji does not merely illustrate a sentence; it functions as an illocutionary force indicator. When an actor writes </w:t>
      </w:r>
      <w:r>
        <w:rPr>
          <w:rFonts w:ascii="Times New Roman" w:hAnsi="Times New Roman"/>
          <w:b w:val="0"/>
          <w:i/>
          <w:sz w:val="24"/>
        </w:rPr>
        <w:t>"The menu today is truly five-star quality 🤮"</w:t>
      </w:r>
      <w:r>
        <w:rPr>
          <w:rFonts w:ascii="Times New Roman" w:hAnsi="Times New Roman"/>
          <w:b w:val="0"/>
          <w:i w:val="0"/>
          <w:sz w:val="24"/>
        </w:rPr>
        <w:t>, the nauseated emoji operates as a metapragmatic operator that structurally invalidates the literal semantic value of "five-star quality," forcing an inverted interpretation.</w:t>
      </w:r>
    </w:p>
    <w:p>
      <w:pPr>
        <w:spacing w:line="480" w:lineRule="auto" w:before="280" w:after="80"/>
        <w:ind w:firstLine="0"/>
        <w:jc w:val="left"/>
      </w:pPr>
      <w:r>
        <w:rPr>
          <w:rFonts w:ascii="Times New Roman" w:hAnsi="Times New Roman"/>
          <w:b/>
          <w:i w:val="0"/>
          <w:sz w:val="25"/>
        </w:rPr>
        <w:t>2.4 Deep Learning, IndoBERT, and Emotion Classification</w:t>
      </w:r>
    </w:p>
    <w:p>
      <w:pPr>
        <w:spacing w:line="480" w:lineRule="auto" w:before="0" w:after="0"/>
        <w:ind w:firstLine="720"/>
      </w:pPr>
      <w:r>
        <w:rPr>
          <w:rFonts w:ascii="Times New Roman" w:hAnsi="Times New Roman"/>
          <w:b w:val="0"/>
          <w:i w:val="0"/>
          <w:sz w:val="24"/>
        </w:rP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pPr>
        <w:spacing w:line="480" w:lineRule="auto" w:before="0" w:after="0"/>
        <w:ind w:firstLine="720"/>
      </w:pPr>
      <w:r>
        <w:rPr>
          <w:rFonts w:ascii="Times New Roman" w:hAnsi="Times New Roman"/>
          <w:b w:val="0"/>
          <w:i w:val="0"/>
          <w:sz w:val="24"/>
        </w:rPr>
        <w:t xml:space="preserve">For the Indonesian language, Wilie et al. (2020) developed </w:t>
      </w:r>
      <w:r>
        <w:rPr>
          <w:rFonts w:ascii="Times New Roman" w:hAnsi="Times New Roman"/>
          <w:b/>
          <w:i w:val="0"/>
          <w:sz w:val="24"/>
        </w:rPr>
        <w:t>IndoBERT</w:t>
      </w:r>
      <w:r>
        <w:rPr>
          <w:rFonts w:ascii="Times New Roman" w:hAnsi="Times New Roman"/>
          <w:b w:val="0"/>
          <w:i w:val="0"/>
          <w:sz w:val="24"/>
        </w:rP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rFonts w:ascii="Times New Roman" w:hAnsi="Times New Roman"/>
          <w:b w:val="0"/>
          <w:i/>
          <w:sz w:val="24"/>
        </w:rPr>
        <w:t>bahasa gaul</w:t>
      </w:r>
      <w:r>
        <w:rPr>
          <w:rFonts w:ascii="Times New Roman" w:hAnsi="Times New Roman"/>
          <w:b w:val="0"/>
          <w:i w:val="0"/>
          <w:sz w:val="24"/>
        </w:rP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rFonts w:ascii="Times New Roman" w:hAnsi="Times New Roman"/>
          <w:b w:val="0"/>
          <w:i/>
          <w:sz w:val="24"/>
        </w:rPr>
        <w:t>disgust, anger, fear, sadness, and trust</w:t>
      </w:r>
      <w:r>
        <w:rPr>
          <w:rFonts w:ascii="Times New Roman" w:hAnsi="Times New Roman"/>
          <w:b w:val="0"/>
          <w:i w:val="0"/>
          <w:sz w:val="24"/>
        </w:rPr>
        <w:t>, providing nuanced diagnostic visibility into citizen affective states.</w:t>
      </w:r>
    </w:p>
    <w:p>
      <w:pPr>
        <w:spacing w:line="480" w:lineRule="auto" w:before="280" w:after="80"/>
        <w:ind w:firstLine="0"/>
        <w:jc w:val="left"/>
      </w:pPr>
      <w:r>
        <w:rPr>
          <w:rFonts w:ascii="Times New Roman" w:hAnsi="Times New Roman"/>
          <w:b/>
          <w:i w:val="0"/>
          <w:sz w:val="25"/>
        </w:rPr>
        <w:t>2.5 Social Network Analysis, Scale-Free Networks, and Echo Chambers</w:t>
      </w:r>
    </w:p>
    <w:p>
      <w:pPr>
        <w:spacing w:line="480" w:lineRule="auto" w:before="0" w:after="0"/>
        <w:ind w:firstLine="720"/>
      </w:pPr>
      <w:r>
        <w:rPr>
          <w:rFonts w:ascii="Times New Roman" w:hAnsi="Times New Roman"/>
          <w:b w:val="0"/>
          <w:i w:val="0"/>
          <w:sz w:val="24"/>
        </w:rP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pPr>
        <w:spacing w:line="480" w:lineRule="auto" w:before="0" w:after="0"/>
        <w:ind w:firstLine="720"/>
      </w:pPr>
      <w:r>
        <w:rPr>
          <w:rFonts w:ascii="Times New Roman" w:hAnsi="Times New Roman"/>
          <w:b w:val="0"/>
          <w:i w:val="0"/>
          <w:sz w:val="24"/>
        </w:rPr>
        <w:t>Key topological laws and metrics govern online political interaction:</w:t>
      </w:r>
    </w:p>
    <w:p>
      <w:pPr>
        <w:spacing w:line="480" w:lineRule="auto" w:after="40"/>
        <w:ind w:left="720" w:hanging="360"/>
      </w:pPr>
      <w:r>
        <w:rPr>
          <w:b/>
        </w:rPr>
        <w:t xml:space="preserve">1. </w:t>
      </w:r>
      <w:r>
        <w:rPr>
          <w:rFonts w:ascii="Times New Roman" w:hAnsi="Times New Roman"/>
          <w:b/>
          <w:i w:val="0"/>
          <w:sz w:val="24"/>
        </w:rPr>
        <w:t>Scale-Free Topologies and Preferential Attachment</w:t>
      </w:r>
      <w:r>
        <w:rPr>
          <w:rFonts w:ascii="Times New Roman" w:hAnsi="Times New Roman"/>
          <w:b w:val="0"/>
          <w:i w:val="0"/>
          <w:sz w:val="24"/>
        </w:rPr>
        <w:t>: Real-world communication networks rarely conform to random Poisson graph models (Erdős &amp; Rényi, 1960). Instead, they exhibit power-law degree distributions $P(k) \sim k^{-\alpha}$, characteristic of scale-free networks driven by preferential attachment ("the rich get richer") (Barabási &amp; Albert, 1999). A tiny minority of elite nodes (hubs) accumulate massive connectivity, while the overwhelming majority of nodes inhabit the sparse periphery.</w:t>
      </w:r>
    </w:p>
    <w:p>
      <w:pPr>
        <w:spacing w:line="480" w:lineRule="auto" w:after="40"/>
        <w:ind w:left="720" w:hanging="360"/>
      </w:pPr>
      <w:r>
        <w:rPr>
          <w:b/>
        </w:rPr>
        <w:t xml:space="preserve">2. </w:t>
      </w:r>
      <w:r>
        <w:rPr>
          <w:rFonts w:ascii="Times New Roman" w:hAnsi="Times New Roman"/>
          <w:b/>
          <w:i w:val="0"/>
          <w:sz w:val="24"/>
        </w:rPr>
        <w:t>Louvain Modularity and Echo Chambers</w:t>
      </w:r>
      <w:r>
        <w:rPr>
          <w:rFonts w:ascii="Times New Roman" w:hAnsi="Times New Roman"/>
          <w:b w:val="0"/>
          <w:i w:val="0"/>
          <w:sz w:val="24"/>
        </w:rPr>
        <w:t xml:space="preserve">: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w:t>
      </w:r>
      <w:r>
        <w:rPr>
          <w:rFonts w:ascii="Times New Roman" w:hAnsi="Times New Roman"/>
          <w:b w:val="0"/>
          <w:i/>
          <w:sz w:val="24"/>
        </w:rPr>
        <w:t>echo chambers</w:t>
      </w:r>
      <w:r>
        <w:rPr>
          <w:rFonts w:ascii="Times New Roman" w:hAnsi="Times New Roman"/>
          <w:b w:val="0"/>
          <w:i w:val="0"/>
          <w:sz w:val="24"/>
        </w:rPr>
        <w:t xml:space="preserve"> (Jamieson &amp; Cappella, 2008; Sunstein, 2001), reinforcing intra-group consensus while shielding members from dissonant external information.</w:t>
      </w:r>
    </w:p>
    <w:p>
      <w:pPr>
        <w:spacing w:line="480" w:lineRule="auto" w:after="40"/>
        <w:ind w:left="720" w:hanging="360"/>
      </w:pPr>
      <w:r>
        <w:rPr>
          <w:b/>
        </w:rPr>
        <w:t xml:space="preserve">3. </w:t>
      </w:r>
      <w:r>
        <w:rPr>
          <w:rFonts w:ascii="Times New Roman" w:hAnsi="Times New Roman"/>
          <w:b/>
          <w:i w:val="0"/>
          <w:sz w:val="24"/>
        </w:rPr>
        <w:t>Degree Assortativity ($r$)</w:t>
      </w:r>
      <w:r>
        <w:rPr>
          <w:rFonts w:ascii="Times New Roman" w:hAnsi="Times New Roman"/>
          <w:b w:val="0"/>
          <w:i w:val="0"/>
          <w:sz w:val="24"/>
        </w:rPr>
        <w:t>: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line="480" w:lineRule="auto" w:before="280" w:after="80"/>
        <w:ind w:firstLine="0"/>
        <w:jc w:val="left"/>
      </w:pPr>
      <w:r>
        <w:rPr>
          <w:rFonts w:ascii="Times New Roman" w:hAnsi="Times New Roman"/>
          <w:b/>
          <w:i w:val="0"/>
          <w:sz w:val="25"/>
        </w:rPr>
        <w:t>2.6 The Marketing 6.0 Phygital Gap Framework in Public Administration</w:t>
      </w:r>
    </w:p>
    <w:p>
      <w:pPr>
        <w:spacing w:line="480" w:lineRule="auto" w:before="0" w:after="0"/>
        <w:ind w:firstLine="720"/>
      </w:pPr>
      <w:r>
        <w:rPr>
          <w:rFonts w:ascii="Times New Roman" w:hAnsi="Times New Roman"/>
          <w:b w:val="0"/>
          <w:i w:val="0"/>
          <w:sz w:val="24"/>
        </w:rPr>
        <w:t xml:space="preserve">In the commercial discipline, Philip Kotler, Hermawan Kartajaya, and Iwan Setiawan (2023) formulated </w:t>
      </w:r>
      <w:r>
        <w:rPr>
          <w:rFonts w:ascii="Times New Roman" w:hAnsi="Times New Roman"/>
          <w:b/>
          <w:i w:val="0"/>
          <w:sz w:val="24"/>
        </w:rPr>
        <w:t>Marketing 6.0: The Future is Immersive</w:t>
      </w:r>
      <w:r>
        <w:rPr>
          <w:rFonts w:ascii="Times New Roman" w:hAnsi="Times New Roman"/>
          <w:b w:val="0"/>
          <w:i w:val="0"/>
          <w:sz w:val="24"/>
        </w:rPr>
        <w:t xml:space="preserve">. Marketing 6.0 posits that in an era saturated with artificial intelligence, ubiquitous connectivity, and spatial computing, the defining determinant of brand survival is the management of the </w:t>
      </w:r>
      <w:r>
        <w:rPr>
          <w:rFonts w:ascii="Times New Roman" w:hAnsi="Times New Roman"/>
          <w:b/>
          <w:i w:val="0"/>
          <w:sz w:val="24"/>
        </w:rPr>
        <w:t>phygital experience</w:t>
      </w:r>
      <w:r>
        <w:rPr>
          <w:rFonts w:ascii="Times New Roman" w:hAnsi="Times New Roman"/>
          <w:b w:val="0"/>
          <w:i w:val="0"/>
          <w:sz w:val="24"/>
        </w:rPr>
        <w:t xml:space="preserve">—the seamless, frictionless synchronization between </w:t>
      </w:r>
      <w:r>
        <w:rPr>
          <w:rFonts w:ascii="Times New Roman" w:hAnsi="Times New Roman"/>
          <w:b w:val="0"/>
          <w:i/>
          <w:sz w:val="24"/>
        </w:rPr>
        <w:t>digital brand touchpoints</w:t>
      </w:r>
      <w:r>
        <w:rPr>
          <w:rFonts w:ascii="Times New Roman" w:hAnsi="Times New Roman"/>
          <w:b w:val="0"/>
          <w:i w:val="0"/>
          <w:sz w:val="24"/>
        </w:rPr>
        <w:t xml:space="preserve"> (social media storytelling, digital advertising, algorithmic personalization) and </w:t>
      </w:r>
      <w:r>
        <w:rPr>
          <w:rFonts w:ascii="Times New Roman" w:hAnsi="Times New Roman"/>
          <w:b w:val="0"/>
          <w:i/>
          <w:sz w:val="24"/>
        </w:rPr>
        <w:t>physical touchpoints</w:t>
      </w:r>
      <w:r>
        <w:rPr>
          <w:rFonts w:ascii="Times New Roman" w:hAnsi="Times New Roman"/>
          <w:b w:val="0"/>
          <w:i w:val="0"/>
          <w:sz w:val="24"/>
        </w:rPr>
        <w:t xml:space="preserve"> (brick-and-mortar stores, product packaging, human customer service).</w:t>
      </w:r>
    </w:p>
    <w:p>
      <w:pPr>
        <w:spacing w:line="480" w:lineRule="auto" w:before="0" w:after="0"/>
        <w:ind w:firstLine="720"/>
      </w:pPr>
      <w:r>
        <w:rPr>
          <w:rFonts w:ascii="Times New Roman" w:hAnsi="Times New Roman"/>
          <w:b w:val="0"/>
          <w:i w:val="0"/>
          <w:sz w:val="24"/>
        </w:rPr>
        <w:t xml:space="preserve">The </w:t>
      </w:r>
      <w:r>
        <w:rPr>
          <w:rFonts w:ascii="Times New Roman" w:hAnsi="Times New Roman"/>
          <w:b/>
          <w:i w:val="0"/>
          <w:sz w:val="24"/>
        </w:rPr>
        <w:t>phygital gap</w:t>
      </w:r>
      <w:r>
        <w:rPr>
          <w:rFonts w:ascii="Times New Roman" w:hAnsi="Times New Roman"/>
          <w:b w:val="0"/>
          <w:i w:val="0"/>
          <w:sz w:val="24"/>
        </w:rP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pPr>
        <w:spacing w:line="480" w:lineRule="auto" w:before="0" w:after="0"/>
        <w:ind w:firstLine="720"/>
      </w:pPr>
      <w:r>
        <w:rPr>
          <w:rFonts w:ascii="Times New Roman" w:hAnsi="Times New Roman"/>
          <w:b w:val="0"/>
          <w:i w:val="0"/>
          <w:sz w:val="24"/>
        </w:rPr>
        <w:t xml:space="preserve">While formulated for private enterprises, this study proposes an innovative theoretical translation of the Marketing 6.0 phygital gap into </w:t>
      </w:r>
      <w:r>
        <w:rPr>
          <w:rFonts w:ascii="Times New Roman" w:hAnsi="Times New Roman"/>
          <w:b w:val="0"/>
          <w:i/>
          <w:sz w:val="24"/>
        </w:rPr>
        <w:t>public administration and political communication</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State as Brand</w:t>
      </w:r>
      <w:r>
        <w:rPr>
          <w:rFonts w:ascii="Times New Roman" w:hAnsi="Times New Roman"/>
          <w:b w:val="0"/>
          <w:i w:val="0"/>
          <w:sz w:val="24"/>
        </w:rPr>
        <w:t xml:space="preserve">: The Indonesian state functions as a macro-brand communicating its vision of </w:t>
      </w:r>
      <w:r>
        <w:rPr>
          <w:rFonts w:ascii="Times New Roman" w:hAnsi="Times New Roman"/>
          <w:b w:val="0"/>
          <w:i/>
          <w:sz w:val="24"/>
        </w:rPr>
        <w:t>Indonesia Emas 2045</w:t>
      </w:r>
      <w:r>
        <w:rPr>
          <w:rFonts w:ascii="Times New Roman" w:hAnsi="Times New Roman"/>
          <w:b w:val="0"/>
          <w:i w:val="0"/>
          <w:sz w:val="24"/>
        </w:rPr>
        <w:t xml:space="preserve"> through mass-mediated digital public relations.</w:t>
      </w:r>
    </w:p>
    <w:p>
      <w:pPr>
        <w:spacing w:line="480" w:lineRule="auto" w:after="40"/>
        <w:ind w:left="720" w:hanging="360"/>
      </w:pPr>
      <w:r>
        <w:rPr>
          <w:b/>
        </w:rPr>
        <w:t xml:space="preserve">• </w:t>
      </w:r>
      <w:r>
        <w:rPr>
          <w:rFonts w:ascii="Times New Roman" w:hAnsi="Times New Roman"/>
          <w:b/>
          <w:i w:val="0"/>
          <w:sz w:val="24"/>
        </w:rPr>
        <w:t>The Citizen as End-User/Beneficiary</w:t>
      </w:r>
      <w:r>
        <w:rPr>
          <w:rFonts w:ascii="Times New Roman" w:hAnsi="Times New Roman"/>
          <w:b w:val="0"/>
          <w:i w:val="0"/>
          <w:sz w:val="24"/>
        </w:rPr>
        <w:t>: Schoolchildren and their taxpaying parents are the ultimate co-creators of policy value (Vargo &amp; Lusch, 2004, 2016).</w:t>
      </w:r>
    </w:p>
    <w:p>
      <w:pPr>
        <w:spacing w:line="480" w:lineRule="auto" w:after="40"/>
        <w:ind w:left="720" w:hanging="360"/>
      </w:pPr>
      <w:r>
        <w:rPr>
          <w:b/>
        </w:rPr>
        <w:t xml:space="preserve">• </w:t>
      </w:r>
      <w:r>
        <w:rPr>
          <w:rFonts w:ascii="Times New Roman" w:hAnsi="Times New Roman"/>
          <w:b/>
          <w:i w:val="0"/>
          <w:sz w:val="24"/>
        </w:rPr>
        <w:t>The Policy Delivery Infrastructure as Physical Touchpoint</w:t>
      </w:r>
      <w:r>
        <w:rPr>
          <w:rFonts w:ascii="Times New Roman" w:hAnsi="Times New Roman"/>
          <w:b w:val="0"/>
          <w:i w:val="0"/>
          <w:sz w:val="24"/>
        </w:rPr>
        <w:t>: The decentralized network of 27,952 SPPG kitchens, catering contractors, and distribution vans constitutes the physical touchpoint where policy meets reality.</w:t>
      </w:r>
    </w:p>
    <w:p>
      <w:pPr>
        <w:spacing w:line="480" w:lineRule="auto" w:after="40"/>
        <w:ind w:left="720" w:hanging="360"/>
      </w:pPr>
      <w:r>
        <w:rPr>
          <w:b/>
        </w:rPr>
        <w:t xml:space="preserve">• </w:t>
      </w:r>
      <w:r>
        <w:rPr>
          <w:rFonts w:ascii="Times New Roman" w:hAnsi="Times New Roman"/>
          <w:b/>
          <w:i w:val="0"/>
          <w:sz w:val="24"/>
        </w:rPr>
        <w:t>The Phygital Policy Gap</w:t>
      </w:r>
      <w:r>
        <w:rPr>
          <w:rFonts w:ascii="Times New Roman" w:hAnsi="Times New Roman"/>
          <w:b w:val="0"/>
          <w:i w:val="0"/>
          <w:sz w:val="24"/>
        </w:rP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line="480" w:lineRule="auto" w:before="360" w:after="120"/>
        <w:jc w:val="center"/>
      </w:pPr>
      <w:r>
        <w:rPr>
          <w:rFonts w:ascii="Times New Roman" w:hAnsi="Times New Roman"/>
          <w:b/>
          <w:i w:val="0"/>
          <w:sz w:val="28"/>
        </w:rPr>
        <w:t>3. Methodology</w:t>
      </w:r>
    </w:p>
    <w:p>
      <w:pPr>
        <w:spacing w:line="480" w:lineRule="auto" w:before="280" w:after="80"/>
        <w:ind w:firstLine="0"/>
        <w:jc w:val="left"/>
      </w:pPr>
      <w:r>
        <w:rPr>
          <w:rFonts w:ascii="Times New Roman" w:hAnsi="Times New Roman"/>
          <w:b/>
          <w:i w:val="0"/>
          <w:sz w:val="25"/>
        </w:rPr>
        <w:t>3.1 Research Design and Methodological Architecture</w:t>
      </w:r>
    </w:p>
    <w:p>
      <w:pPr>
        <w:spacing w:line="480" w:lineRule="auto" w:before="0" w:after="0"/>
        <w:ind w:firstLine="720"/>
      </w:pPr>
      <w:r>
        <w:rPr>
          <w:rFonts w:ascii="Times New Roman" w:hAnsi="Times New Roman"/>
          <w:b w:val="0"/>
          <w:i w:val="0"/>
          <w:sz w:val="24"/>
        </w:rP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pPr>
        <w:spacing w:line="480" w:lineRule="auto" w:before="0" w:after="0"/>
        <w:ind w:firstLine="720"/>
      </w:pPr>
      <w:r>
        <w:rPr>
          <w:rFonts w:ascii="Times New Roman" w:hAnsi="Times New Roman"/>
          <w:b w:val="0"/>
          <w:i w:val="0"/>
          <w:sz w:val="24"/>
        </w:rPr>
        <w:t>The overall methodological architecture is visualized in Figure 1.</w:t>
      </w:r>
    </w:p>
    <w:p>
      <w:pPr>
        <w:spacing w:before="240" w:after="80"/>
        <w:jc w:val="center"/>
      </w:pPr>
      <w:r>
        <w:drawing>
          <wp:inline xmlns:a="http://schemas.openxmlformats.org/drawingml/2006/main" xmlns:pic="http://schemas.openxmlformats.org/drawingml/2006/picture">
            <wp:extent cx="5669280" cy="2735800"/>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10"/>
                    <a:stretch>
                      <a:fillRect/>
                    </a:stretch>
                  </pic:blipFill>
                  <pic:spPr>
                    <a:xfrm>
                      <a:off x="0" y="0"/>
                      <a:ext cx="5669280" cy="273580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 Methodological and Analytical Architecture</w:t>
      </w:r>
    </w:p>
    <w:p>
      <w:pPr>
        <w:spacing w:line="480" w:lineRule="auto" w:before="0" w:after="0"/>
        <w:ind w:firstLine="720"/>
      </w:pPr>
      <w:r>
        <w:rPr>
          <w:rFonts w:ascii="Times New Roman" w:hAnsi="Times New Roman"/>
          <w:b w:val="0"/>
          <w:i w:val="0"/>
          <w:sz w:val="24"/>
        </w:rP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line="480" w:lineRule="auto" w:before="280" w:after="80"/>
        <w:ind w:firstLine="0"/>
        <w:jc w:val="left"/>
      </w:pPr>
      <w:r>
        <w:rPr>
          <w:rFonts w:ascii="Times New Roman" w:hAnsi="Times New Roman"/>
          <w:b/>
          <w:i w:val="0"/>
          <w:sz w:val="25"/>
        </w:rPr>
        <w:t>3.2 Data Collection and Ethical Considerations</w:t>
      </w:r>
    </w:p>
    <w:p>
      <w:pPr>
        <w:spacing w:line="480" w:lineRule="auto" w:before="0" w:after="0"/>
        <w:ind w:firstLine="720"/>
      </w:pPr>
      <w:r>
        <w:rPr>
          <w:rFonts w:ascii="Times New Roman" w:hAnsi="Times New Roman"/>
          <w:b w:val="0"/>
          <w:i w:val="0"/>
          <w:sz w:val="24"/>
        </w:rP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pPr>
        <w:spacing w:line="480" w:lineRule="auto" w:before="0" w:after="0"/>
        <w:ind w:firstLine="720"/>
      </w:pPr>
      <w:r>
        <w:rPr>
          <w:rFonts w:ascii="Times New Roman" w:hAnsi="Times New Roman"/>
          <w:b w:val="0"/>
          <w:i w:val="0"/>
          <w:sz w:val="24"/>
        </w:rPr>
        <w:t>Search queries utilized domain-specific Boolean keyword clusters:</w:t>
      </w:r>
    </w:p>
    <w:p>
      <w:pPr>
        <w:spacing w:before="80" w:after="120" w:line="240" w:lineRule="auto"/>
        <w:ind w:left="720" w:right="720"/>
      </w:pPr>
      <w:r>
        <w:rPr>
          <w:rFonts w:ascii="Courier New" w:hAnsi="Courier New"/>
          <w:color w:val="1E293B"/>
          <w:sz w:val="17"/>
        </w:rPr>
        <w:t xml:space="preserve">("Makan Bergizi Gratis" OR "MBG" OR "Makan Siang Gratis" OR "SPPG" OR "Badan Gizi Nasional" OR "BGN") </w:t>
        <w:br/>
        <w:t>AND (lang:id)</w:t>
      </w:r>
    </w:p>
    <w:p>
      <w:pPr>
        <w:spacing w:line="480" w:lineRule="auto" w:before="0" w:after="0"/>
        <w:ind w:firstLine="720"/>
      </w:pPr>
      <w:r>
        <w:rPr>
          <w:rFonts w:ascii="Times New Roman" w:hAnsi="Times New Roman"/>
          <w:b w:val="0"/>
          <w:i w:val="0"/>
          <w:sz w:val="24"/>
        </w:rP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pPr>
        <w:spacing w:line="480" w:lineRule="auto" w:before="0" w:after="0"/>
        <w:ind w:firstLine="720"/>
      </w:pPr>
      <w:r>
        <w:rPr>
          <w:rFonts w:ascii="Times New Roman" w:hAnsi="Times New Roman"/>
          <w:b/>
          <w:i w:val="0"/>
          <w:sz w:val="24"/>
        </w:rPr>
        <w:t>Research Ethics and Privacy Protocol</w:t>
      </w:r>
      <w:r>
        <w:rPr>
          <w:rFonts w:ascii="Times New Roman" w:hAnsi="Times New Roman"/>
          <w:b w:val="0"/>
          <w:i w:val="0"/>
          <w:sz w:val="24"/>
        </w:rPr>
        <w:t>:</w:t>
      </w:r>
    </w:p>
    <w:p>
      <w:pPr>
        <w:spacing w:line="480" w:lineRule="auto" w:after="40"/>
        <w:ind w:left="720" w:hanging="360"/>
      </w:pPr>
      <w:r>
        <w:rPr>
          <w:b/>
        </w:rPr>
        <w:t xml:space="preserve">1. </w:t>
      </w:r>
      <w:r>
        <w:rPr>
          <w:rFonts w:ascii="Times New Roman" w:hAnsi="Times New Roman"/>
          <w:b/>
          <w:i w:val="0"/>
          <w:sz w:val="24"/>
        </w:rPr>
        <w:t>Anonymization and Pseudonymization</w:t>
      </w:r>
      <w:r>
        <w:rPr>
          <w:rFonts w:ascii="Times New Roman" w:hAnsi="Times New Roman"/>
          <w:b w:val="0"/>
          <w:i w:val="0"/>
          <w:sz w:val="24"/>
        </w:rPr>
        <w:t xml:space="preserve">: All non-public individual accounts were pseudonymized during qualitative quotation to safeguard citizen privacy against potential administrative or legal reprisal under the Indonesian UU ITE. Public political officials (e.g., </w:t>
      </w:r>
      <w:r>
        <w:rPr>
          <w:rFonts w:ascii="Courier New" w:hAnsi="Courier New"/>
          <w:sz w:val="23"/>
        </w:rPr>
        <w:t>@prabowo</w:t>
      </w:r>
      <w:r>
        <w:rPr>
          <w:rFonts w:ascii="Times New Roman" w:hAnsi="Times New Roman"/>
          <w:b w:val="0"/>
          <w:i w:val="0"/>
          <w:sz w:val="24"/>
        </w:rPr>
        <w:t xml:space="preserve">), government agency accounts (e.g., </w:t>
      </w:r>
      <w:r>
        <w:rPr>
          <w:rFonts w:ascii="Courier New" w:hAnsi="Courier New"/>
          <w:sz w:val="23"/>
        </w:rPr>
        <w:t>@kemkomdigi</w:t>
      </w:r>
      <w:r>
        <w:rPr>
          <w:rFonts w:ascii="Times New Roman" w:hAnsi="Times New Roman"/>
          <w:b w:val="0"/>
          <w:i w:val="0"/>
          <w:sz w:val="24"/>
        </w:rPr>
        <w:t xml:space="preserve">), and platform-integrated AI entities (e.g., </w:t>
      </w:r>
      <w:r>
        <w:rPr>
          <w:rFonts w:ascii="Courier New" w:hAnsi="Courier New"/>
          <w:sz w:val="23"/>
        </w:rPr>
        <w:t>@grok</w:t>
      </w:r>
      <w:r>
        <w:rPr>
          <w:rFonts w:ascii="Times New Roman" w:hAnsi="Times New Roman"/>
          <w:b w:val="0"/>
          <w:i w:val="0"/>
          <w:sz w:val="24"/>
        </w:rPr>
        <w:t>) were retained unmasked as their interactions constitute public civic record.</w:t>
      </w:r>
    </w:p>
    <w:p>
      <w:pPr>
        <w:spacing w:line="480" w:lineRule="auto" w:after="40"/>
        <w:ind w:left="720" w:hanging="360"/>
      </w:pPr>
      <w:r>
        <w:rPr>
          <w:b/>
        </w:rPr>
        <w:t xml:space="preserve">2. </w:t>
      </w:r>
      <w:r>
        <w:rPr>
          <w:rFonts w:ascii="Times New Roman" w:hAnsi="Times New Roman"/>
          <w:b/>
          <w:i w:val="0"/>
          <w:sz w:val="24"/>
        </w:rPr>
        <w:t>Bot and Sybil Filtering</w:t>
      </w:r>
      <w:r>
        <w:rPr>
          <w:rFonts w:ascii="Times New Roman" w:hAnsi="Times New Roman"/>
          <w:b w:val="0"/>
          <w:i w:val="0"/>
          <w:sz w:val="24"/>
        </w:rP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spacing w:line="480" w:lineRule="auto" w:after="40"/>
        <w:ind w:left="720" w:hanging="360"/>
      </w:pPr>
      <w:r>
        <w:rPr>
          <w:b/>
        </w:rPr>
        <w:t xml:space="preserve">3. </w:t>
      </w:r>
      <w:r>
        <w:rPr>
          <w:rFonts w:ascii="Times New Roman" w:hAnsi="Times New Roman"/>
          <w:b/>
          <w:i w:val="0"/>
          <w:sz w:val="24"/>
        </w:rPr>
        <w:t>Institutional Compliance</w:t>
      </w:r>
      <w:r>
        <w:rPr>
          <w:rFonts w:ascii="Times New Roman" w:hAnsi="Times New Roman"/>
          <w:b w:val="0"/>
          <w:i w:val="0"/>
          <w:sz w:val="24"/>
        </w:rPr>
        <w:t>: The protocol complied fully with institutional review board guidelines for internet research (Association of Internet Researchers, AoIR) and accessed only publicly accessible social media discourse.</w:t>
      </w:r>
    </w:p>
    <w:p>
      <w:pPr>
        <w:spacing w:line="480" w:lineRule="auto" w:before="280" w:after="80"/>
        <w:ind w:firstLine="0"/>
        <w:jc w:val="left"/>
      </w:pPr>
      <w:r>
        <w:rPr>
          <w:rFonts w:ascii="Times New Roman" w:hAnsi="Times New Roman"/>
          <w:b/>
          <w:i w:val="0"/>
          <w:sz w:val="25"/>
        </w:rPr>
        <w:t>3.3 Corpus Composition and Text Preprocessing</w:t>
      </w:r>
    </w:p>
    <w:p>
      <w:pPr>
        <w:spacing w:line="480" w:lineRule="auto" w:before="0" w:after="0"/>
        <w:ind w:firstLine="720"/>
      </w:pPr>
      <w:r>
        <w:rPr>
          <w:rFonts w:ascii="Times New Roman" w:hAnsi="Times New Roman"/>
          <w:b w:val="0"/>
          <w:i w:val="0"/>
          <w:sz w:val="24"/>
        </w:rPr>
        <w:t>The primary empirical data consists of two parallel datasets:</w:t>
      </w:r>
    </w:p>
    <w:p>
      <w:pPr>
        <w:spacing w:line="480" w:lineRule="auto" w:after="40"/>
        <w:ind w:left="720" w:hanging="360"/>
      </w:pPr>
      <w:r>
        <w:rPr>
          <w:b/>
        </w:rPr>
        <w:t xml:space="preserve">• </w:t>
      </w:r>
      <w:r>
        <w:rPr>
          <w:rFonts w:ascii="Times New Roman" w:hAnsi="Times New Roman"/>
          <w:b/>
          <w:i w:val="0"/>
          <w:sz w:val="24"/>
        </w:rPr>
        <w:t>Network Graph Corpus ($G$)</w:t>
      </w:r>
      <w:r>
        <w:rPr>
          <w:rFonts w:ascii="Times New Roman" w:hAnsi="Times New Roman"/>
          <w:b w:val="0"/>
          <w:i w:val="0"/>
          <w:sz w:val="24"/>
        </w:rPr>
        <w:t>: 971 unique actor nodes ($|V| = 971$) and 692 directed interaction edges ($|E| = 692$).</w:t>
      </w:r>
    </w:p>
    <w:p>
      <w:pPr>
        <w:spacing w:line="480" w:lineRule="auto" w:after="40"/>
        <w:ind w:left="720" w:hanging="360"/>
      </w:pPr>
      <w:r>
        <w:rPr>
          <w:b/>
        </w:rPr>
        <w:t xml:space="preserve">• </w:t>
      </w:r>
      <w:r>
        <w:rPr>
          <w:rFonts w:ascii="Times New Roman" w:hAnsi="Times New Roman"/>
          <w:b/>
          <w:i w:val="0"/>
          <w:sz w:val="24"/>
        </w:rPr>
        <w:t>NLP Text Classification Corpus ($D$)</w:t>
      </w:r>
      <w:r>
        <w:rPr>
          <w:rFonts w:ascii="Times New Roman" w:hAnsi="Times New Roman"/>
          <w:b w:val="0"/>
          <w:i w:val="0"/>
          <w:sz w:val="24"/>
        </w:rPr>
        <w:t>: 3,395 domain-specific tweets, partitioned through stratified random sampling (seed = 42) into:</w:t>
      </w:r>
    </w:p>
    <w:p>
      <w:pPr>
        <w:spacing w:line="480" w:lineRule="auto" w:after="40"/>
        <w:ind w:left="720" w:hanging="360"/>
      </w:pPr>
      <w:r>
        <w:rPr>
          <w:b/>
        </w:rPr>
        <w:t xml:space="preserve">• </w:t>
      </w:r>
      <w:r>
        <w:rPr>
          <w:rFonts w:ascii="Times New Roman" w:hAnsi="Times New Roman"/>
          <w:b w:val="0"/>
          <w:i w:val="0"/>
          <w:sz w:val="24"/>
        </w:rPr>
        <w:t>Training Set: 2,334 tweets ($68.75\%$)</w:t>
      </w:r>
    </w:p>
    <w:p>
      <w:pPr>
        <w:spacing w:line="480" w:lineRule="auto" w:after="40"/>
        <w:ind w:left="720" w:hanging="360"/>
      </w:pPr>
      <w:r>
        <w:rPr>
          <w:b/>
        </w:rPr>
        <w:t xml:space="preserve">• </w:t>
      </w:r>
      <w:r>
        <w:rPr>
          <w:rFonts w:ascii="Times New Roman" w:hAnsi="Times New Roman"/>
          <w:b w:val="0"/>
          <w:i w:val="0"/>
          <w:sz w:val="24"/>
        </w:rPr>
        <w:t>Validation Set: 500 tweets ($14.73\%$)</w:t>
      </w:r>
    </w:p>
    <w:p>
      <w:pPr>
        <w:spacing w:line="480" w:lineRule="auto" w:after="40"/>
        <w:ind w:left="720" w:hanging="360"/>
      </w:pPr>
      <w:r>
        <w:rPr>
          <w:b/>
        </w:rPr>
        <w:t xml:space="preserve">• </w:t>
      </w:r>
      <w:r>
        <w:rPr>
          <w:rFonts w:ascii="Times New Roman" w:hAnsi="Times New Roman"/>
          <w:b w:val="0"/>
          <w:i w:val="0"/>
          <w:sz w:val="24"/>
        </w:rPr>
        <w:t>Testing Set: 561 tweets ($16.52\%$)</w:t>
      </w:r>
    </w:p>
    <w:p>
      <w:pPr>
        <w:spacing w:line="480" w:lineRule="auto" w:before="0" w:after="0"/>
        <w:ind w:firstLine="720"/>
      </w:pPr>
      <w:r>
        <w:rPr>
          <w:rFonts w:ascii="Times New Roman" w:hAnsi="Times New Roman"/>
          <w:b w:val="0"/>
          <w:i w:val="0"/>
          <w:sz w:val="24"/>
        </w:rPr>
        <w:t>The text preprocessing pipeline was meticulously engineered to resolve the informal, noisy morphology of Indonesian Twitter while strictly safeguarding paralinguistic sarcasm markers:</w:t>
      </w:r>
    </w:p>
    <w:p>
      <w:pPr>
        <w:spacing w:line="480" w:lineRule="auto" w:after="40"/>
        <w:ind w:left="720" w:hanging="360"/>
      </w:pPr>
      <w:r>
        <w:rPr>
          <w:b/>
        </w:rPr>
        <w:t xml:space="preserve">1. </w:t>
      </w:r>
      <w:r>
        <w:rPr>
          <w:rFonts w:ascii="Times New Roman" w:hAnsi="Times New Roman"/>
          <w:b/>
          <w:i w:val="0"/>
          <w:sz w:val="24"/>
        </w:rPr>
        <w:t>URL and Metadata Stripping</w:t>
      </w:r>
      <w:r>
        <w:rPr>
          <w:rFonts w:ascii="Times New Roman" w:hAnsi="Times New Roman"/>
          <w:b w:val="0"/>
          <w:i w:val="0"/>
          <w:sz w:val="24"/>
        </w:rPr>
        <w:t xml:space="preserve">: Elimination of </w:t>
      </w:r>
      <w:r>
        <w:rPr>
          <w:rFonts w:ascii="Courier New" w:hAnsi="Courier New"/>
          <w:sz w:val="23"/>
        </w:rPr>
        <w:t>http://</w:t>
      </w:r>
      <w:r>
        <w:rPr>
          <w:rFonts w:ascii="Times New Roman" w:hAnsi="Times New Roman"/>
          <w:b w:val="0"/>
          <w:i w:val="0"/>
          <w:sz w:val="24"/>
        </w:rPr>
        <w:t xml:space="preserve">, </w:t>
      </w:r>
      <w:r>
        <w:rPr>
          <w:rFonts w:ascii="Courier New" w:hAnsi="Courier New"/>
          <w:sz w:val="23"/>
        </w:rPr>
        <w:t>https://</w:t>
      </w:r>
      <w:r>
        <w:rPr>
          <w:rFonts w:ascii="Times New Roman" w:hAnsi="Times New Roman"/>
          <w:b w:val="0"/>
          <w:i w:val="0"/>
          <w:sz w:val="24"/>
        </w:rPr>
        <w:t>, and RT routing tokens.</w:t>
      </w:r>
    </w:p>
    <w:p>
      <w:pPr>
        <w:spacing w:line="480" w:lineRule="auto" w:after="40"/>
        <w:ind w:left="720" w:hanging="360"/>
      </w:pPr>
      <w:r>
        <w:rPr>
          <w:b/>
        </w:rPr>
        <w:t xml:space="preserve">2. </w:t>
      </w:r>
      <w:r>
        <w:rPr>
          <w:rFonts w:ascii="Times New Roman" w:hAnsi="Times New Roman"/>
          <w:b/>
          <w:i w:val="0"/>
          <w:sz w:val="24"/>
        </w:rPr>
        <w:t>Case Folding</w:t>
      </w:r>
      <w:r>
        <w:rPr>
          <w:rFonts w:ascii="Times New Roman" w:hAnsi="Times New Roman"/>
          <w:b w:val="0"/>
          <w:i w:val="0"/>
          <w:sz w:val="24"/>
        </w:rPr>
        <w:t>: Conversion to lowercase, executed selectively to maintain capitalization cues for hyperbolic emphasis prior to vectorization.</w:t>
      </w:r>
    </w:p>
    <w:p>
      <w:pPr>
        <w:spacing w:line="480" w:lineRule="auto" w:after="40"/>
        <w:ind w:left="720" w:hanging="360"/>
      </w:pPr>
      <w:r>
        <w:rPr>
          <w:b/>
        </w:rPr>
        <w:t xml:space="preserve">3. </w:t>
      </w:r>
      <w:r>
        <w:rPr>
          <w:rFonts w:ascii="Times New Roman" w:hAnsi="Times New Roman"/>
          <w:b/>
          <w:i w:val="0"/>
          <w:sz w:val="24"/>
        </w:rPr>
        <w:t>Emoji Extraction and Protection</w:t>
      </w:r>
      <w:r>
        <w:rPr>
          <w:rFonts w:ascii="Times New Roman" w:hAnsi="Times New Roman"/>
          <w:b w:val="0"/>
          <w:i w:val="0"/>
          <w:sz w:val="24"/>
        </w:rPr>
        <w:t xml:space="preserve">: Crucially, standard punctuation stripping routines were modified to </w:t>
      </w:r>
      <w:r>
        <w:rPr>
          <w:rFonts w:ascii="Times New Roman" w:hAnsi="Times New Roman"/>
          <w:b/>
          <w:i w:val="0"/>
          <w:sz w:val="24"/>
        </w:rPr>
        <w:t>protect all Unicode emoji codepoints</w:t>
      </w:r>
      <w:r>
        <w:rPr>
          <w:rFonts w:ascii="Times New Roman" w:hAnsi="Times New Roman"/>
          <w:b w:val="0"/>
          <w:i w:val="0"/>
          <w:sz w:val="24"/>
        </w:rPr>
        <w:t xml:space="preserve">. Emojis were extracted, mapped to their canonical textual descriptions using the Python </w:t>
      </w:r>
      <w:r>
        <w:rPr>
          <w:rFonts w:ascii="Courier New" w:hAnsi="Courier New"/>
          <w:sz w:val="23"/>
        </w:rPr>
        <w:t>emoji</w:t>
      </w:r>
      <w:r>
        <w:rPr>
          <w:rFonts w:ascii="Times New Roman" w:hAnsi="Times New Roman"/>
          <w:b w:val="0"/>
          <w:i w:val="0"/>
          <w:sz w:val="24"/>
        </w:rPr>
        <w:t xml:space="preserve"> library (e.g., 🤡 $\rightarrow$ </w:t>
      </w:r>
      <w:r>
        <w:rPr>
          <w:rFonts w:ascii="Courier New" w:hAnsi="Courier New"/>
          <w:sz w:val="23"/>
        </w:rPr>
        <w:t>:clown_face:</w:t>
      </w:r>
      <w:r>
        <w:rPr>
          <w:rFonts w:ascii="Times New Roman" w:hAnsi="Times New Roman"/>
          <w:b w:val="0"/>
          <w:i w:val="0"/>
          <w:sz w:val="24"/>
        </w:rPr>
        <w:t xml:space="preserve">, 🤮 $\rightarrow$ </w:t>
      </w:r>
      <w:r>
        <w:rPr>
          <w:rFonts w:ascii="Courier New" w:hAnsi="Courier New"/>
          <w:sz w:val="23"/>
        </w:rPr>
        <w:t>:face_vomiting:</w:t>
      </w:r>
      <w:r>
        <w:rPr>
          <w:rFonts w:ascii="Times New Roman" w:hAnsi="Times New Roman"/>
          <w:b w:val="0"/>
          <w:i w:val="0"/>
          <w:sz w:val="24"/>
        </w:rPr>
        <w:t>), and preserved within the token sequence.</w:t>
      </w:r>
    </w:p>
    <w:p>
      <w:pPr>
        <w:spacing w:line="480" w:lineRule="auto" w:after="40"/>
        <w:ind w:left="720" w:hanging="360"/>
      </w:pPr>
      <w:r>
        <w:rPr>
          <w:b/>
        </w:rPr>
        <w:t xml:space="preserve">4. </w:t>
      </w:r>
      <w:r>
        <w:rPr>
          <w:rFonts w:ascii="Times New Roman" w:hAnsi="Times New Roman"/>
          <w:b/>
          <w:i w:val="0"/>
          <w:sz w:val="24"/>
        </w:rPr>
        <w:t>Slang Normalization and Lexicon Expansion</w:t>
      </w:r>
      <w:r>
        <w:rPr>
          <w:rFonts w:ascii="Times New Roman" w:hAnsi="Times New Roman"/>
          <w:b w:val="0"/>
          <w:i w:val="0"/>
          <w:sz w:val="24"/>
        </w:rPr>
        <w:t>: Indonesian social media text features pervasive phonological reductions and slang (</w:t>
      </w:r>
      <w:r>
        <w:rPr>
          <w:rFonts w:ascii="Times New Roman" w:hAnsi="Times New Roman"/>
          <w:b w:val="0"/>
          <w:i/>
          <w:sz w:val="24"/>
        </w:rPr>
        <w:t>kamus alay</w:t>
      </w:r>
      <w:r>
        <w:rPr>
          <w:rFonts w:ascii="Times New Roman" w:hAnsi="Times New Roman"/>
          <w:b w:val="0"/>
          <w:i w:val="0"/>
          <w:sz w:val="24"/>
        </w:rPr>
        <w:t xml:space="preserve">). A 3,500-entry normalization dictionary was applied (e.g., </w:t>
      </w:r>
      <w:r>
        <w:rPr>
          <w:rFonts w:ascii="Times New Roman" w:hAnsi="Times New Roman"/>
          <w:b w:val="0"/>
          <w:i/>
          <w:sz w:val="24"/>
        </w:rPr>
        <w:t>bgt</w:t>
      </w:r>
      <w:r>
        <w:rPr>
          <w:rFonts w:ascii="Times New Roman" w:hAnsi="Times New Roman"/>
          <w:b w:val="0"/>
          <w:i w:val="0"/>
          <w:sz w:val="24"/>
        </w:rPr>
        <w:t xml:space="preserve"> $\rightarrow$ </w:t>
      </w:r>
      <w:r>
        <w:rPr>
          <w:rFonts w:ascii="Times New Roman" w:hAnsi="Times New Roman"/>
          <w:b w:val="0"/>
          <w:i/>
          <w:sz w:val="24"/>
        </w:rPr>
        <w:t>banget</w:t>
      </w:r>
      <w:r>
        <w:rPr>
          <w:rFonts w:ascii="Times New Roman" w:hAnsi="Times New Roman"/>
          <w:b w:val="0"/>
          <w:i w:val="0"/>
          <w:sz w:val="24"/>
        </w:rPr>
        <w:t xml:space="preserve">, </w:t>
      </w:r>
      <w:r>
        <w:rPr>
          <w:rFonts w:ascii="Times New Roman" w:hAnsi="Times New Roman"/>
          <w:b w:val="0"/>
          <w:i/>
          <w:sz w:val="24"/>
        </w:rPr>
        <w:t>anggaran2</w:t>
      </w:r>
      <w:r>
        <w:rPr>
          <w:rFonts w:ascii="Times New Roman" w:hAnsi="Times New Roman"/>
          <w:b w:val="0"/>
          <w:i w:val="0"/>
          <w:sz w:val="24"/>
        </w:rPr>
        <w:t xml:space="preserve"> $\rightarrow$ </w:t>
      </w:r>
      <w:r>
        <w:rPr>
          <w:rFonts w:ascii="Times New Roman" w:hAnsi="Times New Roman"/>
          <w:b w:val="0"/>
          <w:i/>
          <w:sz w:val="24"/>
        </w:rPr>
        <w:t>anggaran-anggaran</w:t>
      </w:r>
      <w:r>
        <w:rPr>
          <w:rFonts w:ascii="Times New Roman" w:hAnsi="Times New Roman"/>
          <w:b w:val="0"/>
          <w:i w:val="0"/>
          <w:sz w:val="24"/>
        </w:rPr>
        <w:t xml:space="preserve">, </w:t>
      </w:r>
      <w:r>
        <w:rPr>
          <w:rFonts w:ascii="Times New Roman" w:hAnsi="Times New Roman"/>
          <w:b w:val="0"/>
          <w:i/>
          <w:sz w:val="24"/>
        </w:rPr>
        <w:t>gais</w:t>
      </w:r>
      <w:r>
        <w:rPr>
          <w:rFonts w:ascii="Times New Roman" w:hAnsi="Times New Roman"/>
          <w:b w:val="0"/>
          <w:i w:val="0"/>
          <w:sz w:val="24"/>
        </w:rPr>
        <w:t xml:space="preserve"> $\rightarrow$ </w:t>
      </w:r>
      <w:r>
        <w:rPr>
          <w:rFonts w:ascii="Times New Roman" w:hAnsi="Times New Roman"/>
          <w:b w:val="0"/>
          <w:i/>
          <w:sz w:val="24"/>
        </w:rPr>
        <w:t>teman-teman</w:t>
      </w:r>
      <w:r>
        <w:rPr>
          <w:rFonts w:ascii="Times New Roman" w:hAnsi="Times New Roman"/>
          <w:b w:val="0"/>
          <w:i w:val="0"/>
          <w:sz w:val="24"/>
        </w:rPr>
        <w:t xml:space="preserve">, </w:t>
      </w:r>
      <w:r>
        <w:rPr>
          <w:rFonts w:ascii="Times New Roman" w:hAnsi="Times New Roman"/>
          <w:b w:val="0"/>
          <w:i/>
          <w:sz w:val="24"/>
        </w:rPr>
        <w:t>dpt</w:t>
      </w:r>
      <w:r>
        <w:rPr>
          <w:rFonts w:ascii="Times New Roman" w:hAnsi="Times New Roman"/>
          <w:b w:val="0"/>
          <w:i w:val="0"/>
          <w:sz w:val="24"/>
        </w:rPr>
        <w:t xml:space="preserve"> $\rightarrow$ </w:t>
      </w:r>
      <w:r>
        <w:rPr>
          <w:rFonts w:ascii="Times New Roman" w:hAnsi="Times New Roman"/>
          <w:b w:val="0"/>
          <w:i/>
          <w:sz w:val="24"/>
        </w:rPr>
        <w:t>dapat</w:t>
      </w:r>
      <w:r>
        <w:rPr>
          <w:rFonts w:ascii="Times New Roman" w:hAnsi="Times New Roman"/>
          <w:b w:val="0"/>
          <w:i w:val="0"/>
          <w:sz w:val="24"/>
        </w:rPr>
        <w:t>).</w:t>
      </w:r>
    </w:p>
    <w:p>
      <w:pPr>
        <w:spacing w:line="480" w:lineRule="auto" w:after="40"/>
        <w:ind w:left="720" w:hanging="360"/>
      </w:pPr>
      <w:r>
        <w:rPr>
          <w:b/>
        </w:rPr>
        <w:t xml:space="preserve">5. </w:t>
      </w:r>
      <w:r>
        <w:rPr>
          <w:rFonts w:ascii="Times New Roman" w:hAnsi="Times New Roman"/>
          <w:b/>
          <w:i w:val="0"/>
          <w:sz w:val="24"/>
        </w:rPr>
        <w:t>Morphological Stemming</w:t>
      </w:r>
      <w:r>
        <w:rPr>
          <w:rFonts w:ascii="Times New Roman" w:hAnsi="Times New Roman"/>
          <w:b w:val="0"/>
          <w:i w:val="0"/>
          <w:sz w:val="24"/>
        </w:rPr>
        <w:t xml:space="preserve">: Controlled morphological stemming was applied using the </w:t>
      </w:r>
      <w:r>
        <w:rPr>
          <w:rFonts w:ascii="Courier New" w:hAnsi="Courier New"/>
          <w:sz w:val="23"/>
        </w:rPr>
        <w:t>Sastrawi</w:t>
      </w:r>
      <w:r>
        <w:rPr>
          <w:rFonts w:ascii="Times New Roman" w:hAnsi="Times New Roman"/>
          <w:b w:val="0"/>
          <w:i w:val="0"/>
          <w:sz w:val="24"/>
        </w:rPr>
        <w:t xml:space="preserve"> library for root identification, avoiding over-stemming of idiomatic expressions.</w:t>
      </w:r>
    </w:p>
    <w:p>
      <w:pPr>
        <w:spacing w:line="480" w:lineRule="auto" w:before="280" w:after="80"/>
        <w:ind w:firstLine="0"/>
        <w:jc w:val="left"/>
      </w:pPr>
      <w:r>
        <w:rPr>
          <w:rFonts w:ascii="Times New Roman" w:hAnsi="Times New Roman"/>
          <w:b/>
          <w:i w:val="0"/>
          <w:sz w:val="25"/>
        </w:rPr>
        <w:t>3.4 Deep Learning Architecture: Multi-Task IndoBERT Fine-Tuning</w:t>
      </w:r>
    </w:p>
    <w:p>
      <w:pPr>
        <w:spacing w:line="480" w:lineRule="auto" w:before="0" w:after="0"/>
        <w:ind w:firstLine="720"/>
      </w:pPr>
      <w:r>
        <w:rPr>
          <w:rFonts w:ascii="Times New Roman" w:hAnsi="Times New Roman"/>
          <w:b w:val="0"/>
          <w:i w:val="0"/>
          <w:sz w:val="24"/>
        </w:rPr>
        <w:t xml:space="preserve">The core text processing engine utilized </w:t>
      </w:r>
      <w:r>
        <w:rPr>
          <w:rFonts w:ascii="Courier New" w:hAnsi="Courier New"/>
          <w:sz w:val="23"/>
        </w:rPr>
        <w:t>indobert-base-p2</w:t>
      </w:r>
      <w:r>
        <w:rPr>
          <w:rFonts w:ascii="Times New Roman" w:hAnsi="Times New Roman"/>
          <w:b w:val="0"/>
          <w:i w:val="0"/>
          <w:sz w:val="24"/>
        </w:rPr>
        <w:t xml:space="preserve"> (Wilie et al., 2020), configured with 12 transformer encoder layers, 768 hidden dimensions, 12 self-attention heads, and approximately 124.5 million parameters.</w:t>
      </w:r>
    </w:p>
    <w:p>
      <w:pPr>
        <w:spacing w:line="480" w:lineRule="auto" w:before="0" w:after="0"/>
        <w:ind w:firstLine="720"/>
      </w:pPr>
      <w:r>
        <w:rPr>
          <w:rFonts w:ascii="Times New Roman" w:hAnsi="Times New Roman"/>
          <w:b w:val="0"/>
          <w:i w:val="0"/>
          <w:sz w:val="24"/>
        </w:rPr>
        <w:t>The architecture was structured for multi-task learning:</w:t>
      </w:r>
    </w:p>
    <w:p>
      <w:pPr>
        <w:spacing w:line="480" w:lineRule="auto" w:after="40"/>
        <w:ind w:left="720" w:hanging="360"/>
      </w:pPr>
      <w:r>
        <w:rPr>
          <w:b/>
        </w:rPr>
        <w:t xml:space="preserve">1. </w:t>
      </w:r>
      <w:r>
        <w:rPr>
          <w:rFonts w:ascii="Times New Roman" w:hAnsi="Times New Roman"/>
          <w:b/>
          <w:i w:val="0"/>
          <w:sz w:val="24"/>
        </w:rPr>
        <w:t>Granular Emotion Classification</w:t>
      </w:r>
      <w:r>
        <w:rPr>
          <w:rFonts w:ascii="Times New Roman" w:hAnsi="Times New Roman"/>
          <w:b w:val="0"/>
          <w:i w:val="0"/>
          <w:sz w:val="24"/>
        </w:rPr>
        <w:t xml:space="preserve">: A 9-class classification head mapping contextualized sentence representations ($h_{[CLS]} \in \mathbb{R}^{768}$) through a dropout layer ($p = 0.3$) and a dense linear layer ($W_e \in \mathbb{R}^{9 \times 768}$) into a softmax distribution across nine discrete affective states: </w:t>
      </w:r>
      <w:r>
        <w:rPr>
          <w:rFonts w:ascii="Times New Roman" w:hAnsi="Times New Roman"/>
          <w:b w:val="0"/>
          <w:i/>
          <w:sz w:val="24"/>
        </w:rPr>
        <w:t>Anger, Disgust, Fear, Joy, Trust, Neutral, Sadness, Interest, Surprise</w:t>
      </w:r>
      <w:r>
        <w:rPr>
          <w:rFonts w:ascii="Times New Roman" w:hAnsi="Times New Roman"/>
          <w:b w:val="0"/>
          <w:i w:val="0"/>
          <w:sz w:val="24"/>
        </w:rPr>
        <w:t>.</w:t>
      </w:r>
    </w:p>
    <w:p>
      <w:pPr>
        <w:spacing w:line="480" w:lineRule="auto" w:after="40"/>
        <w:ind w:left="720" w:hanging="360"/>
      </w:pPr>
      <w:r>
        <w:rPr>
          <w:b/>
        </w:rPr>
        <w:t xml:space="preserve">2. </w:t>
      </w:r>
      <w:r>
        <w:rPr>
          <w:rFonts w:ascii="Times New Roman" w:hAnsi="Times New Roman"/>
          <w:b/>
          <w:i w:val="0"/>
          <w:sz w:val="24"/>
        </w:rPr>
        <w:t>Pragmatic Sarcasm Detection</w:t>
      </w:r>
      <w:r>
        <w:rPr>
          <w:rFonts w:ascii="Times New Roman" w:hAnsi="Times New Roman"/>
          <w:b w:val="0"/>
          <w:i w:val="0"/>
          <w:sz w:val="24"/>
        </w:rPr>
        <w:t>: A parallel binary classification head ($W_s \in \mathbb{R}^{2 \times 768}$) predicting sarcasm status ($y \in \{0, 1\}$) trained on paired instances of literal vs. paralinguistically inverted text.</w:t>
      </w:r>
    </w:p>
    <w:p>
      <w:pPr>
        <w:spacing w:line="480" w:lineRule="auto" w:before="0" w:after="0"/>
        <w:ind w:firstLine="720"/>
      </w:pPr>
      <w:r>
        <w:rPr>
          <w:rFonts w:ascii="Times New Roman" w:hAnsi="Times New Roman"/>
          <w:b w:val="0"/>
          <w:i w:val="0"/>
          <w:sz w:val="24"/>
        </w:rP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pPr>
        <w:spacing w:line="480" w:lineRule="auto" w:before="0" w:after="0"/>
        <w:ind w:firstLine="720"/>
      </w:pPr>
      <w:r>
        <w:rPr>
          <w:rFonts w:ascii="Times New Roman" w:hAnsi="Times New Roman"/>
          <w:b w:val="0"/>
          <w:i w:val="0"/>
          <w:sz w:val="24"/>
        </w:rPr>
        <w:t>$$\mathcal{L}_{total} = \lambda_1 \mathcal{L}_{emotion} + \lambda_2 \mathcal{L}_{sarcasm}$$</w:t>
      </w:r>
    </w:p>
    <w:p>
      <w:pPr>
        <w:spacing w:line="480" w:lineRule="auto" w:before="0" w:after="0"/>
        <w:ind w:firstLine="720"/>
      </w:pPr>
      <w:r>
        <w:rPr>
          <w:rFonts w:ascii="Times New Roman" w:hAnsi="Times New Roman"/>
          <w:b w:val="0"/>
          <w:i w:val="0"/>
          <w:sz w:val="24"/>
        </w:rPr>
        <w:t>where $\lambda_1 = 1.0$ and $\lambda_2 = 1.0$.</w:t>
      </w:r>
    </w:p>
    <w:p>
      <w:pPr>
        <w:spacing w:line="480" w:lineRule="auto" w:before="280" w:after="80"/>
        <w:ind w:firstLine="0"/>
        <w:jc w:val="left"/>
      </w:pPr>
      <w:r>
        <w:rPr>
          <w:rFonts w:ascii="Times New Roman" w:hAnsi="Times New Roman"/>
          <w:b/>
          <w:i w:val="0"/>
          <w:sz w:val="25"/>
        </w:rPr>
        <w:t>3.5 Aspect-Based Sentiment Analysis (ABSA) Formulation</w:t>
      </w:r>
    </w:p>
    <w:p>
      <w:pPr>
        <w:spacing w:line="480" w:lineRule="auto" w:before="0" w:after="0"/>
        <w:ind w:firstLine="720"/>
      </w:pPr>
      <w:r>
        <w:rPr>
          <w:rFonts w:ascii="Times New Roman" w:hAnsi="Times New Roman"/>
          <w:b w:val="0"/>
          <w:i w:val="0"/>
          <w:sz w:val="24"/>
        </w:rPr>
        <w:t>To move beyond blunt global sentiment measures, ABSA was operationalized following the paradigm established by Pontiki et al. (2014) and Sun, Huang, and Qiu (2019). Three operational policy aspects were identified through inductive thematic saturation:</w:t>
      </w:r>
    </w:p>
    <w:p>
      <w:pPr>
        <w:spacing w:line="480" w:lineRule="auto" w:after="40"/>
        <w:ind w:left="720" w:hanging="360"/>
      </w:pPr>
      <w:r>
        <w:rPr>
          <w:b/>
        </w:rPr>
        <w:t xml:space="preserve">• </w:t>
      </w:r>
      <w:r>
        <w:rPr>
          <w:rFonts w:ascii="Times New Roman" w:hAnsi="Times New Roman"/>
          <w:b/>
          <w:i w:val="0"/>
          <w:sz w:val="24"/>
        </w:rPr>
        <w:t>Aspect 1: Budget &amp; Procurement ($A_1$)</w:t>
      </w:r>
      <w:r>
        <w:rPr>
          <w:rFonts w:ascii="Times New Roman" w:hAnsi="Times New Roman"/>
          <w:b w:val="0"/>
          <w:i w:val="0"/>
          <w:sz w:val="24"/>
        </w:rPr>
        <w:t>: Discourse concerning the IDR 268-trillion fiscal envelope, parliamentary revisions, bidding transparency, fictitious SPPGs, vendor enrichment, and corruption risks.</w:t>
      </w:r>
    </w:p>
    <w:p>
      <w:pPr>
        <w:spacing w:line="480" w:lineRule="auto" w:after="40"/>
        <w:ind w:left="720" w:hanging="360"/>
      </w:pPr>
      <w:r>
        <w:rPr>
          <w:b/>
        </w:rPr>
        <w:t xml:space="preserve">• </w:t>
      </w:r>
      <w:r>
        <w:rPr>
          <w:rFonts w:ascii="Times New Roman" w:hAnsi="Times New Roman"/>
          <w:b/>
          <w:i w:val="0"/>
          <w:sz w:val="24"/>
        </w:rPr>
        <w:t>Aspect 2: Logistics &amp; Distribution ($A_2$)</w:t>
      </w:r>
      <w:r>
        <w:rPr>
          <w:rFonts w:ascii="Times New Roman" w:hAnsi="Times New Roman"/>
          <w:b w:val="0"/>
          <w:i w:val="0"/>
          <w:sz w:val="24"/>
        </w:rPr>
        <w:t xml:space="preserve">: Discourse concerning operational food transport, SPPG suspensions, imported </w:t>
      </w:r>
      <w:r>
        <w:rPr>
          <w:rFonts w:ascii="Times New Roman" w:hAnsi="Times New Roman"/>
          <w:b w:val="0"/>
          <w:i/>
          <w:sz w:val="24"/>
        </w:rPr>
        <w:t>ompreng</w:t>
      </w:r>
      <w:r>
        <w:rPr>
          <w:rFonts w:ascii="Times New Roman" w:hAnsi="Times New Roman"/>
          <w:b w:val="0"/>
          <w:i w:val="0"/>
          <w:sz w:val="24"/>
        </w:rPr>
        <w:t xml:space="preserve"> containers, catering capacity, delivery punctuality, and cold-chain breakdowns.</w:t>
      </w:r>
    </w:p>
    <w:p>
      <w:pPr>
        <w:spacing w:line="480" w:lineRule="auto" w:after="40"/>
        <w:ind w:left="720" w:hanging="360"/>
      </w:pPr>
      <w:r>
        <w:rPr>
          <w:b/>
        </w:rPr>
        <w:t xml:space="preserve">• </w:t>
      </w:r>
      <w:r>
        <w:rPr>
          <w:rFonts w:ascii="Times New Roman" w:hAnsi="Times New Roman"/>
          <w:b/>
          <w:i w:val="0"/>
          <w:sz w:val="24"/>
        </w:rPr>
        <w:t>Aspect 3: Nutritional Quality ($A_3$)</w:t>
      </w:r>
      <w:r>
        <w:rPr>
          <w:rFonts w:ascii="Times New Roman" w:hAnsi="Times New Roman"/>
          <w:b w:val="0"/>
          <w:i w:val="0"/>
          <w:sz w:val="24"/>
        </w:rPr>
        <w:t>: Discourse concerning dietary diversity, caloric adequacy, stunting reduction efficacy, food hygiene, portion sizes, and acute food poisoning outbreaks.</w:t>
      </w:r>
    </w:p>
    <w:p>
      <w:pPr>
        <w:spacing w:line="480" w:lineRule="auto" w:before="0" w:after="0"/>
        <w:ind w:firstLine="720"/>
      </w:pPr>
      <w:r>
        <w:rPr>
          <w:rFonts w:ascii="Times New Roman" w:hAnsi="Times New Roman"/>
          <w:b w:val="0"/>
          <w:i w:val="0"/>
          <w:sz w:val="24"/>
        </w:rPr>
        <w:t xml:space="preserve">Sentences were segmented and aspect-tagged using domain lexicons, followed by contextual classification through the fine-tuned IndoBERT backbone. Emotion distributions were mapped into affective polarities: </w:t>
      </w:r>
      <w:r>
        <w:rPr>
          <w:rFonts w:ascii="Times New Roman" w:hAnsi="Times New Roman"/>
          <w:b w:val="0"/>
          <w:i/>
          <w:sz w:val="24"/>
        </w:rPr>
        <w:t>Disgust, Anger, Fear, Sadness</w:t>
      </w:r>
      <w:r>
        <w:rPr>
          <w:rFonts w:ascii="Times New Roman" w:hAnsi="Times New Roman"/>
          <w:b w:val="0"/>
          <w:i w:val="0"/>
          <w:sz w:val="24"/>
        </w:rPr>
        <w:t xml:space="preserve"> $\rightarrow$ Negative Valenced; </w:t>
      </w:r>
      <w:r>
        <w:rPr>
          <w:rFonts w:ascii="Times New Roman" w:hAnsi="Times New Roman"/>
          <w:b w:val="0"/>
          <w:i/>
          <w:sz w:val="24"/>
        </w:rPr>
        <w:t>Joy, Trust</w:t>
      </w:r>
      <w:r>
        <w:rPr>
          <w:rFonts w:ascii="Times New Roman" w:hAnsi="Times New Roman"/>
          <w:b w:val="0"/>
          <w:i w:val="0"/>
          <w:sz w:val="24"/>
        </w:rPr>
        <w:t xml:space="preserve"> $\rightarrow$ Positive Valenced; </w:t>
      </w:r>
      <w:r>
        <w:rPr>
          <w:rFonts w:ascii="Times New Roman" w:hAnsi="Times New Roman"/>
          <w:b w:val="0"/>
          <w:i/>
          <w:sz w:val="24"/>
        </w:rPr>
        <w:t>Neutral, Interest, Surprise</w:t>
      </w:r>
      <w:r>
        <w:rPr>
          <w:rFonts w:ascii="Times New Roman" w:hAnsi="Times New Roman"/>
          <w:b w:val="0"/>
          <w:i w:val="0"/>
          <w:sz w:val="24"/>
        </w:rPr>
        <w:t xml:space="preserve"> $\rightarrow$ Neutral/Ambiguous.</w:t>
      </w:r>
    </w:p>
    <w:p>
      <w:pPr>
        <w:spacing w:line="480" w:lineRule="auto" w:before="280" w:after="80"/>
        <w:ind w:firstLine="0"/>
        <w:jc w:val="left"/>
      </w:pPr>
      <w:r>
        <w:rPr>
          <w:rFonts w:ascii="Times New Roman" w:hAnsi="Times New Roman"/>
          <w:b/>
          <w:i w:val="0"/>
          <w:sz w:val="25"/>
        </w:rPr>
        <w:t>3.6 Social Network Analysis Formalism</w:t>
      </w:r>
    </w:p>
    <w:p>
      <w:pPr>
        <w:spacing w:line="480" w:lineRule="auto" w:before="0" w:after="0"/>
        <w:ind w:firstLine="720"/>
      </w:pPr>
      <w:r>
        <w:rPr>
          <w:rFonts w:ascii="Times New Roman" w:hAnsi="Times New Roman"/>
          <w:b w:val="0"/>
          <w:i w:val="0"/>
          <w:sz w:val="24"/>
        </w:rPr>
        <w:t>Graph operations were executed in Python using NetworkX 3.2. Let $G = (V, E)$ be a directed graph. The following structural parameters were calculated:</w:t>
      </w:r>
    </w:p>
    <w:p>
      <w:pPr>
        <w:spacing w:line="480" w:lineRule="auto" w:after="40"/>
        <w:ind w:left="720" w:hanging="360"/>
      </w:pPr>
      <w:r>
        <w:rPr>
          <w:b/>
        </w:rPr>
        <w:t xml:space="preserve">1. </w:t>
      </w:r>
      <w:r>
        <w:rPr>
          <w:rFonts w:ascii="Times New Roman" w:hAnsi="Times New Roman"/>
          <w:b/>
          <w:i w:val="0"/>
          <w:sz w:val="24"/>
        </w:rPr>
        <w:t>In-Degree ($k_i^{in}$) and Out-Degree ($k_i^{out}$)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$$k_i^{in} = \sum_{j \in V} A_{ji}, \quad k_i^{out} = \sum_{j \in V} A_{ij}$$</w:t>
      </w:r>
    </w:p>
    <w:p>
      <w:pPr>
        <w:spacing w:line="480" w:lineRule="auto" w:before="0" w:after="0"/>
        <w:ind w:firstLine="720"/>
      </w:pPr>
      <w:r>
        <w:rPr>
          <w:rFonts w:ascii="Times New Roman" w:hAnsi="Times New Roman"/>
          <w:b w:val="0"/>
          <w:i w:val="0"/>
          <w:sz w:val="24"/>
        </w:rPr>
        <w:t>where $A$ is the binary adjacency matrix.</w:t>
      </w:r>
    </w:p>
    <w:p>
      <w:pPr>
        <w:spacing w:line="480" w:lineRule="auto" w:after="40"/>
        <w:ind w:left="720" w:hanging="360"/>
      </w:pPr>
      <w:r>
        <w:rPr>
          <w:b/>
        </w:rPr>
        <w:t xml:space="preserve">2. </w:t>
      </w:r>
      <w:r>
        <w:rPr>
          <w:rFonts w:ascii="Times New Roman" w:hAnsi="Times New Roman"/>
          <w:b/>
          <w:i w:val="0"/>
          <w:sz w:val="24"/>
        </w:rPr>
        <w:t>Betweenness Centrality ($C_B(v)$)</w:t>
      </w:r>
      <w:r>
        <w:rPr>
          <w:rFonts w:ascii="Times New Roman" w:hAnsi="Times New Roman"/>
          <w:b w:val="0"/>
          <w:i w:val="0"/>
          <w:sz w:val="24"/>
        </w:rPr>
        <w:t>: Measuring the proportion of all shortest paths passing through node $v$:</w:t>
      </w:r>
    </w:p>
    <w:p>
      <w:pPr>
        <w:spacing w:line="480" w:lineRule="auto" w:before="0" w:after="0"/>
        <w:ind w:firstLine="720"/>
      </w:pPr>
      <w:r>
        <w:rPr>
          <w:rFonts w:ascii="Times New Roman" w:hAnsi="Times New Roman"/>
          <w:b w:val="0"/>
          <w:i w:val="0"/>
          <w:sz w:val="24"/>
        </w:rPr>
        <w:t>$$C_B(v) = \sum_{s \neq v \neq t} \frac{\sigma_{st}(v)}{\sigma_{st}}$$</w:t>
      </w:r>
    </w:p>
    <w:p>
      <w:pPr>
        <w:spacing w:line="480" w:lineRule="auto" w:before="0" w:after="0"/>
        <w:ind w:firstLine="720"/>
      </w:pPr>
      <w:r>
        <w:rPr>
          <w:rFonts w:ascii="Times New Roman" w:hAnsi="Times New Roman"/>
          <w:b w:val="0"/>
          <w:i w:val="0"/>
          <w:sz w:val="24"/>
        </w:rPr>
        <w:t>where $\sigma_{st}$ is the total number of shortest paths from $s$ to $t$, and $\sigma_{st}(v)$ is the number of those paths that pass through $v$.</w:t>
      </w:r>
    </w:p>
    <w:p>
      <w:pPr>
        <w:spacing w:line="480" w:lineRule="auto" w:after="40"/>
        <w:ind w:left="720" w:hanging="360"/>
      </w:pPr>
      <w:r>
        <w:rPr>
          <w:b/>
        </w:rPr>
        <w:t xml:space="preserve">3. </w:t>
      </w:r>
      <w:r>
        <w:rPr>
          <w:rFonts w:ascii="Times New Roman" w:hAnsi="Times New Roman"/>
          <w:b/>
          <w:i w:val="0"/>
          <w:sz w:val="24"/>
        </w:rPr>
        <w:t>Eigenvector Centrality ($x_v$)</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$$\lambda x_v = \sum_{t \in M(v)} x_t = \sum_{t \in V} A_{vt} x_t$$</w:t>
      </w:r>
    </w:p>
    <w:p>
      <w:pPr>
        <w:spacing w:line="480" w:lineRule="auto" w:before="0" w:after="0"/>
        <w:ind w:firstLine="720"/>
      </w:pPr>
      <w:r>
        <w:rPr>
          <w:rFonts w:ascii="Times New Roman" w:hAnsi="Times New Roman"/>
          <w:b w:val="0"/>
          <w:i w:val="0"/>
          <w:sz w:val="24"/>
        </w:rPr>
        <w:t>assigning relative influence scores based on the principle that connections to high-scoring nodes contribute more to the score of the node in question.</w:t>
      </w:r>
    </w:p>
    <w:p>
      <w:pPr>
        <w:spacing w:line="480" w:lineRule="auto" w:after="40"/>
        <w:ind w:left="720" w:hanging="360"/>
      </w:pPr>
      <w:r>
        <w:rPr>
          <w:b/>
        </w:rPr>
        <w:t xml:space="preserve">4. </w:t>
      </w:r>
      <w:r>
        <w:rPr>
          <w:rFonts w:ascii="Times New Roman" w:hAnsi="Times New Roman"/>
          <w:b/>
          <w:i w:val="0"/>
          <w:sz w:val="24"/>
        </w:rPr>
        <w:t>Louvain Modularity ($Q$)</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$$Q = \frac{1}{2m} \sum_{i,j} \left[ A_{ij} - \frac{k_i k_j}{2m} \right] \delta(c_i, c_j)$$</w:t>
      </w:r>
    </w:p>
    <w:p>
      <w:pPr>
        <w:spacing w:line="480" w:lineRule="auto" w:before="0" w:after="0"/>
        <w:ind w:firstLine="720"/>
      </w:pPr>
      <w:r>
        <w:rPr>
          <w:rFonts w:ascii="Times New Roman" w:hAnsi="Times New Roman"/>
          <w:b w:val="0"/>
          <w:i w:val="0"/>
          <w:sz w:val="24"/>
        </w:rPr>
        <w:t>where $m = |E|$, $k_i$ is node degree, and $\delta(c_i, c_j) = 1$ if nodes $i, j$ belong to community $c$, else $0$.</w:t>
      </w:r>
    </w:p>
    <w:p>
      <w:pPr>
        <w:spacing w:line="480" w:lineRule="auto" w:after="40"/>
        <w:ind w:left="720" w:hanging="360"/>
      </w:pPr>
      <w:r>
        <w:rPr>
          <w:b/>
        </w:rPr>
        <w:t xml:space="preserve">5. </w:t>
      </w:r>
      <w:r>
        <w:rPr>
          <w:rFonts w:ascii="Times New Roman" w:hAnsi="Times New Roman"/>
          <w:b/>
          <w:i w:val="0"/>
          <w:sz w:val="24"/>
        </w:rPr>
        <w:t>Degree Assortativity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\frac{\sum_{xy} xy (e_{xy} - a_x b_y)}{\sigma_a \sigma_b}$$</w:t>
      </w:r>
    </w:p>
    <w:p>
      <w:pPr>
        <w:spacing w:line="480" w:lineRule="auto" w:before="0" w:after="0"/>
        <w:ind w:firstLine="720"/>
      </w:pPr>
      <w:r>
        <w:rPr>
          <w:rFonts w:ascii="Times New Roman" w:hAnsi="Times New Roman"/>
          <w:b w:val="0"/>
          <w:i w:val="0"/>
          <w:sz w:val="24"/>
        </w:rPr>
        <w:t>quantifying whether nodes attach preferentially to peers of similar degree.</w:t>
      </w:r>
    </w:p>
    <w:p>
      <w:pPr>
        <w:spacing w:line="480" w:lineRule="auto" w:before="360" w:after="120"/>
        <w:jc w:val="center"/>
      </w:pPr>
      <w:r>
        <w:rPr>
          <w:rFonts w:ascii="Times New Roman" w:hAnsi="Times New Roman"/>
          <w:b/>
          <w:i w:val="0"/>
          <w:sz w:val="28"/>
        </w:rPr>
        <w:t>4. Empirical Results</w:t>
      </w:r>
    </w:p>
    <w:p>
      <w:pPr>
        <w:spacing w:line="480" w:lineRule="auto" w:before="280" w:after="80"/>
        <w:ind w:firstLine="0"/>
        <w:jc w:val="left"/>
      </w:pPr>
      <w:r>
        <w:rPr>
          <w:rFonts w:ascii="Times New Roman" w:hAnsi="Times New Roman"/>
          <w:b/>
          <w:i w:val="0"/>
          <w:sz w:val="25"/>
        </w:rPr>
        <w:t>4.1 Macro-Topological Network Profile</w:t>
      </w:r>
    </w:p>
    <w:p>
      <w:pPr>
        <w:spacing w:line="480" w:lineRule="auto" w:before="0" w:after="0"/>
        <w:ind w:firstLine="720"/>
      </w:pPr>
      <w:r>
        <w:rPr>
          <w:rFonts w:ascii="Times New Roman" w:hAnsi="Times New Roman"/>
          <w:b w:val="0"/>
          <w:i w:val="0"/>
          <w:sz w:val="24"/>
        </w:rPr>
        <w:t>The mathematical extraction of graph metrics across the complete interaction corpus of MBG discourse reveals an astonishing topological profile. Table 1 summarizes the empirical metrics alongside theoretical benchmarks.</w:t>
      </w:r>
    </w:p>
    <w:p>
      <w:pPr>
        <w:spacing w:before="280" w:after="80" w:line="288" w:lineRule="auto"/>
        <w:jc w:val="left"/>
      </w:pPr>
      <w:r>
        <w:rPr>
          <w:rFonts w:ascii="Times New Roman" w:hAnsi="Times New Roman"/>
          <w:b/>
          <w:i w:val="0"/>
          <w:sz w:val="22"/>
        </w:rPr>
        <w:t>Table 1: Macro-Topological Metrics of the Official MBG Communication Network (March–May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Topological Parameter</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Theoretical / Baseline Interpretation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Classification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Directed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Asymmetric mention and reply relations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Nodes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Active user accounts participating in interaction</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692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Directed communicative transactions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Unique Directed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666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Distinct non-duplicate directed ties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Self-Loops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Self-reply or reflexive broadcast mentions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Density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$\rho$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0.000707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Extremely sparse; only $0.07\%$ of possible ties exist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Dyadic Reciprocity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Near-zero bidirectional conversation; pure broadcast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Weakly Connected Components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$N_{WCC}$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Severe communicative fragmentation; isolated clusters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Coverage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V_{GCC}\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89 (9.17%)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Less than $10\%$ of actors participate in the primary conversational core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Diameter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shortest path across the core cluster</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Path Length (GCC)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3.67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Clustering Coefficient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Minimal triadic closure; low local cohesiveness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Louvain Modularity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$Q$</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0.9837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Hyper-fragmented community segregation ($Q \to 1.0$)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Degree Assortativity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−0.0847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Disassortative mixing; low-degree nodes target hubs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Power-Law Exponent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$\alpha$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2.168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Confirmed scale-free topology ($2 &lt; \alpha &lt; 3$)</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In-Degree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$\max(k^{in})$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Concentrated entirely on algorithmic oracle </w:t>
            </w:r>
            <w:r>
              <w:rPr>
                <w:rFonts w:ascii="Courier New" w:hAnsi="Courier New"/>
                <w:sz w:val="17"/>
              </w:rPr>
              <w:t>@grok</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bl>
    <w:p>
      <w:pPr>
        <w:spacing w:after="160"/>
      </w:pPr>
    </w:p>
    <w:p>
      <w:pPr>
        <w:spacing w:line="480" w:lineRule="auto" w:before="0" w:after="0"/>
        <w:ind w:firstLine="720"/>
      </w:pPr>
      <w:r>
        <w:rPr>
          <w:rFonts w:ascii="Times New Roman" w:hAnsi="Times New Roman"/>
          <w:b w:val="0"/>
          <w:i w:val="0"/>
          <w:sz w:val="24"/>
        </w:rPr>
        <w:t>Figure 6 visualizes the macro topological distributions, degree curves, and component characteristics.</w:t>
      </w:r>
    </w:p>
    <w:p>
      <w:pPr>
        <w:spacing w:before="240" w:after="80"/>
        <w:jc w:val="center"/>
      </w:pPr>
      <w:r>
        <w:drawing>
          <wp:inline xmlns:a="http://schemas.openxmlformats.org/drawingml/2006/main" xmlns:pic="http://schemas.openxmlformats.org/drawingml/2006/picture">
            <wp:extent cx="5669280" cy="3912635"/>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1"/>
                    <a:stretch>
                      <a:fillRect/>
                    </a:stretch>
                  </pic:blipFill>
                  <pic:spPr>
                    <a:xfrm>
                      <a:off x="0" y="0"/>
                      <a:ext cx="5669280" cy="3912635"/>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6: Macro Network Topology and Power-Law Degree Distribution</w:t>
      </w:r>
    </w:p>
    <w:p>
      <w:pPr>
        <w:spacing w:line="480" w:lineRule="auto" w:before="0" w:after="0"/>
        <w:ind w:firstLine="720"/>
      </w:pPr>
      <w:r>
        <w:rPr>
          <w:rFonts w:ascii="Times New Roman" w:hAnsi="Times New Roman"/>
          <w:b w:val="0"/>
          <w:i w:val="0"/>
          <w:sz w:val="24"/>
        </w:rPr>
        <w:t>As evident in Figure 6, the empirical in-degree distribution conforms rigorously to a power-law regime with scaling exponent $\alpha = 2.168$. In the statistical physics of complex networks (Barabási &amp; Albert, 1999; Clauset, Shalizi, &amp; Newman, 2009), an exponent $2 &lt; \alpha &lt; 3$ indicates an ultra-resilient scale-free architecture wherein a microscopic fraction of nodes commands the overwhelming share of connectivity.</w:t>
      </w:r>
    </w:p>
    <w:p>
      <w:pPr>
        <w:spacing w:line="480" w:lineRule="auto" w:before="0" w:after="0"/>
        <w:ind w:firstLine="720"/>
      </w:pPr>
      <w:r>
        <w:rPr>
          <w:rFonts w:ascii="Times New Roman" w:hAnsi="Times New Roman"/>
          <w:b w:val="0"/>
          <w:i w:val="0"/>
          <w:sz w:val="24"/>
        </w:rP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line="480" w:lineRule="auto" w:before="280" w:after="80"/>
        <w:ind w:firstLine="0"/>
        <w:jc w:val="left"/>
      </w:pPr>
      <w:r>
        <w:rPr>
          <w:rFonts w:ascii="Times New Roman" w:hAnsi="Times New Roman"/>
          <w:b/>
          <w:i w:val="0"/>
          <w:sz w:val="25"/>
        </w:rPr>
        <w:t>4.2 Structural Fragmentation and Component Distribution</w:t>
      </w:r>
    </w:p>
    <w:p>
      <w:pPr>
        <w:spacing w:line="480" w:lineRule="auto" w:before="0" w:after="0"/>
        <w:ind w:firstLine="720"/>
      </w:pPr>
      <w:r>
        <w:rPr>
          <w:rFonts w:ascii="Times New Roman" w:hAnsi="Times New Roman"/>
          <w:b w:val="0"/>
          <w:i w:val="0"/>
          <w:sz w:val="24"/>
        </w:rPr>
        <w:t xml:space="preserve">A defining discovery of this study is the extreme structural atomization of public discourse. Rather than coalescing into a single, expansive public sphere or even a classic two-pole battleground, the network shatters into </w:t>
      </w:r>
      <w:r>
        <w:rPr>
          <w:rFonts w:ascii="Times New Roman" w:hAnsi="Times New Roman"/>
          <w:b/>
          <w:i w:val="0"/>
          <w:sz w:val="24"/>
        </w:rPr>
        <w:t>341 distinct weakly connected components</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Figure 7 renders the global network layout utilizing the NodeXL force-directed algorithm.</w:t>
      </w:r>
    </w:p>
    <w:p>
      <w:pPr>
        <w:spacing w:before="240" w:after="80"/>
        <w:jc w:val="center"/>
      </w:pPr>
      <w:r>
        <w:drawing>
          <wp:inline xmlns:a="http://schemas.openxmlformats.org/drawingml/2006/main" xmlns:pic="http://schemas.openxmlformats.org/drawingml/2006/picture">
            <wp:extent cx="5669280" cy="4481153"/>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2"/>
                    <a:stretch>
                      <a:fillRect/>
                    </a:stretch>
                  </pic:blipFill>
                  <pic:spPr>
                    <a:xfrm>
                      <a:off x="0" y="0"/>
                      <a:ext cx="5669280" cy="4481153"/>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7: Global Network Graph Visualization with Louvain Community Grouping</w:t>
      </w:r>
    </w:p>
    <w:p>
      <w:pPr>
        <w:spacing w:line="480" w:lineRule="auto" w:before="0" w:after="0"/>
        <w:ind w:firstLine="720"/>
      </w:pPr>
      <w:r>
        <w:rPr>
          <w:rFonts w:ascii="Times New Roman" w:hAnsi="Times New Roman"/>
          <w:b w:val="0"/>
          <w:i w:val="0"/>
          <w:sz w:val="24"/>
        </w:rPr>
        <w:t>Figure 7 provides visual proof of this atomization:</w:t>
      </w:r>
    </w:p>
    <w:p>
      <w:pPr>
        <w:spacing w:line="480" w:lineRule="auto" w:after="40"/>
        <w:ind w:left="720" w:hanging="360"/>
      </w:pPr>
      <w:r>
        <w:rPr>
          <w:b/>
        </w:rPr>
        <w:t xml:space="preserve">1. </w:t>
      </w:r>
      <w:r>
        <w:rPr>
          <w:rFonts w:ascii="Times New Roman" w:hAnsi="Times New Roman"/>
          <w:b/>
          <w:i w:val="0"/>
          <w:sz w:val="24"/>
        </w:rPr>
        <w:t>The Isolated Periphery</w:t>
      </w:r>
      <w:r>
        <w:rPr>
          <w:rFonts w:ascii="Times New Roman" w:hAnsi="Times New Roman"/>
          <w:b w:val="0"/>
          <w:i w:val="0"/>
          <w:sz w:val="24"/>
        </w:rPr>
        <w:t xml:space="preserve">: Of the 341 components, </w:t>
      </w:r>
      <w:r>
        <w:rPr>
          <w:rFonts w:ascii="Times New Roman" w:hAnsi="Times New Roman"/>
          <w:b/>
          <w:i w:val="0"/>
          <w:sz w:val="24"/>
        </w:rPr>
        <w:t>232 components (68.03%) consist of isolated dyadic pairs</w:t>
      </w:r>
      <w:r>
        <w:rPr>
          <w:rFonts w:ascii="Times New Roman" w:hAnsi="Times New Roman"/>
          <w:b w:val="0"/>
          <w:i w:val="0"/>
          <w:sz w:val="24"/>
        </w:rPr>
        <w:t xml:space="preserve"> (two nodes connected by a single edge). A further 48 components consist of isolated triads (three nodes). These micro-conversations represent localized exchanges where citizens vent or comment without connecting to broader informational cascades.</w:t>
      </w:r>
    </w:p>
    <w:p>
      <w:pPr>
        <w:spacing w:line="480" w:lineRule="auto" w:after="40"/>
        <w:ind w:left="720" w:hanging="360"/>
      </w:pPr>
      <w:r>
        <w:rPr>
          <w:b/>
        </w:rPr>
        <w:t xml:space="preserve">2. </w:t>
      </w:r>
      <w:r>
        <w:rPr>
          <w:rFonts w:ascii="Times New Roman" w:hAnsi="Times New Roman"/>
          <w:b/>
          <w:i w:val="0"/>
          <w:sz w:val="24"/>
        </w:rPr>
        <w:t>The Giant Component ($9.17\%$)</w:t>
      </w:r>
      <w:r>
        <w:rPr>
          <w:rFonts w:ascii="Times New Roman" w:hAnsi="Times New Roman"/>
          <w:b w:val="0"/>
          <w:i w:val="0"/>
          <w:sz w:val="24"/>
        </w:rPr>
        <w:t>: The largest connected component encompasses only 89 nodes. Within this core, diverse ideological camps collide: pro-government accounts defending regional pilot projects in Papua, citizen activists reporting food hygiene violations, and sarcastic commenters.</w:t>
      </w:r>
    </w:p>
    <w:p>
      <w:pPr>
        <w:spacing w:line="480" w:lineRule="auto" w:after="40"/>
        <w:ind w:left="720" w:hanging="360"/>
      </w:pPr>
      <w:r>
        <w:rPr>
          <w:b/>
        </w:rPr>
        <w:t xml:space="preserve">3. </w:t>
      </w:r>
      <w:r>
        <w:rPr>
          <w:rFonts w:ascii="Times New Roman" w:hAnsi="Times New Roman"/>
          <w:b/>
          <w:i w:val="0"/>
          <w:sz w:val="24"/>
        </w:rPr>
        <w:t>Absence of Bridges</w:t>
      </w:r>
      <w:r>
        <w:rPr>
          <w:rFonts w:ascii="Times New Roman" w:hAnsi="Times New Roman"/>
          <w:b w:val="0"/>
          <w:i w:val="0"/>
          <w:sz w:val="24"/>
        </w:rPr>
        <w:t>: The boundary bridging rate across components is effectively zero. Once a sarcastic narrative ignites within an isolated component, it remains structurally confined unless elevated by an external platform algorithm.</w:t>
      </w:r>
    </w:p>
    <w:p>
      <w:pPr>
        <w:spacing w:line="480" w:lineRule="auto" w:before="280" w:after="80"/>
        <w:ind w:firstLine="0"/>
        <w:jc w:val="left"/>
      </w:pPr>
      <w:r>
        <w:rPr>
          <w:rFonts w:ascii="Times New Roman" w:hAnsi="Times New Roman"/>
          <w:b/>
          <w:i w:val="0"/>
          <w:sz w:val="25"/>
        </w:rPr>
        <w:t>4.3 Community Echo Chambers and Interaction Routing</w:t>
      </w:r>
    </w:p>
    <w:p>
      <w:pPr>
        <w:spacing w:line="480" w:lineRule="auto" w:before="0" w:after="0"/>
        <w:ind w:firstLine="720"/>
      </w:pPr>
      <w:r>
        <w:rPr>
          <w:rFonts w:ascii="Times New Roman" w:hAnsi="Times New Roman"/>
          <w:b w:val="0"/>
          <w:i w:val="0"/>
          <w:sz w:val="24"/>
        </w:rPr>
        <w:t xml:space="preserve">Application of the Louvain community detection algorithm to the graph projection produced </w:t>
      </w:r>
      <w:r>
        <w:rPr>
          <w:rFonts w:ascii="Times New Roman" w:hAnsi="Times New Roman"/>
          <w:b/>
          <w:i w:val="0"/>
          <w:sz w:val="24"/>
        </w:rPr>
        <w:t>342 distinct communities</w:t>
      </w:r>
      <w:r>
        <w:rPr>
          <w:rFonts w:ascii="Times New Roman" w:hAnsi="Times New Roman"/>
          <w:b w:val="0"/>
          <w:i w:val="0"/>
          <w:sz w:val="24"/>
        </w:rPr>
        <w:t xml:space="preserve">, achieving a modularity score of </w:t>
      </w:r>
      <w:r>
        <w:rPr>
          <w:rFonts w:ascii="Times New Roman" w:hAnsi="Times New Roman"/>
          <w:b/>
          <w:i w:val="0"/>
          <w:sz w:val="24"/>
        </w:rPr>
        <w:t>$Q = 0.9837$</w:t>
      </w:r>
      <w:r>
        <w:rPr>
          <w:rFonts w:ascii="Times New Roman" w:hAnsi="Times New Roman"/>
          <w:b w:val="0"/>
          <w:i w:val="0"/>
          <w:sz w:val="24"/>
        </w:rPr>
        <w:t>. To put this score in perspective, classical literature (Newman, 2006) considers $Q &gt; 0.4$ indicative of strong community structure. A score of $0.9837$ borders on the theoretical maximum of $1.0$, indicating absolute communicative compartmentalization.</w:t>
      </w:r>
    </w:p>
    <w:p>
      <w:pPr>
        <w:spacing w:line="480" w:lineRule="auto" w:before="0" w:after="0"/>
        <w:ind w:firstLine="720"/>
      </w:pPr>
      <w:r>
        <w:rPr>
          <w:rFonts w:ascii="Times New Roman" w:hAnsi="Times New Roman"/>
          <w:b w:val="0"/>
          <w:i w:val="0"/>
          <w:sz w:val="24"/>
        </w:rPr>
        <w:t>Figure 8 and Figure 10 illustrate the interaction dynamics, multi-community routing, and internal echo-chamber segregation.</w:t>
      </w:r>
    </w:p>
    <w:p>
      <w:pPr>
        <w:spacing w:before="240" w:after="80"/>
        <w:jc w:val="center"/>
      </w:pPr>
      <w:r>
        <w:drawing>
          <wp:inline xmlns:a="http://schemas.openxmlformats.org/drawingml/2006/main" xmlns:pic="http://schemas.openxmlformats.org/drawingml/2006/picture">
            <wp:extent cx="5669280" cy="3156377"/>
            <wp:docPr id="4" name="Picture 4"/>
            <wp:cNvGraphicFramePr>
              <a:graphicFrameLocks noChangeAspect="1"/>
            </wp:cNvGraphicFramePr>
            <a:graphic>
              <a:graphicData uri="http://schemas.openxmlformats.org/drawingml/2006/picture">
                <pic:pic>
                  <pic:nvPicPr>
                    <pic:cNvPr id="0" name="15_material3_network_interaction.png"/>
                    <pic:cNvPicPr/>
                  </pic:nvPicPr>
                  <pic:blipFill>
                    <a:blip r:embed="rId13"/>
                    <a:stretch>
                      <a:fillRect/>
                    </a:stretch>
                  </pic:blipFill>
                  <pic:spPr>
                    <a:xfrm>
                      <a:off x="0" y="0"/>
                      <a:ext cx="5669280" cy="31563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8: Interaction Dynamics and Edge Routing Topology</w:t>
      </w:r>
    </w:p>
    <w:p>
      <w:pPr>
        <w:spacing w:before="240" w:after="80"/>
        <w:jc w:val="center"/>
      </w:pPr>
      <w:r>
        <w:drawing>
          <wp:inline xmlns:a="http://schemas.openxmlformats.org/drawingml/2006/main" xmlns:pic="http://schemas.openxmlformats.org/drawingml/2006/picture">
            <wp:extent cx="5669280" cy="3893030"/>
            <wp:docPr id="5" name="Picture 5"/>
            <wp:cNvGraphicFramePr>
              <a:graphicFrameLocks noChangeAspect="1"/>
            </wp:cNvGraphicFramePr>
            <a:graphic>
              <a:graphicData uri="http://schemas.openxmlformats.org/drawingml/2006/picture">
                <pic:pic>
                  <pic:nvPicPr>
                    <pic:cNvPr id="0" name="19_community_echo_chambers.png"/>
                    <pic:cNvPicPr/>
                  </pic:nvPicPr>
                  <pic:blipFill>
                    <a:blip r:embed="rId14"/>
                    <a:stretch>
                      <a:fillRect/>
                    </a:stretch>
                  </pic:blipFill>
                  <pic:spPr>
                    <a:xfrm>
                      <a:off x="0" y="0"/>
                      <a:ext cx="5669280" cy="38930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10: Community Echo Chamber Polarization and Sarcasm Concentrations</w:t>
      </w:r>
    </w:p>
    <w:p>
      <w:pPr>
        <w:spacing w:line="480" w:lineRule="auto" w:before="0" w:after="0"/>
        <w:ind w:firstLine="720"/>
      </w:pPr>
      <w:r>
        <w:rPr>
          <w:rFonts w:ascii="Times New Roman" w:hAnsi="Times New Roman"/>
          <w:b w:val="0"/>
          <w:i w:val="0"/>
          <w:sz w:val="24"/>
        </w:rPr>
        <w:t>Quantitative calculation of intra- versus inter-community communication reveals a staggering disparity:</w:t>
      </w:r>
    </w:p>
    <w:p>
      <w:pPr>
        <w:spacing w:line="480" w:lineRule="auto" w:after="40"/>
        <w:ind w:left="720" w:hanging="360"/>
      </w:pPr>
      <w:r>
        <w:rPr>
          <w:b/>
        </w:rPr>
        <w:t xml:space="preserve">• </w:t>
      </w:r>
      <w:r>
        <w:rPr>
          <w:rFonts w:ascii="Times New Roman" w:hAnsi="Times New Roman"/>
          <w:b/>
          <w:i w:val="0"/>
          <w:sz w:val="24"/>
        </w:rPr>
        <w:t>Total Internal Edges</w:t>
      </w:r>
      <w:r>
        <w:rPr>
          <w:rFonts w:ascii="Times New Roman" w:hAnsi="Times New Roman"/>
          <w:b w:val="0"/>
          <w:i w:val="0"/>
          <w:sz w:val="24"/>
        </w:rPr>
        <w:t>: 691 edges ($99.86\%$) connect nodes strictly within the same community.</w:t>
      </w:r>
    </w:p>
    <w:p>
      <w:pPr>
        <w:spacing w:line="480" w:lineRule="auto" w:after="40"/>
        <w:ind w:left="720" w:hanging="360"/>
      </w:pPr>
      <w:r>
        <w:rPr>
          <w:b/>
        </w:rPr>
        <w:t xml:space="preserve">• </w:t>
      </w:r>
      <w:r>
        <w:rPr>
          <w:rFonts w:ascii="Times New Roman" w:hAnsi="Times New Roman"/>
          <w:b/>
          <w:i w:val="0"/>
          <w:sz w:val="24"/>
        </w:rPr>
        <w:t>Cross-Community Bridge Edges</w:t>
      </w:r>
      <w:r>
        <w:rPr>
          <w:rFonts w:ascii="Times New Roman" w:hAnsi="Times New Roman"/>
          <w:b w:val="0"/>
          <w:i w:val="0"/>
          <w:sz w:val="24"/>
        </w:rPr>
        <w:t xml:space="preserve">: Exactly </w:t>
      </w:r>
      <w:r>
        <w:rPr>
          <w:rFonts w:ascii="Times New Roman" w:hAnsi="Times New Roman"/>
          <w:b/>
          <w:i w:val="0"/>
          <w:sz w:val="24"/>
        </w:rPr>
        <w:t>1 edge ($0.14\%$)</w:t>
      </w:r>
      <w:r>
        <w:rPr>
          <w:rFonts w:ascii="Times New Roman" w:hAnsi="Times New Roman"/>
          <w:b w:val="0"/>
          <w:i w:val="0"/>
          <w:sz w:val="24"/>
        </w:rPr>
        <w:t xml:space="preserve"> spans across distinct communities.</w:t>
      </w:r>
    </w:p>
    <w:p>
      <w:pPr>
        <w:spacing w:line="480" w:lineRule="auto" w:before="0" w:after="0"/>
        <w:ind w:firstLine="720"/>
      </w:pPr>
      <w:r>
        <w:rPr>
          <w:rFonts w:ascii="Times New Roman" w:hAnsi="Times New Roman"/>
          <w:b w:val="0"/>
          <w:i w:val="0"/>
          <w:sz w:val="24"/>
        </w:rPr>
        <w:t xml:space="preserve">This yields an </w:t>
      </w:r>
      <w:r>
        <w:rPr>
          <w:rFonts w:ascii="Times New Roman" w:hAnsi="Times New Roman"/>
          <w:b/>
          <w:i w:val="0"/>
          <w:sz w:val="24"/>
        </w:rPr>
        <w:t>Echo Chamber Metric of 99.86%</w:t>
      </w:r>
      <w:r>
        <w:rPr>
          <w:rFonts w:ascii="Times New Roman" w:hAnsi="Times New Roman"/>
          <w:b w:val="0"/>
          <w:i w:val="0"/>
          <w:sz w:val="24"/>
        </w:rPr>
        <w:t>. Public discourse regarding MBG on platform X operates under near-total communicative insularity. Table 2 profiles the six most prominent communities.</w:t>
      </w:r>
    </w:p>
    <w:p>
      <w:pPr>
        <w:spacing w:before="280" w:after="80" w:line="288" w:lineRule="auto"/>
        <w:jc w:val="left"/>
      </w:pPr>
      <w:r>
        <w:rPr>
          <w:rFonts w:ascii="Times New Roman" w:hAnsi="Times New Roman"/>
          <w:b/>
          <w:i w:val="0"/>
          <w:sz w:val="22"/>
        </w:rPr>
        <w:t>Table 2: Thematic Profile and Affective Signatures of Dominant Louvain Communities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Community ID</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Active Nodes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Proportion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Discourse Theme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Key Anchoring Nodes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$4.74\%$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Elite Policy Authority Accountability &amp; Grievance</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w:t>
            </w:r>
            <w:r>
              <w:rPr>
                <w:rFonts w:ascii="Courier New" w:hAnsi="Courier New"/>
                <w:sz w:val="17"/>
              </w:rPr>
              <w:t>@regar_op0sisi</w:t>
            </w:r>
            <w:r>
              <w:rPr>
                <w:rFonts w:ascii="Times New Roman" w:hAnsi="Times New Roman"/>
                <w:b w:val="0"/>
                <w:i w:val="0"/>
                <w:sz w:val="18"/>
              </w:rPr>
              <w:t xml:space="preserve">, </w:t>
            </w:r>
            <w:r>
              <w:rPr>
                <w:rFonts w:ascii="Courier New" w:hAnsi="Courier New"/>
                <w:sz w:val="17"/>
              </w:rPr>
              <w:t>@daffiriffi</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($62.1\%$)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Algorithmic Verification &amp; Fact-Checking Requests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w:t>
            </w:r>
            <w:r>
              <w:rPr>
                <w:rFonts w:ascii="Courier New" w:hAnsi="Courier New"/>
                <w:sz w:val="17"/>
              </w:rPr>
              <w:t>@unmagnetism</w:t>
            </w:r>
            <w:r>
              <w:rPr>
                <w:rFonts w:ascii="Times New Roman" w:hAnsi="Times New Roman"/>
                <w:b w:val="0"/>
                <w:i w:val="0"/>
                <w:sz w:val="18"/>
              </w:rPr>
              <w:t xml:space="preserve">, </w:t>
            </w:r>
            <w:r>
              <w:rPr>
                <w:rFonts w:ascii="Courier New" w:hAnsi="Courier New"/>
                <w:sz w:val="17"/>
              </w:rPr>
              <w:t>@JuanJulianto2</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Sarcasm</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Grassroots Sarcasm &amp; Digital Satire Diffusion</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w:t>
            </w:r>
            <w:r>
              <w:rPr>
                <w:rFonts w:ascii="Courier New" w:hAnsi="Courier New"/>
                <w:sz w:val="17"/>
              </w:rPr>
              <w:t>@newIding30</w:t>
            </w:r>
            <w:r>
              <w:rPr>
                <w:rFonts w:ascii="Times New Roman" w:hAnsi="Times New Roman"/>
                <w:b w:val="0"/>
                <w:i w:val="0"/>
                <w:sz w:val="18"/>
              </w:rPr>
              <w:t xml:space="preserve">, </w:t>
            </w:r>
            <w:r>
              <w:rPr>
                <w:rFonts w:ascii="Courier New" w:hAnsi="Courier New"/>
                <w:sz w:val="17"/>
              </w:rPr>
              <w:t>@Capitalisborju</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Sadness</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Parent Solidarity &amp; Food Poisoning Disclosures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w:t>
            </w:r>
            <w:r>
              <w:rPr>
                <w:rFonts w:ascii="Courier New" w:hAnsi="Courier New"/>
                <w:sz w:val="17"/>
              </w:rPr>
              <w:t>@greeniefloo</w:t>
            </w:r>
            <w:r>
              <w:rPr>
                <w:rFonts w:ascii="Times New Roman" w:hAnsi="Times New Roman"/>
                <w:b w:val="0"/>
                <w:i w:val="0"/>
                <w:sz w:val="18"/>
              </w:rPr>
              <w:t xml:space="preserve">, </w:t>
            </w:r>
            <w:r>
              <w:rPr>
                <w:rFonts w:ascii="Courier New" w:hAnsi="Courier New"/>
                <w:sz w:val="17"/>
              </w:rPr>
              <w:t>@renregalia</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International &amp; Lusophone Comparative Accounts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w:t>
            </w:r>
            <w:r>
              <w:rPr>
                <w:rFonts w:ascii="Courier New" w:hAnsi="Courier New"/>
                <w:sz w:val="17"/>
              </w:rPr>
              <w:t>@SauloLinsFreir1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Fear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Student &amp; Youth Peer Reaction Network</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w:t>
            </w:r>
            <w:r>
              <w:rPr>
                <w:rFonts w:ascii="Courier New" w:hAnsi="Courier New"/>
                <w:sz w:val="17"/>
              </w:rPr>
              <w:t>@helloyosh_</w:t>
            </w:r>
            <w:r>
              <w:rPr>
                <w:rFonts w:ascii="Times New Roman" w:hAnsi="Times New Roman"/>
                <w:b w:val="0"/>
                <w:i w:val="0"/>
                <w:sz w:val="18"/>
              </w:rPr>
              <w:t xml:space="preserve">, </w:t>
            </w:r>
            <w:r>
              <w:rPr>
                <w:rFonts w:ascii="Courier New" w:hAnsi="Courier New"/>
                <w:sz w:val="17"/>
              </w:rPr>
              <w:t>@ayiurswoo</w:t>
            </w:r>
          </w:p>
        </w:tc>
      </w:tr>
    </w:tbl>
    <w:p>
      <w:pPr>
        <w:spacing w:after="160"/>
      </w:pPr>
    </w:p>
    <w:p>
      <w:pPr>
        <w:spacing w:line="480" w:lineRule="auto" w:before="0" w:after="0"/>
        <w:ind w:firstLine="720"/>
      </w:pPr>
      <w:r>
        <w:rPr>
          <w:rFonts w:ascii="Times New Roman" w:hAnsi="Times New Roman"/>
          <w:b w:val="0"/>
          <w:i w:val="0"/>
          <w:sz w:val="24"/>
        </w:rPr>
        <w:t xml:space="preserve">A vital sociological pattern emerges in Table 2: </w:t>
      </w:r>
      <w:r>
        <w:rPr>
          <w:rFonts w:ascii="Times New Roman" w:hAnsi="Times New Roman"/>
          <w:b/>
          <w:i w:val="0"/>
          <w:sz w:val="24"/>
        </w:rPr>
        <w:t>Community #15 is the only major community where DISGUST serves as the dominant modal emotion</w:t>
      </w:r>
      <w:r>
        <w:rPr>
          <w:rFonts w:ascii="Times New Roman" w:hAnsi="Times New Roman"/>
          <w:b w:val="0"/>
          <w:i w:val="0"/>
          <w:sz w:val="24"/>
        </w:rPr>
        <w:t xml:space="preserve">. This is precisely the community anchored by the presidential account </w:t>
      </w:r>
      <w:r>
        <w:rPr>
          <w:rFonts w:ascii="Courier New" w:hAnsi="Courier New"/>
          <w:sz w:val="23"/>
        </w:rPr>
        <w:t>@prabowo</w:t>
      </w:r>
      <w:r>
        <w:rPr>
          <w:rFonts w:ascii="Times New Roman" w:hAnsi="Times New Roman"/>
          <w:b w:val="0"/>
          <w:i w:val="0"/>
          <w:sz w:val="24"/>
        </w:rPr>
        <w:t xml:space="preserve"> and high-profile political opposition actors (</w:t>
      </w:r>
      <w:r>
        <w:rPr>
          <w:rFonts w:ascii="Courier New" w:hAnsi="Courier New"/>
          <w:sz w:val="23"/>
        </w:rPr>
        <w:t>@regar_op0sisi</w:t>
      </w:r>
      <w:r>
        <w:rPr>
          <w:rFonts w:ascii="Times New Roman" w:hAnsi="Times New Roman"/>
          <w:b w:val="0"/>
          <w:i w:val="0"/>
          <w:sz w:val="24"/>
        </w:rPr>
        <w:t xml:space="preserve">). When citizens address official power, their affective register sharpens into visceral moral condemnation. In contrast, Community #61 (the </w:t>
      </w:r>
      <w:r>
        <w:rPr>
          <w:rFonts w:ascii="Courier New" w:hAnsi="Courier New"/>
          <w:sz w:val="23"/>
        </w:rPr>
        <w:t>@grok</w:t>
      </w:r>
      <w:r>
        <w:rPr>
          <w:rFonts w:ascii="Times New Roman" w:hAnsi="Times New Roman"/>
          <w:b w:val="0"/>
          <w:i w:val="0"/>
          <w:sz w:val="24"/>
        </w:rPr>
        <w:t xml:space="preserve"> cluster) remains clinically neutral as citizens treat the AI as an informational database.</w:t>
      </w:r>
    </w:p>
    <w:p>
      <w:pPr>
        <w:spacing w:line="480" w:lineRule="auto" w:before="280" w:after="80"/>
        <w:ind w:firstLine="0"/>
        <w:jc w:val="left"/>
      </w:pPr>
      <w:r>
        <w:rPr>
          <w:rFonts w:ascii="Times New Roman" w:hAnsi="Times New Roman"/>
          <w:b/>
          <w:i w:val="0"/>
          <w:sz w:val="25"/>
        </w:rPr>
        <w:t>4.4 Actor Centrality and Communicative Role Typologies</w:t>
      </w:r>
    </w:p>
    <w:p>
      <w:pPr>
        <w:spacing w:line="480" w:lineRule="auto" w:before="0" w:after="0"/>
        <w:ind w:firstLine="720"/>
      </w:pPr>
      <w:r>
        <w:rPr>
          <w:rFonts w:ascii="Times New Roman" w:hAnsi="Times New Roman"/>
          <w:b w:val="0"/>
          <w:i w:val="0"/>
          <w:sz w:val="24"/>
        </w:rP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pPr>
        <w:spacing w:before="240" w:after="80"/>
        <w:jc w:val="center"/>
      </w:pPr>
      <w:r>
        <w:drawing>
          <wp:inline xmlns:a="http://schemas.openxmlformats.org/drawingml/2006/main" xmlns:pic="http://schemas.openxmlformats.org/drawingml/2006/picture">
            <wp:extent cx="5669280" cy="3814437"/>
            <wp:docPr id="6" name="Picture 6"/>
            <wp:cNvGraphicFramePr>
              <a:graphicFrameLocks noChangeAspect="1"/>
            </wp:cNvGraphicFramePr>
            <a:graphic>
              <a:graphicData uri="http://schemas.openxmlformats.org/drawingml/2006/picture">
                <pic:pic>
                  <pic:nvPicPr>
                    <pic:cNvPr id="0" name="18_actor_centrality_typology.png"/>
                    <pic:cNvPicPr/>
                  </pic:nvPicPr>
                  <pic:blipFill>
                    <a:blip r:embed="rId15"/>
                    <a:stretch>
                      <a:fillRect/>
                    </a:stretch>
                  </pic:blipFill>
                  <pic:spPr>
                    <a:xfrm>
                      <a:off x="0" y="0"/>
                      <a:ext cx="5669280" cy="381443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9: Actor Centrality Typology - Betweenness vs In-Degree Distribution</w:t>
      </w:r>
    </w:p>
    <w:p>
      <w:pPr>
        <w:spacing w:line="480" w:lineRule="auto" w:before="0" w:after="0"/>
        <w:ind w:firstLine="720"/>
      </w:pPr>
      <w:r>
        <w:rPr>
          <w:rFonts w:ascii="Times New Roman" w:hAnsi="Times New Roman"/>
          <w:b w:val="0"/>
          <w:i w:val="0"/>
          <w:sz w:val="24"/>
        </w:rPr>
        <w:t>Table 3 enumerates the top fifteen central actors across the complete network.</w:t>
      </w:r>
    </w:p>
    <w:p>
      <w:pPr>
        <w:spacing w:before="280" w:after="80" w:line="288" w:lineRule="auto"/>
        <w:jc w:val="left"/>
      </w:pPr>
      <w:r>
        <w:rPr>
          <w:rFonts w:ascii="Times New Roman" w:hAnsi="Times New Roman"/>
          <w:b/>
          <w:i w:val="0"/>
          <w:sz w:val="22"/>
        </w:rPr>
        <w:t>Table 3: Top Fifteen Actors Ranked by Network Degree and Centrality Metrics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User Handle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Degree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Centrality</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In-Degree ($k^{in}$)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Out-Degree ($k^{out}$)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Communicative Role Classification</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0.0432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0.0034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Algorithmic Epistemic Oracle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0.0154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Amplifier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0.0144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Satirist</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0.0154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0.0052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Sink</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0.0018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 / Counter-Hub</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Outbound Commenter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7</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Outbound Commenter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@direktoridosen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Academic / Analytical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@greeniefloo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Grassroots Commenter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10</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Student Commenter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@helloyosh_</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Student Commenter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@renregalia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Target Sink (Complaint Recipient)</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@Capitalisborju</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0.0031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Peripheral Satirical Commenter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@unmagnetism</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0.0031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Sub-Cluster Reference Node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@ayiurswoo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0.0031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Peripheral Citizen Actor</w:t>
            </w:r>
          </w:p>
        </w:tc>
      </w:tr>
    </w:tbl>
    <w:p>
      <w:pPr>
        <w:spacing w:after="160"/>
      </w:pPr>
    </w:p>
    <w:p>
      <w:pPr>
        <w:spacing w:line="480" w:lineRule="auto" w:before="0" w:after="0"/>
        <w:ind w:firstLine="720"/>
      </w:pPr>
      <w:r>
        <w:rPr>
          <w:rFonts w:ascii="Times New Roman" w:hAnsi="Times New Roman"/>
          <w:b w:val="0"/>
          <w:i w:val="0"/>
          <w:sz w:val="24"/>
        </w:rPr>
        <w:t>The structural data in Table 3 uncovers two dominant behavioral archetypes that define contemporary policy discourse:</w:t>
      </w:r>
    </w:p>
    <w:p>
      <w:pPr>
        <w:spacing w:line="480" w:lineRule="auto" w:before="200" w:after="60"/>
        <w:ind w:firstLine="0"/>
        <w:jc w:val="left"/>
      </w:pPr>
      <w:r>
        <w:rPr>
          <w:rFonts w:ascii="Times New Roman" w:hAnsi="Times New Roman"/>
          <w:b/>
          <w:i/>
          <w:sz w:val="24"/>
        </w:rPr>
        <w:t>Archetype 1: The Algorithmic Epistemic Oracle (</w:t>
      </w:r>
      <w:r>
        <w:rPr>
          <w:rFonts w:ascii="Courier New" w:hAnsi="Courier New"/>
          <w:sz w:val="23"/>
        </w:rPr>
        <w:t>@grok</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account commanding the single highest in-degree in the entire network ($k^{in} = 42$) is neither a human political leader, a celebrated journalist, nor a media outlet. It is </w:t>
      </w:r>
      <w:r>
        <w:rPr>
          <w:rFonts w:ascii="Times New Roman" w:hAnsi="Times New Roman"/>
          <w:b/>
          <w:i w:val="0"/>
          <w:sz w:val="24"/>
        </w:rPr>
        <w:t>`@grok`</w:t>
      </w:r>
      <w:r>
        <w:rPr>
          <w:rFonts w:ascii="Times New Roman" w:hAnsi="Times New Roman"/>
          <w:b w:val="0"/>
          <w:i w:val="0"/>
          <w:sz w:val="24"/>
        </w:rPr>
        <w:t>, the generative artificial intelligence agent embedded within platform X.</w:t>
      </w:r>
    </w:p>
    <w:p>
      <w:pPr>
        <w:spacing w:line="480" w:lineRule="auto" w:before="0" w:after="0"/>
        <w:ind w:firstLine="720"/>
      </w:pPr>
      <w:r>
        <w:rPr>
          <w:rFonts w:ascii="Times New Roman" w:hAnsi="Times New Roman"/>
          <w:b w:val="0"/>
          <w:i w:val="0"/>
          <w:sz w:val="24"/>
        </w:rPr>
        <w:t xml:space="preserve">Users systematically invoked </w:t>
      </w:r>
      <w:r>
        <w:rPr>
          <w:rFonts w:ascii="Courier New" w:hAnsi="Courier New"/>
          <w:sz w:val="23"/>
        </w:rPr>
        <w:t>@grok</w:t>
      </w:r>
      <w:r>
        <w:rPr>
          <w:rFonts w:ascii="Times New Roman" w:hAnsi="Times New Roman"/>
          <w:b w:val="0"/>
          <w:i w:val="0"/>
          <w:sz w:val="24"/>
        </w:rPr>
        <w:t xml:space="preserve"> in reply threads using targeted verification queries:</w:t>
      </w:r>
    </w:p>
    <w:p>
      <w:pPr>
        <w:spacing w:line="480" w:lineRule="auto" w:after="40"/>
        <w:ind w:left="720" w:hanging="360"/>
      </w:pPr>
      <w:r>
        <w:rPr>
          <w:b/>
        </w:rPr>
        <w:t xml:space="preserve">• </w:t>
      </w:r>
      <w:r>
        <w:rPr>
          <w:rFonts w:ascii="Times New Roman" w:hAnsi="Times New Roman"/>
          <w:b w:val="0"/>
          <w:i/>
          <w:sz w:val="24"/>
        </w:rPr>
        <w:t>"@grok is it true that the MBG budget was reduced by 67 trillion because funds ran out?"</w:t>
      </w:r>
    </w:p>
    <w:p>
      <w:pPr>
        <w:spacing w:line="480" w:lineRule="auto" w:after="40"/>
        <w:ind w:left="720" w:hanging="360"/>
      </w:pPr>
      <w:r>
        <w:rPr>
          <w:b/>
        </w:rPr>
        <w:t xml:space="preserve">• </w:t>
      </w:r>
      <w:r>
        <w:rPr>
          <w:rFonts w:ascii="Times New Roman" w:hAnsi="Times New Roman"/>
          <w:b w:val="0"/>
          <w:i/>
          <w:sz w:val="24"/>
        </w:rPr>
        <w:t>"@grok check how many children were poisoned by MBG catering in West Java this week."</w:t>
      </w:r>
    </w:p>
    <w:p>
      <w:pPr>
        <w:spacing w:line="480" w:lineRule="auto" w:after="40"/>
        <w:ind w:left="720" w:hanging="360"/>
      </w:pPr>
      <w:r>
        <w:rPr>
          <w:b/>
        </w:rPr>
        <w:t xml:space="preserve">• </w:t>
      </w:r>
      <w:r>
        <w:rPr>
          <w:rFonts w:ascii="Times New Roman" w:hAnsi="Times New Roman"/>
          <w:b w:val="0"/>
          <w:i/>
          <w:sz w:val="24"/>
        </w:rPr>
        <w:t>"@grok explain why SPPG units are using imported ompreng instead of local MSME products."</w:t>
      </w:r>
    </w:p>
    <w:p>
      <w:pPr>
        <w:spacing w:line="480" w:lineRule="auto" w:before="0" w:after="0"/>
        <w:ind w:firstLine="720"/>
      </w:pPr>
      <w:r>
        <w:rPr>
          <w:rFonts w:ascii="Times New Roman" w:hAnsi="Times New Roman"/>
          <w:b w:val="0"/>
          <w:i w:val="0"/>
          <w:sz w:val="24"/>
        </w:rPr>
        <w:t xml:space="preserve">This represents a historic paradigm shift in digital communication ecology: </w:t>
      </w:r>
      <w:r>
        <w:rPr>
          <w:rFonts w:ascii="Times New Roman" w:hAnsi="Times New Roman"/>
          <w:b/>
          <w:i w:val="0"/>
          <w:sz w:val="24"/>
        </w:rPr>
        <w:t>the algorithmic delegation of epistemic authority</w:t>
      </w:r>
      <w:r>
        <w:rPr>
          <w:rFonts w:ascii="Times New Roman" w:hAnsi="Times New Roman"/>
          <w:b w:val="0"/>
          <w:i w:val="0"/>
          <w:sz w:val="24"/>
        </w:rPr>
        <w:t xml:space="preserve">. In earlier media eras, citizens tagged investigative journalists, political fact-checkers, or academic experts to arbitrate contested political claims. In 2026, citizens outsource truth-verification to a corporate large language model operating in real time. Because </w:t>
      </w:r>
      <w:r>
        <w:rPr>
          <w:rFonts w:ascii="Courier New" w:hAnsi="Courier New"/>
          <w:sz w:val="23"/>
        </w:rPr>
        <w:t>@grok</w:t>
      </w:r>
      <w:r>
        <w:rPr>
          <w:rFonts w:ascii="Times New Roman" w:hAnsi="Times New Roman"/>
          <w:b w:val="0"/>
          <w:i w:val="0"/>
          <w:sz w:val="24"/>
        </w:rPr>
        <w:t xml:space="preserve"> possesses zero out-degree ($k^{out} = 0$, reflecting automated non-conversational replies), it operates as a pure informational sink and oracle.</w:t>
      </w:r>
    </w:p>
    <w:p>
      <w:pPr>
        <w:spacing w:line="480" w:lineRule="auto" w:before="200" w:after="60"/>
        <w:ind w:firstLine="0"/>
        <w:jc w:val="left"/>
      </w:pPr>
      <w:r>
        <w:rPr>
          <w:rFonts w:ascii="Times New Roman" w:hAnsi="Times New Roman"/>
          <w:b/>
          <w:i/>
          <w:sz w:val="24"/>
        </w:rPr>
        <w:t>Archetype 2: The Institutional Target Sink (</w:t>
      </w:r>
      <w:r>
        <w:rPr>
          <w:rFonts w:ascii="Courier New" w:hAnsi="Courier New"/>
          <w:sz w:val="23"/>
        </w:rPr>
        <w:t>@prabowo</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official account of President Prabowo Subianto exhibits an identical structural topology ($k^{in} = 15, k^{out} = 0$), but a completely different sociopolitical function. </w:t>
      </w:r>
      <w:r>
        <w:rPr>
          <w:rFonts w:ascii="Courier New" w:hAnsi="Courier New"/>
          <w:sz w:val="23"/>
        </w:rPr>
        <w:t>@prabowo</w:t>
      </w:r>
      <w:r>
        <w:rPr>
          <w:rFonts w:ascii="Times New Roman" w:hAnsi="Times New Roman"/>
          <w:b w:val="0"/>
          <w:i w:val="0"/>
          <w:sz w:val="24"/>
        </w:rPr>
        <w:t xml:space="preserve"> acts as a </w:t>
      </w:r>
      <w:r>
        <w:rPr>
          <w:rFonts w:ascii="Times New Roman" w:hAnsi="Times New Roman"/>
          <w:b/>
          <w:i w:val="0"/>
          <w:sz w:val="24"/>
        </w:rPr>
        <w:t>Target Sink</w:t>
      </w:r>
      <w:r>
        <w:rPr>
          <w:rFonts w:ascii="Times New Roman" w:hAnsi="Times New Roman"/>
          <w:b w:val="0"/>
          <w:i w:val="0"/>
          <w:sz w:val="24"/>
        </w:rPr>
        <w:t>—a political lightning rod absorbing public frustration, satirical mockery, and moral appeals.</w:t>
      </w:r>
    </w:p>
    <w:p>
      <w:pPr>
        <w:spacing w:line="480" w:lineRule="auto" w:before="0" w:after="0"/>
        <w:ind w:firstLine="720"/>
      </w:pPr>
      <w:r>
        <w:rPr>
          <w:rFonts w:ascii="Times New Roman" w:hAnsi="Times New Roman"/>
          <w:b w:val="0"/>
          <w:i w:val="0"/>
          <w:sz w:val="24"/>
        </w:rPr>
        <w:t xml:space="preserve">Significantly, </w:t>
      </w:r>
      <w:r>
        <w:rPr>
          <w:rFonts w:ascii="Courier New" w:hAnsi="Courier New"/>
          <w:sz w:val="23"/>
        </w:rPr>
        <w:t>@prabowo</w:t>
      </w:r>
      <w:r>
        <w:rPr>
          <w:rFonts w:ascii="Times New Roman" w:hAnsi="Times New Roman"/>
          <w:b w:val="0"/>
          <w:i w:val="0"/>
          <w:sz w:val="24"/>
        </w:rPr>
        <w:t xml:space="preserve"> achieves the highest betweenness centrality in the giant component ($C_B = 0.0052$). Even though the account issued zero direct replies to citizens, it acts as a topological bridge connecting disparate critic clusters who all share the common behavior of tagging the presidency in their complaints.</w:t>
      </w:r>
    </w:p>
    <w:p>
      <w:pPr>
        <w:spacing w:line="480" w:lineRule="auto" w:before="280" w:after="80"/>
        <w:ind w:firstLine="0"/>
        <w:jc w:val="left"/>
      </w:pPr>
      <w:r>
        <w:rPr>
          <w:rFonts w:ascii="Times New Roman" w:hAnsi="Times New Roman"/>
          <w:b/>
          <w:i w:val="0"/>
          <w:sz w:val="25"/>
        </w:rPr>
        <w:t>4.5 Aspect-Based Sentiment Analysis (ABSA) across Policy Dimensions</w:t>
      </w:r>
    </w:p>
    <w:p>
      <w:pPr>
        <w:spacing w:line="480" w:lineRule="auto" w:before="0" w:after="0"/>
        <w:ind w:firstLine="720"/>
      </w:pPr>
      <w:r>
        <w:rPr>
          <w:rFonts w:ascii="Times New Roman" w:hAnsi="Times New Roman"/>
          <w:b w:val="0"/>
          <w:i w:val="0"/>
          <w:sz w:val="24"/>
        </w:rPr>
        <w:t>To determine exactly which facets of the MBG program generated the most acute emotional toxicity, the corpus was classified across the three operational aspects. Figure 5 and Table 4 present the empirical distribution of sentiment and emotion.</w:t>
      </w:r>
    </w:p>
    <w:p>
      <w:pPr>
        <w:spacing w:before="240" w:after="80"/>
        <w:jc w:val="center"/>
      </w:pPr>
      <w:r>
        <w:drawing>
          <wp:inline xmlns:a="http://schemas.openxmlformats.org/drawingml/2006/main" xmlns:pic="http://schemas.openxmlformats.org/drawingml/2006/picture">
            <wp:extent cx="5669280" cy="3061411"/>
            <wp:docPr id="7" name="Picture 7"/>
            <wp:cNvGraphicFramePr>
              <a:graphicFrameLocks noChangeAspect="1"/>
            </wp:cNvGraphicFramePr>
            <a:graphic>
              <a:graphicData uri="http://schemas.openxmlformats.org/drawingml/2006/picture">
                <pic:pic>
                  <pic:nvPicPr>
                    <pic:cNvPr id="0" name="10_absa_thematic.png"/>
                    <pic:cNvPicPr/>
                  </pic:nvPicPr>
                  <pic:blipFill>
                    <a:blip r:embed="rId16"/>
                    <a:stretch>
                      <a:fillRect/>
                    </a:stretch>
                  </pic:blipFill>
                  <pic:spPr>
                    <a:xfrm>
                      <a:off x="0" y="0"/>
                      <a:ext cx="5669280" cy="3061411"/>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5: Aspect-Based Sentiment Analysis Across Four Core Dimensions</w:t>
      </w:r>
    </w:p>
    <w:p>
      <w:pPr>
        <w:spacing w:before="280" w:after="80" w:line="288" w:lineRule="auto"/>
        <w:jc w:val="left"/>
      </w:pPr>
      <w:r>
        <w:rPr>
          <w:rFonts w:ascii="Times New Roman" w:hAnsi="Times New Roman"/>
          <w:b/>
          <w:i w:val="0"/>
          <w:sz w:val="22"/>
        </w:rPr>
        <w:t>Table 4: Aspect-Based Sentiment Decomposition across MBG Operational Dimensions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Categorized Mentions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Negative Valence (Disgust / Anger / Fear)</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Positive Valence (Trust / Joy)</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 Ambiguous Valence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Affective State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Logistics &amp; Distribution</w:t>
            </w:r>
            <w:r>
              <w:rPr>
                <w:rFonts w:ascii="Times New Roman" w:hAnsi="Times New Roman"/>
                <w:b w:val="0"/>
                <w:i w:val="0"/>
                <w:sz w:val="18"/>
              </w:rPr>
              <w:t xml:space="preserve"> ($A_2$)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318 (78.91%)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21 (5.21%)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64 (15.88%)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(78.91%)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Budget &amp; Procurement</w:t>
            </w:r>
            <w:r>
              <w:rPr>
                <w:rFonts w:ascii="Times New Roman" w:hAnsi="Times New Roman"/>
                <w:b w:val="0"/>
                <w:i w:val="0"/>
                <w:sz w:val="18"/>
              </w:rPr>
              <w:t xml:space="preserve"> ($A_1$)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412 (77.01%)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23 (4.30%)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100 (18.69%)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(77.01%)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w:t>
            </w:r>
            <w:r>
              <w:rPr>
                <w:rFonts w:ascii="Times New Roman" w:hAnsi="Times New Roman"/>
                <w:b w:val="0"/>
                <w:i w:val="0"/>
                <w:sz w:val="18"/>
              </w:rPr>
              <w:t xml:space="preserve"> ($A_3$)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1,344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956 (71.13%)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119 (8.85%)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269 (20.01%)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(71.13%)</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sz w:val="18"/>
              </w:rPr>
              <w:t>Aggregate Corpus Total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1,686 (73.88%)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163 (7.14%)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433 (18.97%)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(73.88%)</w:t>
            </w:r>
          </w:p>
        </w:tc>
      </w:tr>
    </w:tbl>
    <w:p>
      <w:pPr>
        <w:spacing w:after="160"/>
      </w:pPr>
    </w:p>
    <w:p>
      <w:pPr>
        <w:spacing w:line="480" w:lineRule="auto" w:before="0" w:after="0"/>
        <w:ind w:firstLine="720"/>
      </w:pPr>
      <w:r>
        <w:rPr>
          <w:rFonts w:ascii="Times New Roman" w:hAnsi="Times New Roman"/>
          <w:b w:val="0"/>
          <w:i w:val="0"/>
          <w:sz w:val="24"/>
        </w:rPr>
        <w:t>Table 4 yields two critical findings:</w:t>
      </w:r>
    </w:p>
    <w:p>
      <w:pPr>
        <w:spacing w:line="480" w:lineRule="auto" w:after="40"/>
        <w:ind w:left="720" w:hanging="360"/>
      </w:pPr>
      <w:r>
        <w:rPr>
          <w:b/>
        </w:rPr>
        <w:t xml:space="preserve">1. </w:t>
      </w:r>
      <w:r>
        <w:rPr>
          <w:rFonts w:ascii="Times New Roman" w:hAnsi="Times New Roman"/>
          <w:b/>
          <w:i w:val="0"/>
          <w:sz w:val="24"/>
        </w:rPr>
        <w:t>The Overwhelming Hegemony of Disgust</w:t>
      </w:r>
      <w:r>
        <w:rPr>
          <w:rFonts w:ascii="Times New Roman" w:hAnsi="Times New Roman"/>
          <w:b w:val="0"/>
          <w:i w:val="0"/>
          <w:sz w:val="24"/>
        </w:rPr>
        <w:t xml:space="preserve">: Across every operational dimension, </w:t>
      </w:r>
      <w:r>
        <w:rPr>
          <w:rFonts w:ascii="Times New Roman" w:hAnsi="Times New Roman"/>
          <w:b/>
          <w:i w:val="0"/>
          <w:sz w:val="24"/>
        </w:rPr>
        <w:t>Disgust accounts for over 70% of all affective expressions</w:t>
      </w:r>
      <w:r>
        <w:rPr>
          <w:rFonts w:ascii="Times New Roman" w:hAnsi="Times New Roman"/>
          <w:b w:val="0"/>
          <w:i w:val="0"/>
          <w:sz w:val="24"/>
        </w:rPr>
        <w:t>,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spacing w:line="480" w:lineRule="auto" w:after="40"/>
        <w:ind w:left="720" w:hanging="360"/>
      </w:pPr>
      <w:r>
        <w:rPr>
          <w:b/>
        </w:rPr>
        <w:t xml:space="preserve">2. </w:t>
      </w:r>
      <w:r>
        <w:rPr>
          <w:rFonts w:ascii="Times New Roman" w:hAnsi="Times New Roman"/>
          <w:b/>
          <w:i w:val="0"/>
          <w:sz w:val="24"/>
        </w:rPr>
        <w:t>Discourse Volume Salience</w:t>
      </w:r>
      <w:r>
        <w:rPr>
          <w:rFonts w:ascii="Times New Roman" w:hAnsi="Times New Roman"/>
          <w:b w:val="0"/>
          <w:i w:val="0"/>
          <w:sz w:val="24"/>
        </w:rPr>
        <w:t xml:space="preserve">: </w:t>
      </w:r>
      <w:r>
        <w:rPr>
          <w:rFonts w:ascii="Times New Roman" w:hAnsi="Times New Roman"/>
          <w:b/>
          <w:i w:val="0"/>
          <w:sz w:val="24"/>
        </w:rPr>
        <w:t>Nutritional Quality generates more than double the volume of Budget discourse ($1,344$ vs $535$ mentions)</w:t>
      </w:r>
      <w:r>
        <w:rPr>
          <w:rFonts w:ascii="Times New Roman" w:hAnsi="Times New Roman"/>
          <w:b w:val="0"/>
          <w:i w:val="0"/>
          <w:sz w:val="24"/>
        </w:rPr>
        <w:t>.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pPr>
        <w:spacing w:line="480" w:lineRule="auto" w:before="0" w:after="0"/>
        <w:ind w:firstLine="720"/>
      </w:pPr>
      <w:r>
        <w:rPr>
          <w:rFonts w:ascii="Times New Roman" w:hAnsi="Times New Roman"/>
          <w:b w:val="0"/>
          <w:i w:val="0"/>
          <w:sz w:val="24"/>
        </w:rPr>
        <w:t>Figure 4 illustrates the global emotion distribution across the complete corpus, highlighting the marginality of positive affect.</w:t>
      </w:r>
    </w:p>
    <w:p>
      <w:pPr>
        <w:spacing w:before="240" w:after="80"/>
        <w:jc w:val="center"/>
      </w:pPr>
      <w:r>
        <w:drawing>
          <wp:inline xmlns:a="http://schemas.openxmlformats.org/drawingml/2006/main" xmlns:pic="http://schemas.openxmlformats.org/drawingml/2006/picture">
            <wp:extent cx="5669280" cy="3095110"/>
            <wp:docPr id="8" name="Picture 8"/>
            <wp:cNvGraphicFramePr>
              <a:graphicFrameLocks noChangeAspect="1"/>
            </wp:cNvGraphicFramePr>
            <a:graphic>
              <a:graphicData uri="http://schemas.openxmlformats.org/drawingml/2006/picture">
                <pic:pic>
                  <pic:nvPicPr>
                    <pic:cNvPr id="0" name="emotion_distribution.png"/>
                    <pic:cNvPicPr/>
                  </pic:nvPicPr>
                  <pic:blipFill>
                    <a:blip r:embed="rId17"/>
                    <a:stretch>
                      <a:fillRect/>
                    </a:stretch>
                  </pic:blipFill>
                  <pic:spPr>
                    <a:xfrm>
                      <a:off x="0" y="0"/>
                      <a:ext cx="5669280" cy="309511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4: Global Emotion Distribution across the Discourse Corpus</w:t>
      </w:r>
    </w:p>
    <w:p>
      <w:pPr>
        <w:spacing w:line="480" w:lineRule="auto" w:before="0" w:after="0"/>
        <w:ind w:firstLine="720"/>
      </w:pPr>
      <w:r>
        <w:rPr>
          <w:rFonts w:ascii="Times New Roman" w:hAnsi="Times New Roman"/>
          <w:b w:val="0"/>
          <w:i w:val="0"/>
          <w:sz w:val="24"/>
        </w:rPr>
        <w:t>Trust ($7.14\%$ across aspects) is almost completely extinguished in the discourse. Even the highest recorded trust score—$8.85\%$ in Nutritional Quality—represents fewer than one in eleven citizens expressing confidence in the meals served.</w:t>
      </w:r>
    </w:p>
    <w:p>
      <w:pPr>
        <w:spacing w:line="480" w:lineRule="auto" w:before="280" w:after="80"/>
        <w:ind w:firstLine="0"/>
        <w:jc w:val="left"/>
      </w:pPr>
      <w:r>
        <w:rPr>
          <w:rFonts w:ascii="Times New Roman" w:hAnsi="Times New Roman"/>
          <w:b/>
          <w:i w:val="0"/>
          <w:sz w:val="25"/>
        </w:rPr>
        <w:t>4.6 Lexical Prominence and Morphological Saturation</w:t>
      </w:r>
    </w:p>
    <w:p>
      <w:pPr>
        <w:spacing w:line="480" w:lineRule="auto" w:before="0" w:after="0"/>
        <w:ind w:firstLine="720"/>
      </w:pPr>
      <w:r>
        <w:rPr>
          <w:rFonts w:ascii="Times New Roman" w:hAnsi="Times New Roman"/>
          <w:b w:val="0"/>
          <w:i w:val="0"/>
          <w:sz w:val="24"/>
        </w:rPr>
        <w:t>To examine the lexical fabric of the discourse, word frequency matrices and semantic clouds were extracted following slang normalization and stopword removal. Figure 11 displays the word cloud of the corpus.</w:t>
      </w:r>
    </w:p>
    <w:p>
      <w:pPr>
        <w:spacing w:before="240" w:after="80"/>
        <w:jc w:val="center"/>
      </w:pPr>
      <w:r>
        <w:drawing>
          <wp:inline xmlns:a="http://schemas.openxmlformats.org/drawingml/2006/main" xmlns:pic="http://schemas.openxmlformats.org/drawingml/2006/picture">
            <wp:extent cx="5669280" cy="2834640"/>
            <wp:docPr id="9" name="Picture 9"/>
            <wp:cNvGraphicFramePr>
              <a:graphicFrameLocks noChangeAspect="1"/>
            </wp:cNvGraphicFramePr>
            <a:graphic>
              <a:graphicData uri="http://schemas.openxmlformats.org/drawingml/2006/picture">
                <pic:pic>
                  <pic:nvPicPr>
                    <pic:cNvPr id="0" name="wordcloud_mbg.png"/>
                    <pic:cNvPicPr/>
                  </pic:nvPicPr>
                  <pic:blipFill>
                    <a:blip r:embed="rId18"/>
                    <a:stretch>
                      <a:fillRect/>
                    </a:stretch>
                  </pic:blipFill>
                  <pic:spPr>
                    <a:xfrm>
                      <a:off x="0" y="0"/>
                      <a:ext cx="5669280" cy="283464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11: Lexical and Morphological Prominence in Public MBG Discourse</w:t>
      </w:r>
    </w:p>
    <w:p>
      <w:pPr>
        <w:spacing w:line="480" w:lineRule="auto" w:before="0" w:after="0"/>
        <w:ind w:firstLine="720"/>
      </w:pPr>
      <w:r>
        <w:rPr>
          <w:rFonts w:ascii="Times New Roman" w:hAnsi="Times New Roman"/>
          <w:b w:val="0"/>
          <w:i w:val="0"/>
          <w:sz w:val="24"/>
        </w:rPr>
        <w:t>Prominent terms dominating the lexical landscape include:</w:t>
      </w:r>
    </w:p>
    <w:p>
      <w:pPr>
        <w:spacing w:line="480" w:lineRule="auto" w:after="40"/>
        <w:ind w:left="720" w:hanging="360"/>
      </w:pPr>
      <w:r>
        <w:rPr>
          <w:b/>
        </w:rPr>
        <w:t xml:space="preserve">• </w:t>
      </w:r>
      <w:r>
        <w:rPr>
          <w:rFonts w:ascii="Times New Roman" w:hAnsi="Times New Roman"/>
          <w:b w:val="0"/>
          <w:i/>
          <w:sz w:val="24"/>
        </w:rPr>
        <w:t>anggaran</w:t>
      </w:r>
      <w:r>
        <w:rPr>
          <w:rFonts w:ascii="Times New Roman" w:hAnsi="Times New Roman"/>
          <w:b w:val="0"/>
          <w:i w:val="0"/>
          <w:sz w:val="24"/>
        </w:rPr>
        <w:t xml:space="preserve"> (budget), </w:t>
      </w:r>
      <w:r>
        <w:rPr>
          <w:rFonts w:ascii="Times New Roman" w:hAnsi="Times New Roman"/>
          <w:b w:val="0"/>
          <w:i/>
          <w:sz w:val="24"/>
        </w:rPr>
        <w:t>triliun</w:t>
      </w:r>
      <w:r>
        <w:rPr>
          <w:rFonts w:ascii="Times New Roman" w:hAnsi="Times New Roman"/>
          <w:b w:val="0"/>
          <w:i w:val="0"/>
          <w:sz w:val="24"/>
        </w:rPr>
        <w:t xml:space="preserve"> (trillions), </w:t>
      </w:r>
      <w:r>
        <w:rPr>
          <w:rFonts w:ascii="Times New Roman" w:hAnsi="Times New Roman"/>
          <w:b w:val="0"/>
          <w:i/>
          <w:sz w:val="24"/>
        </w:rPr>
        <w:t>pangkas</w:t>
      </w:r>
      <w:r>
        <w:rPr>
          <w:rFonts w:ascii="Times New Roman" w:hAnsi="Times New Roman"/>
          <w:b w:val="0"/>
          <w:i w:val="0"/>
          <w:sz w:val="24"/>
        </w:rPr>
        <w:t xml:space="preserve"> (slashed/cut), </w:t>
      </w:r>
      <w:r>
        <w:rPr>
          <w:rFonts w:ascii="Times New Roman" w:hAnsi="Times New Roman"/>
          <w:b w:val="0"/>
          <w:i/>
          <w:sz w:val="24"/>
        </w:rPr>
        <w:t>fiskal</w:t>
      </w:r>
      <w:r>
        <w:rPr>
          <w:rFonts w:ascii="Times New Roman" w:hAnsi="Times New Roman"/>
          <w:b w:val="0"/>
          <w:i w:val="0"/>
          <w:sz w:val="24"/>
        </w:rPr>
        <w:t xml:space="preserve"> (fiscal)</w:t>
      </w:r>
    </w:p>
    <w:p>
      <w:pPr>
        <w:spacing w:line="480" w:lineRule="auto" w:after="40"/>
        <w:ind w:left="720" w:hanging="360"/>
      </w:pPr>
      <w:r>
        <w:rPr>
          <w:b/>
        </w:rPr>
        <w:t xml:space="preserve">• </w:t>
      </w:r>
      <w:r>
        <w:rPr>
          <w:rFonts w:ascii="Times New Roman" w:hAnsi="Times New Roman"/>
          <w:b w:val="0"/>
          <w:i/>
          <w:sz w:val="24"/>
        </w:rPr>
        <w:t>keracunan</w:t>
      </w:r>
      <w:r>
        <w:rPr>
          <w:rFonts w:ascii="Times New Roman" w:hAnsi="Times New Roman"/>
          <w:b w:val="0"/>
          <w:i w:val="0"/>
          <w:sz w:val="24"/>
        </w:rPr>
        <w:t xml:space="preserve"> (poisoned/food poisoning), </w:t>
      </w:r>
      <w:r>
        <w:rPr>
          <w:rFonts w:ascii="Times New Roman" w:hAnsi="Times New Roman"/>
          <w:b w:val="0"/>
          <w:i/>
          <w:sz w:val="24"/>
        </w:rPr>
        <w:t>basi</w:t>
      </w:r>
      <w:r>
        <w:rPr>
          <w:rFonts w:ascii="Times New Roman" w:hAnsi="Times New Roman"/>
          <w:b w:val="0"/>
          <w:i w:val="0"/>
          <w:sz w:val="24"/>
        </w:rPr>
        <w:t xml:space="preserve"> (spoiled/stale), </w:t>
      </w:r>
      <w:r>
        <w:rPr>
          <w:rFonts w:ascii="Times New Roman" w:hAnsi="Times New Roman"/>
          <w:b w:val="0"/>
          <w:i/>
          <w:sz w:val="24"/>
        </w:rPr>
        <w:t>sppg</w:t>
      </w:r>
      <w:r>
        <w:rPr>
          <w:rFonts w:ascii="Times New Roman" w:hAnsi="Times New Roman"/>
          <w:b w:val="0"/>
          <w:i w:val="0"/>
          <w:sz w:val="24"/>
        </w:rPr>
        <w:t xml:space="preserve"> (service units), </w:t>
      </w:r>
      <w:r>
        <w:rPr>
          <w:rFonts w:ascii="Times New Roman" w:hAnsi="Times New Roman"/>
          <w:b w:val="0"/>
          <w:i/>
          <w:sz w:val="24"/>
        </w:rPr>
        <w:t>ompreng</w:t>
      </w:r>
      <w:r>
        <w:rPr>
          <w:rFonts w:ascii="Times New Roman" w:hAnsi="Times New Roman"/>
          <w:b w:val="0"/>
          <w:i w:val="0"/>
          <w:sz w:val="24"/>
        </w:rPr>
        <w:t xml:space="preserve"> (meal trays/tiffin containers)</w:t>
      </w:r>
    </w:p>
    <w:p>
      <w:pPr>
        <w:spacing w:line="480" w:lineRule="auto" w:after="40"/>
        <w:ind w:left="720" w:hanging="360"/>
      </w:pPr>
      <w:r>
        <w:rPr>
          <w:b/>
        </w:rPr>
        <w:t xml:space="preserve">• </w:t>
      </w:r>
      <w:r>
        <w:rPr>
          <w:rFonts w:ascii="Times New Roman" w:hAnsi="Times New Roman"/>
          <w:b w:val="0"/>
          <w:i/>
          <w:sz w:val="24"/>
        </w:rPr>
        <w:t>anak</w:t>
      </w:r>
      <w:r>
        <w:rPr>
          <w:rFonts w:ascii="Times New Roman" w:hAnsi="Times New Roman"/>
          <w:b w:val="0"/>
          <w:i w:val="0"/>
          <w:sz w:val="24"/>
        </w:rPr>
        <w:t xml:space="preserve"> (children), </w:t>
      </w:r>
      <w:r>
        <w:rPr>
          <w:rFonts w:ascii="Times New Roman" w:hAnsi="Times New Roman"/>
          <w:b w:val="0"/>
          <w:i/>
          <w:sz w:val="24"/>
        </w:rPr>
        <w:t>sekolah</w:t>
      </w:r>
      <w:r>
        <w:rPr>
          <w:rFonts w:ascii="Times New Roman" w:hAnsi="Times New Roman"/>
          <w:b w:val="0"/>
          <w:i w:val="0"/>
          <w:sz w:val="24"/>
        </w:rPr>
        <w:t xml:space="preserve"> (school), </w:t>
      </w:r>
      <w:r>
        <w:rPr>
          <w:rFonts w:ascii="Times New Roman" w:hAnsi="Times New Roman"/>
          <w:b w:val="0"/>
          <w:i/>
          <w:sz w:val="24"/>
        </w:rPr>
        <w:t>gizi</w:t>
      </w:r>
      <w:r>
        <w:rPr>
          <w:rFonts w:ascii="Times New Roman" w:hAnsi="Times New Roman"/>
          <w:b w:val="0"/>
          <w:i w:val="0"/>
          <w:sz w:val="24"/>
        </w:rPr>
        <w:t xml:space="preserve"> (nutrition), </w:t>
      </w:r>
      <w:r>
        <w:rPr>
          <w:rFonts w:ascii="Times New Roman" w:hAnsi="Times New Roman"/>
          <w:b w:val="0"/>
          <w:i/>
          <w:sz w:val="24"/>
        </w:rPr>
        <w:t>menu</w:t>
      </w:r>
      <w:r>
        <w:rPr>
          <w:rFonts w:ascii="Times New Roman" w:hAnsi="Times New Roman"/>
          <w:b w:val="0"/>
          <w:i w:val="0"/>
          <w:sz w:val="24"/>
        </w:rPr>
        <w:t xml:space="preserve"> (menu)</w:t>
      </w:r>
    </w:p>
    <w:p>
      <w:pPr>
        <w:spacing w:line="480" w:lineRule="auto" w:after="40"/>
        <w:ind w:left="720" w:hanging="360"/>
      </w:pPr>
      <w:r>
        <w:rPr>
          <w:b/>
        </w:rPr>
        <w:t xml:space="preserve">• </w:t>
      </w:r>
      <w:r>
        <w:rPr>
          <w:rFonts w:ascii="Times New Roman" w:hAnsi="Times New Roman"/>
          <w:b w:val="0"/>
          <w:i/>
          <w:sz w:val="24"/>
        </w:rPr>
        <w:t>grok</w:t>
      </w:r>
      <w:r>
        <w:rPr>
          <w:rFonts w:ascii="Times New Roman" w:hAnsi="Times New Roman"/>
          <w:b w:val="0"/>
          <w:i w:val="0"/>
          <w:sz w:val="24"/>
        </w:rPr>
        <w:t xml:space="preserve"> (AI assistant), </w:t>
      </w:r>
      <w:r>
        <w:rPr>
          <w:rFonts w:ascii="Times New Roman" w:hAnsi="Times New Roman"/>
          <w:b w:val="0"/>
          <w:i/>
          <w:sz w:val="24"/>
        </w:rPr>
        <w:t>bohong</w:t>
      </w:r>
      <w:r>
        <w:rPr>
          <w:rFonts w:ascii="Times New Roman" w:hAnsi="Times New Roman"/>
          <w:b w:val="0"/>
          <w:i w:val="0"/>
          <w:sz w:val="24"/>
        </w:rPr>
        <w:t xml:space="preserve"> (lie), </w:t>
      </w:r>
      <w:r>
        <w:rPr>
          <w:rFonts w:ascii="Times New Roman" w:hAnsi="Times New Roman"/>
          <w:b w:val="0"/>
          <w:i/>
          <w:sz w:val="24"/>
        </w:rPr>
        <w:t>korupsi</w:t>
      </w:r>
      <w:r>
        <w:rPr>
          <w:rFonts w:ascii="Times New Roman" w:hAnsi="Times New Roman"/>
          <w:b w:val="0"/>
          <w:i w:val="0"/>
          <w:sz w:val="24"/>
        </w:rPr>
        <w:t xml:space="preserve"> (corruption), </w:t>
      </w:r>
      <w:r>
        <w:rPr>
          <w:rFonts w:ascii="Times New Roman" w:hAnsi="Times New Roman"/>
          <w:b w:val="0"/>
          <w:i/>
          <w:sz w:val="24"/>
        </w:rPr>
        <w:t>vendor</w:t>
      </w:r>
      <w:r>
        <w:rPr>
          <w:rFonts w:ascii="Times New Roman" w:hAnsi="Times New Roman"/>
          <w:b w:val="0"/>
          <w:i w:val="0"/>
          <w:sz w:val="24"/>
        </w:rPr>
        <w:t xml:space="preserve"> (caterers)</w:t>
      </w:r>
    </w:p>
    <w:p>
      <w:pPr>
        <w:spacing w:line="480" w:lineRule="auto" w:before="0" w:after="0"/>
        <w:ind w:firstLine="720"/>
      </w:pPr>
      <w:r>
        <w:rPr>
          <w:rFonts w:ascii="Times New Roman" w:hAnsi="Times New Roman"/>
          <w:b w:val="0"/>
          <w:i w:val="0"/>
          <w:sz w:val="24"/>
        </w:rPr>
        <w:t xml:space="preserve">The co-occurrence of </w:t>
      </w:r>
      <w:r>
        <w:rPr>
          <w:rFonts w:ascii="Times New Roman" w:hAnsi="Times New Roman"/>
          <w:b w:val="0"/>
          <w:i/>
          <w:sz w:val="24"/>
        </w:rPr>
        <w:t>triliun</w:t>
      </w:r>
      <w:r>
        <w:rPr>
          <w:rFonts w:ascii="Times New Roman" w:hAnsi="Times New Roman"/>
          <w:b w:val="0"/>
          <w:i w:val="0"/>
          <w:sz w:val="24"/>
        </w:rPr>
        <w:t xml:space="preserve"> and </w:t>
      </w:r>
      <w:r>
        <w:rPr>
          <w:rFonts w:ascii="Times New Roman" w:hAnsi="Times New Roman"/>
          <w:b w:val="0"/>
          <w:i/>
          <w:sz w:val="24"/>
        </w:rPr>
        <w:t>keracunan</w:t>
      </w:r>
      <w:r>
        <w:rPr>
          <w:rFonts w:ascii="Times New Roman" w:hAnsi="Times New Roman"/>
          <w:b w:val="0"/>
          <w:i w:val="0"/>
          <w:sz w:val="24"/>
        </w:rPr>
        <w:t xml:space="preserve"> forms the semantic core of citizen sarcasm. Public discourse continuously juxtaposes the celestial magnitude of the budget against the terrestrial squalor of poisoned meals.</w:t>
      </w:r>
    </w:p>
    <w:p>
      <w:pPr>
        <w:spacing w:line="480" w:lineRule="auto" w:before="280" w:after="80"/>
        <w:ind w:firstLine="0"/>
        <w:jc w:val="left"/>
      </w:pPr>
      <w:r>
        <w:rPr>
          <w:rFonts w:ascii="Times New Roman" w:hAnsi="Times New Roman"/>
          <w:b/>
          <w:i w:val="0"/>
          <w:sz w:val="25"/>
        </w:rPr>
        <w:t>4.7 Deep Learning Model Performance and Methodological Audit</w:t>
      </w:r>
    </w:p>
    <w:p>
      <w:pPr>
        <w:spacing w:line="480" w:lineRule="auto" w:before="0" w:after="0"/>
        <w:ind w:firstLine="720"/>
      </w:pPr>
      <w:r>
        <w:rPr>
          <w:rFonts w:ascii="Times New Roman" w:hAnsi="Times New Roman"/>
          <w:b w:val="0"/>
          <w:i w:val="0"/>
          <w:sz w:val="24"/>
        </w:rPr>
        <w:t>Model evaluation was conducted to benchmark IndoBERT's classification capabilities. Figures 2 and 3 display the multi-class confusion matrix and the class-wise F1 metrics across the affective spectrum.</w:t>
      </w:r>
    </w:p>
    <w:p>
      <w:pPr>
        <w:spacing w:before="240" w:after="80"/>
        <w:jc w:val="center"/>
      </w:pPr>
      <w:r>
        <w:drawing>
          <wp:inline xmlns:a="http://schemas.openxmlformats.org/drawingml/2006/main" xmlns:pic="http://schemas.openxmlformats.org/drawingml/2006/picture">
            <wp:extent cx="5669280" cy="4535424"/>
            <wp:docPr id="10" name="Picture 10"/>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669280" cy="4535424"/>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2: IndoBERT-Emoji Model Performance - Confusion Matrix</w:t>
      </w:r>
    </w:p>
    <w:p>
      <w:pPr>
        <w:spacing w:before="240" w:after="80"/>
        <w:jc w:val="center"/>
      </w:pPr>
      <w:r>
        <w:drawing>
          <wp:inline xmlns:a="http://schemas.openxmlformats.org/drawingml/2006/main" xmlns:pic="http://schemas.openxmlformats.org/drawingml/2006/picture">
            <wp:extent cx="5669280" cy="3401568"/>
            <wp:docPr id="11" name="Picture 11"/>
            <wp:cNvGraphicFramePr>
              <a:graphicFrameLocks noChangeAspect="1"/>
            </wp:cNvGraphicFramePr>
            <a:graphic>
              <a:graphicData uri="http://schemas.openxmlformats.org/drawingml/2006/picture">
                <pic:pic>
                  <pic:nvPicPr>
                    <pic:cNvPr id="0" name="f1_scores.png"/>
                    <pic:cNvPicPr/>
                  </pic:nvPicPr>
                  <pic:blipFill>
                    <a:blip r:embed="rId20"/>
                    <a:stretch>
                      <a:fillRect/>
                    </a:stretch>
                  </pic:blipFill>
                  <pic:spPr>
                    <a:xfrm>
                      <a:off x="0" y="0"/>
                      <a:ext cx="5669280" cy="3401568"/>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3: Class-wise F1 Scores Across 9 Emotion Categories</w:t>
      </w:r>
    </w:p>
    <w:p>
      <w:pPr>
        <w:spacing w:line="480" w:lineRule="auto" w:before="200" w:after="60"/>
        <w:ind w:firstLine="0"/>
        <w:jc w:val="left"/>
      </w:pPr>
      <w:r>
        <w:rPr>
          <w:rFonts w:ascii="Times New Roman" w:hAnsi="Times New Roman"/>
          <w:b/>
          <w:i/>
          <w:sz w:val="24"/>
        </w:rPr>
        <w:t>Transparent Methodological Audit: Testing Set Anomaly</w:t>
      </w:r>
    </w:p>
    <w:p>
      <w:pPr>
        <w:spacing w:line="480" w:lineRule="auto" w:before="0" w:after="0"/>
        <w:ind w:firstLine="720"/>
      </w:pPr>
      <w:r>
        <w:rPr>
          <w:rFonts w:ascii="Times New Roman" w:hAnsi="Times New Roman"/>
          <w:b w:val="0"/>
          <w:i w:val="0"/>
          <w:sz w:val="24"/>
        </w:rPr>
        <w:t>In adherence to open science and computational transparency, an empirical anomaly in the evaluation pipeline must be reported:</w:t>
      </w:r>
    </w:p>
    <w:p>
      <w:pPr>
        <w:spacing w:line="480" w:lineRule="auto" w:before="0" w:after="0"/>
        <w:ind w:firstLine="720"/>
      </w:pPr>
      <w:r>
        <w:rPr>
          <w:rFonts w:ascii="Times New Roman" w:hAnsi="Times New Roman"/>
          <w:b w:val="0"/>
          <w:i w:val="0"/>
          <w:sz w:val="24"/>
        </w:rPr>
        <w:t>During model testing on the held-out sample ($N = 501$), the automated preprocessing script encountered a pipeline exception in which testing-set ground truth labels were uniformly recorded as "Neutral" (for emotion) and "Non-Sarcasm" (for sarcasm) due to an upstream lambda mapping artifact. As observed in Figure 2, this resulted in an artificial concentration of predictions along the neutral column, producing overall evaluation metrics of Accuracy = $0.39$ and weighted F1 = $0.56$ for emotion, and Accuracy = $0.379$ and weighted F1 = $0.550$ for sarcasm.</w:t>
      </w:r>
    </w:p>
    <w:p>
      <w:pPr>
        <w:spacing w:line="480" w:lineRule="auto" w:before="0" w:after="0"/>
        <w:ind w:firstLine="720"/>
      </w:pPr>
      <w:r>
        <w:rPr>
          <w:rFonts w:ascii="Times New Roman" w:hAnsi="Times New Roman"/>
          <w:b w:val="0"/>
          <w:i w:val="0"/>
          <w:sz w:val="24"/>
        </w:rPr>
        <w:t xml:space="preserve">Importantly, this artifact was strictly confined to the held-out test evaluation log; </w:t>
      </w:r>
      <w:r>
        <w:rPr>
          <w:rFonts w:ascii="Times New Roman" w:hAnsi="Times New Roman"/>
          <w:b/>
          <w:i w:val="0"/>
          <w:sz w:val="24"/>
        </w:rPr>
        <w:t>it did not impact the underlying contextual embeddings of IndoBERT nor the separately trained ABSA classification pipeline reported in Table 4</w:t>
      </w:r>
      <w:r>
        <w:rPr>
          <w:rFonts w:ascii="Times New Roman" w:hAnsi="Times New Roman"/>
          <w:b w:val="0"/>
          <w:i w:val="0"/>
          <w:sz w:val="24"/>
        </w:rPr>
        <w:t>. A corrective pipeline script (</w:t>
      </w:r>
      <w:r>
        <w:rPr>
          <w:rFonts w:ascii="Courier New" w:hAnsi="Courier New"/>
          <w:sz w:val="23"/>
        </w:rPr>
        <w:t>PERBAIKAN_LABELING.py</w:t>
      </w:r>
      <w:r>
        <w:rPr>
          <w:rFonts w:ascii="Times New Roman" w:hAnsi="Times New Roman"/>
          <w:b w:val="0"/>
          <w:i w:val="0"/>
          <w:sz w:val="24"/>
        </w:rPr>
        <w:t>) was developed to re-annotate and validate the multi-class testing benchmarks for future iterations.</w:t>
      </w:r>
    </w:p>
    <w:p>
      <w:pPr>
        <w:spacing w:line="480" w:lineRule="auto" w:before="280" w:after="80"/>
        <w:ind w:firstLine="0"/>
        <w:jc w:val="left"/>
      </w:pPr>
      <w:r>
        <w:rPr>
          <w:rFonts w:ascii="Times New Roman" w:hAnsi="Times New Roman"/>
          <w:b/>
          <w:i w:val="0"/>
          <w:sz w:val="25"/>
        </w:rPr>
        <w:t>4.8 Large-Scale Generalization &amp; Methodological Formula Replication ($N = 9,862$)</w:t>
      </w:r>
    </w:p>
    <w:p>
      <w:pPr>
        <w:spacing w:line="480" w:lineRule="auto" w:before="0" w:after="0"/>
        <w:ind w:firstLine="720"/>
      </w:pPr>
      <w:r>
        <w:rPr>
          <w:rFonts w:ascii="Times New Roman" w:hAnsi="Times New Roman"/>
          <w:b w:val="0"/>
          <w:i w:val="0"/>
          <w:sz w:val="24"/>
        </w:rPr>
        <w:t xml:space="preserve">To empirically test the ecological validity and out-of-sample generalization of our analytical framework beyond the primary thesis corpus, the fine-tuned IndoBERT model and the complete battery of topological, affective, and early-warning formulas were deployed across an expanded real-world streaming dataset comprising </w:t>
      </w:r>
      <w:r>
        <w:rPr>
          <w:rFonts w:ascii="Times New Roman" w:hAnsi="Times New Roman"/>
          <w:b/>
          <w:i w:val="0"/>
          <w:sz w:val="24"/>
        </w:rPr>
        <w:t>9,862 deduplicated citizen posts</w:t>
      </w:r>
      <w:r>
        <w:rPr>
          <w:rFonts w:ascii="Times New Roman" w:hAnsi="Times New Roman"/>
          <w:b w:val="0"/>
          <w:i w:val="0"/>
          <w:sz w:val="24"/>
        </w:rPr>
        <w:t xml:space="preserve"> gathered from Platform X.</w:t>
      </w:r>
    </w:p>
    <w:p>
      <w:pPr>
        <w:spacing w:line="480" w:lineRule="auto" w:before="0" w:after="0"/>
        <w:ind w:firstLine="720"/>
      </w:pPr>
      <w:r>
        <w:rPr>
          <w:rFonts w:ascii="Times New Roman" w:hAnsi="Times New Roman"/>
          <w:b w:val="0"/>
          <w:i w:val="0"/>
          <w:sz w:val="24"/>
        </w:rPr>
        <w:t xml:space="preserve">Inference was accelerated on Apple Silicon Neural Engine/Metal Performance Shaders (MPS) at an average throughput of </w:t>
      </w:r>
      <w:r>
        <w:rPr>
          <w:rFonts w:ascii="Times New Roman" w:hAnsi="Times New Roman"/>
          <w:b/>
          <w:i w:val="0"/>
          <w:sz w:val="24"/>
        </w:rPr>
        <w:t>223.3 posts per second</w:t>
      </w:r>
      <w:r>
        <w:rPr>
          <w:rFonts w:ascii="Times New Roman" w:hAnsi="Times New Roman"/>
          <w:b w:val="0"/>
          <w:i w:val="0"/>
          <w:sz w:val="24"/>
        </w:rPr>
        <w:t xml:space="preserve"> (total runtime: 44.17 s). Figure 12 integrates the 3-epoch convergence telemetry, the out-of-sample emotion distribution, model confidence calibration, and the replicated early-warning scorecard.</w:t>
      </w:r>
    </w:p>
    <w:p>
      <w:pPr>
        <w:spacing w:before="240" w:after="80"/>
        <w:jc w:val="center"/>
      </w:pPr>
      <w:r>
        <w:drawing>
          <wp:inline xmlns:a="http://schemas.openxmlformats.org/drawingml/2006/main" xmlns:pic="http://schemas.openxmlformats.org/drawingml/2006/picture">
            <wp:extent cx="5669280" cy="3825730"/>
            <wp:docPr id="12" name="Picture 12"/>
            <wp:cNvGraphicFramePr>
              <a:graphicFrameLocks noChangeAspect="1"/>
            </wp:cNvGraphicFramePr>
            <a:graphic>
              <a:graphicData uri="http://schemas.openxmlformats.org/drawingml/2006/picture">
                <pic:pic>
                  <pic:nvPicPr>
                    <pic:cNvPr id="0" name="grafik_master_indobert_dan_rumus_tesis.png"/>
                    <pic:cNvPicPr/>
                  </pic:nvPicPr>
                  <pic:blipFill>
                    <a:blip r:embed="rId21"/>
                    <a:stretch>
                      <a:fillRect/>
                    </a:stretch>
                  </pic:blipFill>
                  <pic:spPr>
                    <a:xfrm>
                      <a:off x="0" y="0"/>
                      <a:ext cx="5669280" cy="38257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12: Integrated Master Validation — IndoBERT 3.0 Epoch Convergence, Out-of-Sample Affective Distribution, Confidence Calibration, and Replicated Thesis Formula Scorecard</w:t>
      </w:r>
    </w:p>
    <w:p>
      <w:pPr>
        <w:spacing w:line="480" w:lineRule="auto" w:before="200" w:after="60"/>
        <w:ind w:firstLine="0"/>
        <w:jc w:val="left"/>
      </w:pPr>
      <w:r>
        <w:rPr>
          <w:rFonts w:ascii="Times New Roman" w:hAnsi="Times New Roman"/>
          <w:b/>
          <w:i/>
          <w:sz w:val="24"/>
        </w:rPr>
        <w:t>4.8.1 Deep Learning Convergence over 3.0 Full Epochs</w:t>
      </w:r>
    </w:p>
    <w:p>
      <w:pPr>
        <w:spacing w:line="480" w:lineRule="auto" w:before="0" w:after="0"/>
        <w:ind w:firstLine="720"/>
      </w:pPr>
      <w:r>
        <w:rPr>
          <w:rFonts w:ascii="Times New Roman" w:hAnsi="Times New Roman"/>
          <w:b w:val="0"/>
          <w:i w:val="0"/>
          <w:sz w:val="24"/>
        </w:rPr>
        <w:t>As evidenced in Figure 12 (Panel A) and verified through the formal training state ledger (</w:t>
      </w:r>
      <w:r>
        <w:rPr>
          <w:rFonts w:ascii="Courier New" w:hAnsi="Courier New"/>
          <w:sz w:val="23"/>
        </w:rPr>
        <w:t>trainer_state.json</w:t>
      </w:r>
      <w:r>
        <w:rPr>
          <w:rFonts w:ascii="Times New Roman" w:hAnsi="Times New Roman"/>
          <w:b w:val="0"/>
          <w:i w:val="0"/>
          <w:sz w:val="24"/>
        </w:rPr>
        <w:t>), the IndoBERT architecture underwent exact 3-epoch fine-tuning ($792$ cumulative gradient steps, batch size $16$, learning rate $2 \times 10^{-5}$). Training loss decreased monotonically from an initial $1.8708$ (Step 50, Epoch 0.19) to $0.4328$ (Step 792, Epoch 3.00), while validation loss stabilized at $0.5250$. This demonstrates smooth convergence without overparameterized variance.</w:t>
      </w:r>
    </w:p>
    <w:p>
      <w:pPr>
        <w:spacing w:line="480" w:lineRule="auto" w:before="0" w:after="0"/>
        <w:ind w:firstLine="720"/>
      </w:pPr>
      <w:r>
        <w:rPr>
          <w:rFonts w:ascii="Times New Roman" w:hAnsi="Times New Roman"/>
          <w:b w:val="0"/>
          <w:i w:val="0"/>
          <w:sz w:val="24"/>
        </w:rPr>
        <w:t xml:space="preserve">On the 9,862 streaming posts, the model exhibited high certainty (Panel C), yielding a mean softmax confidence score of </w:t>
      </w:r>
      <w:r>
        <w:rPr>
          <w:rFonts w:ascii="Times New Roman" w:hAnsi="Times New Roman"/>
          <w:b/>
          <w:i w:val="0"/>
          <w:sz w:val="24"/>
        </w:rPr>
        <w:t>0.9501 (95.01%)</w:t>
      </w:r>
      <w:r>
        <w:rPr>
          <w:rFonts w:ascii="Times New Roman" w:hAnsi="Times New Roman"/>
          <w:b w:val="0"/>
          <w:i w:val="0"/>
          <w:sz w:val="24"/>
        </w:rPr>
        <w:t xml:space="preserve"> and a median confidence of </w:t>
      </w:r>
      <w:r>
        <w:rPr>
          <w:rFonts w:ascii="Times New Roman" w:hAnsi="Times New Roman"/>
          <w:b/>
          <w:i w:val="0"/>
          <w:sz w:val="24"/>
        </w:rPr>
        <w:t>0.9695 (96.95%)</w:t>
      </w:r>
      <w:r>
        <w:rPr>
          <w:rFonts w:ascii="Times New Roman" w:hAnsi="Times New Roman"/>
          <w:b w:val="0"/>
          <w:i w:val="0"/>
          <w:sz w:val="24"/>
        </w:rPr>
        <w:t xml:space="preserve">. Affective classification confirmed the structural hegemony of moral revulsion observed in the primary corpus: </w:t>
      </w:r>
      <w:r>
        <w:rPr>
          <w:rFonts w:ascii="Times New Roman" w:hAnsi="Times New Roman"/>
          <w:b/>
          <w:i w:val="0"/>
          <w:sz w:val="24"/>
        </w:rPr>
        <w:t>Disgust constituted 98.14% ($N = 9,679$)</w:t>
      </w:r>
      <w:r>
        <w:rPr>
          <w:rFonts w:ascii="Times New Roman" w:hAnsi="Times New Roman"/>
          <w:b w:val="0"/>
          <w:i w:val="0"/>
          <w:sz w:val="24"/>
        </w:rPr>
        <w:t xml:space="preserve">, followed by </w:t>
      </w:r>
      <w:r>
        <w:rPr>
          <w:rFonts w:ascii="Times New Roman" w:hAnsi="Times New Roman"/>
          <w:b/>
          <w:i w:val="0"/>
          <w:sz w:val="24"/>
        </w:rPr>
        <w:t>Love/Affection at 1.74% ($N = 172$)</w:t>
      </w:r>
      <w:r>
        <w:rPr>
          <w:rFonts w:ascii="Times New Roman" w:hAnsi="Times New Roman"/>
          <w:b w:val="0"/>
          <w:i w:val="0"/>
          <w:sz w:val="24"/>
        </w:rPr>
        <w:t xml:space="preserve">, and </w:t>
      </w:r>
      <w:r>
        <w:rPr>
          <w:rFonts w:ascii="Times New Roman" w:hAnsi="Times New Roman"/>
          <w:b/>
          <w:i w:val="0"/>
          <w:sz w:val="24"/>
        </w:rPr>
        <w:t>Neutrality at 0.11% ($N = 11$)</w:t>
      </w:r>
      <w:r>
        <w:rPr>
          <w:rFonts w:ascii="Times New Roman" w:hAnsi="Times New Roman"/>
          <w:b w:val="0"/>
          <w:i w:val="0"/>
          <w:sz w:val="24"/>
        </w:rPr>
        <w:t>.</w:t>
      </w:r>
    </w:p>
    <w:p>
      <w:pPr>
        <w:spacing w:line="480" w:lineRule="auto" w:before="200" w:after="60"/>
        <w:ind w:firstLine="0"/>
        <w:jc w:val="left"/>
      </w:pPr>
      <w:r>
        <w:rPr>
          <w:rFonts w:ascii="Times New Roman" w:hAnsi="Times New Roman"/>
          <w:b/>
          <w:i/>
          <w:sz w:val="24"/>
        </w:rPr>
        <w:t>4.8.2 Network Centrality Typologies: Top 10 Hubs and Information Brokers</w:t>
      </w:r>
    </w:p>
    <w:p>
      <w:pPr>
        <w:spacing w:line="480" w:lineRule="auto" w:before="0" w:after="0"/>
        <w:ind w:firstLine="720"/>
      </w:pPr>
      <w:r>
        <w:rPr>
          <w:rFonts w:ascii="Times New Roman" w:hAnsi="Times New Roman"/>
          <w:b w:val="0"/>
          <w:i w:val="0"/>
          <w:sz w:val="24"/>
        </w:rPr>
        <w:t>Topological graph analysis of citizen interactions ($1,760$ active user nodes, $1,323$ directed interaction edges) reveals the structural persistence of disassortative hub-and-spoke centralization. Tables 5A and 5B catalog the 10 highest-centrality actors according to Degree Centrality (hubs) and Betweenness Centrality (bridges).</w:t>
      </w:r>
    </w:p>
    <w:p>
      <w:pPr>
        <w:spacing w:before="280" w:after="80" w:line="288" w:lineRule="auto"/>
        <w:jc w:val="left"/>
      </w:pPr>
      <w:r>
        <w:rPr>
          <w:rFonts w:ascii="Times New Roman" w:hAnsi="Times New Roman"/>
          <w:b/>
          <w:i w:val="0"/>
          <w:sz w:val="22"/>
        </w:rPr>
        <w:t>Table 5A: Top 10 Actors by Degree Centrality (Discourse Hubs)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Normalized Degree ($k_i$)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Louvain Community ($c_i$)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Network Role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0.0433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AI Epistemic Oracle</w:t>
            </w:r>
            <w:r>
              <w:rPr>
                <w:rFonts w:ascii="Times New Roman" w:hAnsi="Times New Roman"/>
                <w:b w:val="0"/>
                <w:i w:val="0"/>
                <w:sz w:val="18"/>
              </w:rPr>
              <w:t xml:space="preserve"> — Algorithmic verifier solicited for fiscal arithmetic and poisoning news fact-checks.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Critical Amplifier</w:t>
            </w:r>
            <w:r>
              <w:rPr>
                <w:rFonts w:ascii="Times New Roman" w:hAnsi="Times New Roman"/>
                <w:b w:val="0"/>
                <w:i w:val="0"/>
                <w:sz w:val="18"/>
              </w:rPr>
              <w:t xml:space="preserve"> — Community node propagating viral evidence of food defects.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Active Discussant</w:t>
            </w:r>
            <w:r>
              <w:rPr>
                <w:rFonts w:ascii="Times New Roman" w:hAnsi="Times New Roman"/>
                <w:b w:val="0"/>
                <w:i w:val="0"/>
                <w:sz w:val="18"/>
              </w:rPr>
              <w:t xml:space="preserve"> — High-degree catalyst of policy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 In-Degree Sink</w:t>
            </w:r>
            <w:r>
              <w:rPr>
                <w:rFonts w:ascii="Times New Roman" w:hAnsi="Times New Roman"/>
                <w:b w:val="0"/>
                <w:i w:val="0"/>
                <w:sz w:val="18"/>
              </w:rPr>
              <w:t xml:space="preserve"> — Presidential handle receiving citizen grievances.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Key Opinion Leader (KOL)</w:t>
            </w:r>
            <w:r>
              <w:rPr>
                <w:rFonts w:ascii="Times New Roman" w:hAnsi="Times New Roman"/>
                <w:b w:val="0"/>
                <w:i w:val="0"/>
                <w:sz w:val="18"/>
              </w:rPr>
              <w:t xml:space="preserve"> mobilizing localized parent discussions.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food poisoning alert disseminator.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Citizen observer tracking school delivery transparency.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@mBg_JK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Dedicated MBG watchdog handle.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Political counter-narrative mobilizer.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Technical evaluator of SPPG catering deficiencies.</w:t>
            </w:r>
          </w:p>
        </w:tc>
      </w:tr>
    </w:tbl>
    <w:p>
      <w:pPr>
        <w:spacing w:after="160"/>
      </w:pPr>
    </w:p>
    <w:p>
      <w:pPr>
        <w:spacing w:before="280" w:after="80" w:line="288" w:lineRule="auto"/>
        <w:jc w:val="left"/>
      </w:pPr>
      <w:r>
        <w:rPr>
          <w:rFonts w:ascii="Times New Roman" w:hAnsi="Times New Roman"/>
          <w:b/>
          <w:i w:val="0"/>
          <w:sz w:val="22"/>
        </w:rPr>
        <w:t>Table 5B: Top 10 Actors by Betweenness Centrality (Information Brokers &amp; Bridges)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($k_i$)</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Structural Brokerage Function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0.005941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0.0433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Spans structural holes between pro-government, opposition, and investigative citizen clusters.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0.005413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0.0155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Serves as the global apex bridge linking grassroots citizen testimonials to executive policy spheres.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0.004564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Bridges broader political critique with granular school-level operational reporting.</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@direktoridosen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0.001236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Academic Broker</w:t>
            </w:r>
            <w:r>
              <w:rPr>
                <w:rFonts w:ascii="Times New Roman" w:hAnsi="Times New Roman"/>
                <w:b w:val="0"/>
                <w:i w:val="0"/>
                <w:sz w:val="18"/>
              </w:rPr>
              <w:t xml:space="preserve"> — Connects pedagogical/scholarly commentary to lay public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0.001156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Relays conversational chains across fragmented commentary threads.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@daffiriffi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0.000984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Connects general public retweets with specialized political critiques.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@bbiiyaya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Channels student testimonials into wider institutional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@gibran_tweet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Political bridge engaging youth and first-time voter demographics.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@Rhym03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Intra-community conversational bridge.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@xquitavee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broker transmitting nutritional quality concerns.</w:t>
            </w:r>
          </w:p>
        </w:tc>
      </w:tr>
    </w:tbl>
    <w:p>
      <w:pPr>
        <w:spacing w:after="160"/>
      </w:pPr>
    </w:p>
    <w:p>
      <w:pPr>
        <w:spacing w:line="480" w:lineRule="auto" w:before="200" w:after="60"/>
        <w:ind w:firstLine="0"/>
        <w:jc w:val="left"/>
      </w:pPr>
      <w:r>
        <w:rPr>
          <w:rFonts w:ascii="Times New Roman" w:hAnsi="Times New Roman"/>
          <w:b/>
          <w:i/>
          <w:sz w:val="24"/>
        </w:rPr>
        <w:t>4.8.3 Thematic Salience: Top 10 Policy Dimensions</w:t>
      </w:r>
    </w:p>
    <w:p>
      <w:pPr>
        <w:spacing w:line="480" w:lineRule="auto" w:before="0" w:after="0"/>
        <w:ind w:firstLine="720"/>
      </w:pPr>
      <w:r>
        <w:rPr>
          <w:rFonts w:ascii="Times New Roman" w:hAnsi="Times New Roman"/>
          <w:b w:val="0"/>
          <w:i w:val="0"/>
          <w:sz w:val="24"/>
        </w:rPr>
        <w:t>Semantic frequency extraction across domain-specific posts ($N = 6,969$ active MBG discussions) revealed ten distinct thematic clusters, reported in Table 6.</w:t>
      </w:r>
    </w:p>
    <w:p>
      <w:pPr>
        <w:spacing w:before="280" w:after="80" w:line="288" w:lineRule="auto"/>
        <w:jc w:val="left"/>
      </w:pPr>
      <w:r>
        <w:rPr>
          <w:rFonts w:ascii="Times New Roman" w:hAnsi="Times New Roman"/>
          <w:b/>
          <w:i w:val="0"/>
          <w:sz w:val="22"/>
        </w:rPr>
        <w:t>Table 6: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Policy Topic /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Discursive Volume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Salience Share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Focus &amp; Semantic Keywords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 &amp; Portion Deficits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2,430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34.87%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Inadequate protein, unbalanced macronutrients, tiny portions (</w:t>
            </w:r>
            <w:r>
              <w:rPr>
                <w:rFonts w:ascii="Times New Roman" w:hAnsi="Times New Roman"/>
                <w:b w:val="0"/>
                <w:i/>
                <w:sz w:val="18"/>
              </w:rPr>
              <w:t>menu, porsi, gizi, susu, telur, tempe</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Vendor Governance &amp; SPPG Kitchens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1,714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24.59%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Private catering contracts, regional kitchen readiness (</w:t>
            </w:r>
            <w:r>
              <w:rPr>
                <w:rFonts w:ascii="Times New Roman" w:hAnsi="Times New Roman"/>
                <w:b w:val="0"/>
                <w:i/>
                <w:sz w:val="18"/>
              </w:rPr>
              <w:t>vendor, sppg, dapur, katering, ompreng, bento</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Mass Food Poisoning &amp; Hygiene Failures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1,456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20.89%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Student hospitalizations, bacterial contamination, spoiled food (</w:t>
            </w:r>
            <w:r>
              <w:rPr>
                <w:rFonts w:ascii="Times New Roman" w:hAnsi="Times New Roman"/>
                <w:b w:val="0"/>
                <w:i/>
                <w:sz w:val="18"/>
              </w:rPr>
              <w:t>keracunan, muntah, diare, sakit perut, basi</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Logistics &amp; Geographic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1,171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16.80%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Delivery delays, cold-chain failures, rural and 3T school access (</w:t>
            </w:r>
            <w:r>
              <w:rPr>
                <w:rFonts w:ascii="Times New Roman" w:hAnsi="Times New Roman"/>
                <w:b w:val="0"/>
                <w:i/>
                <w:sz w:val="18"/>
              </w:rPr>
              <w:t>distribusi, logistik, kirim, antar, pelosok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BGN Institutional Accountability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1,137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16.32%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Regulatory capacity, bureaucratic oversight (</w:t>
            </w:r>
            <w:r>
              <w:rPr>
                <w:rFonts w:ascii="Times New Roman" w:hAnsi="Times New Roman"/>
                <w:b w:val="0"/>
                <w:i/>
                <w:sz w:val="18"/>
              </w:rPr>
              <w:t>badan gizi nasional, bgn, kepemimpinan, regulasi, sop</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Campaign Promises vs Physical Reality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1,053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15.11%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Juxtaposition against election pledges (</w:t>
            </w:r>
            <w:r>
              <w:rPr>
                <w:rFonts w:ascii="Times New Roman" w:hAnsi="Times New Roman"/>
                <w:b w:val="0"/>
                <w:i/>
                <w:sz w:val="18"/>
              </w:rPr>
              <w:t>prabowo, gibran, janji, kampanye, politik, bansos</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Fiscal Efficiency &amp; Budget Realignment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606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8.70%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Macro-budget allocations and per-meal costs (</w:t>
            </w:r>
            <w:r>
              <w:rPr>
                <w:rFonts w:ascii="Times New Roman" w:hAnsi="Times New Roman"/>
                <w:b w:val="0"/>
                <w:i/>
                <w:sz w:val="18"/>
              </w:rPr>
              <w:t>anggaran, triliun, apbn, pagu, pangkas, dana</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Experts &amp; Laboratory SOPs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594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8.52%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Demands for independent dietitians and food testing (</w:t>
            </w:r>
            <w:r>
              <w:rPr>
                <w:rFonts w:ascii="Times New Roman" w:hAnsi="Times New Roman"/>
                <w:b w:val="0"/>
                <w:i/>
                <w:sz w:val="18"/>
              </w:rPr>
              <w:t>ahli gizi, higienis, nutrisi, stunting, uji lab</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Digital Sarcasm &amp; Parodic Coping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254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Ironic mockery and humorous memes (</w:t>
            </w:r>
            <w:r>
              <w:rPr>
                <w:rFonts w:ascii="Times New Roman" w:hAnsi="Times New Roman"/>
                <w:b w:val="0"/>
                <w:i/>
                <w:sz w:val="18"/>
              </w:rPr>
              <w:t>lucu, kocak, aneh, wkwk, lawak, gimmick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Corruption, Markups &amp; Crony Tenders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183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2.63%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Allegations of inflated prices and shell vendors (</w:t>
            </w:r>
            <w:r>
              <w:rPr>
                <w:rFonts w:ascii="Times New Roman" w:hAnsi="Times New Roman"/>
                <w:b w:val="0"/>
                <w:i/>
                <w:sz w:val="18"/>
              </w:rPr>
              <w:t>korupsi, markup, fiktif, cuan, kongkalikong, mafia</w:t>
            </w:r>
            <w:r>
              <w:rPr>
                <w:rFonts w:ascii="Times New Roman" w:hAnsi="Times New Roman"/>
                <w:b w:val="0"/>
                <w:i w:val="0"/>
                <w:sz w:val="18"/>
              </w:rPr>
              <w:t>).</w:t>
            </w:r>
          </w:p>
        </w:tc>
      </w:tr>
    </w:tbl>
    <w:p>
      <w:pPr>
        <w:spacing w:after="160"/>
      </w:pPr>
    </w:p>
    <w:p>
      <w:pPr>
        <w:spacing w:line="480" w:lineRule="auto" w:before="200" w:after="60"/>
        <w:ind w:firstLine="0"/>
        <w:jc w:val="left"/>
      </w:pPr>
      <w:r>
        <w:rPr>
          <w:rFonts w:ascii="Times New Roman" w:hAnsi="Times New Roman"/>
          <w:b/>
          <w:i/>
          <w:sz w:val="24"/>
        </w:rPr>
        <w:t>4.8.4 Methodological Formula Replication</w:t>
      </w:r>
    </w:p>
    <w:p>
      <w:pPr>
        <w:spacing w:line="480" w:lineRule="auto" w:before="0" w:after="0"/>
        <w:ind w:firstLine="720"/>
      </w:pPr>
      <w:r>
        <w:rPr>
          <w:rFonts w:ascii="Times New Roman" w:hAnsi="Times New Roman"/>
          <w:b w:val="0"/>
          <w:i w:val="0"/>
          <w:sz w:val="24"/>
        </w:rPr>
        <w:t>Applying the mathematical specifications formulated in Equations (1)–(11) to the scaled out-of-sample network yields identical macro-topological patterns:</w:t>
      </w:r>
    </w:p>
    <w:p>
      <w:pPr>
        <w:spacing w:line="480" w:lineRule="auto" w:after="40"/>
        <w:ind w:left="720" w:hanging="360"/>
      </w:pPr>
      <w:r>
        <w:rPr>
          <w:b/>
        </w:rPr>
        <w:t xml:space="preserve">• </w:t>
      </w:r>
      <w:r>
        <w:rPr>
          <w:rFonts w:ascii="Times New Roman" w:hAnsi="Times New Roman"/>
          <w:b/>
          <w:i w:val="0"/>
          <w:sz w:val="24"/>
        </w:rPr>
        <w:t>Graph Density ($\rho = 0.000427$)</w:t>
      </w:r>
      <w:r>
        <w:rPr>
          <w:rFonts w:ascii="Times New Roman" w:hAnsi="Times New Roman"/>
          <w:b w:val="0"/>
          <w:i w:val="0"/>
          <w:sz w:val="24"/>
        </w:rPr>
        <w:t>: Confirms an extremely sparse, broadcast-heavy communication architecture ($|E| \ll |V|^2$).</w:t>
      </w:r>
    </w:p>
    <w:p>
      <w:pPr>
        <w:spacing w:line="480" w:lineRule="auto" w:after="40"/>
        <w:ind w:left="720" w:hanging="360"/>
      </w:pPr>
      <w:r>
        <w:rPr>
          <w:b/>
        </w:rPr>
        <w:t xml:space="preserve">• </w:t>
      </w:r>
      <w:r>
        <w:rPr>
          <w:rFonts w:ascii="Times New Roman" w:hAnsi="Times New Roman"/>
          <w:b/>
          <w:i w:val="0"/>
          <w:sz w:val="24"/>
        </w:rPr>
        <w:t>Reciprocity ($R = 0.0091 = 0.91\%$)</w:t>
      </w:r>
      <w:r>
        <w:rPr>
          <w:rFonts w:ascii="Times New Roman" w:hAnsi="Times New Roman"/>
          <w:b w:val="0"/>
          <w:i w:val="0"/>
          <w:sz w:val="24"/>
        </w:rPr>
        <w:t>: Mutual two-way deliberation remains below 1%, demonstrating that digital policy interaction is fundamentally unidirectional.</w:t>
      </w:r>
    </w:p>
    <w:p>
      <w:pPr>
        <w:spacing w:line="480" w:lineRule="auto" w:after="40"/>
        <w:ind w:left="720" w:hanging="360"/>
      </w:pPr>
      <w:r>
        <w:rPr>
          <w:b/>
        </w:rPr>
        <w:t xml:space="preserve">• </w:t>
      </w:r>
      <w:r>
        <w:rPr>
          <w:rFonts w:ascii="Times New Roman" w:hAnsi="Times New Roman"/>
          <w:b/>
          <w:i w:val="0"/>
          <w:sz w:val="24"/>
        </w:rPr>
        <w:t>Louvain Modularity ($Q = 0.9761$)</w:t>
      </w:r>
      <w:r>
        <w:rPr>
          <w:rFonts w:ascii="Times New Roman" w:hAnsi="Times New Roman"/>
          <w:b w:val="0"/>
          <w:i w:val="0"/>
          <w:sz w:val="24"/>
        </w:rPr>
        <w:t>: Demonstrates near-total community balkanization (496 distinct clusters), indicating extreme ideological compartmentalization.</w:t>
      </w:r>
    </w:p>
    <w:p>
      <w:pPr>
        <w:spacing w:line="480" w:lineRule="auto" w:after="40"/>
        <w:ind w:left="720" w:hanging="360"/>
      </w:pPr>
      <w:r>
        <w:rPr>
          <w:b/>
        </w:rPr>
        <w:t xml:space="preserve">• </w:t>
      </w:r>
      <w:r>
        <w:rPr>
          <w:rFonts w:ascii="Times New Roman" w:hAnsi="Times New Roman"/>
          <w:b/>
          <w:i w:val="0"/>
          <w:sz w:val="24"/>
        </w:rPr>
        <w:t>Net Valence Ratio ($-0.9651$)</w:t>
      </w:r>
      <w:r>
        <w:rPr>
          <w:rFonts w:ascii="Times New Roman" w:hAnsi="Times New Roman"/>
          <w:b w:val="0"/>
          <w:i w:val="0"/>
          <w:sz w:val="24"/>
        </w:rPr>
        <w:t>: Approaching the theoretical floor of $-1.0$, underscoring widespread affective hostility.</w:t>
      </w:r>
    </w:p>
    <w:p>
      <w:pPr>
        <w:spacing w:line="480" w:lineRule="auto" w:after="40"/>
        <w:ind w:left="720" w:hanging="360"/>
      </w:pPr>
      <w:r>
        <w:rPr>
          <w:b/>
        </w:rPr>
        <w:t xml:space="preserve">• </w:t>
      </w:r>
      <w:r>
        <w:rPr>
          <w:rFonts w:ascii="Times New Roman" w:hAnsi="Times New Roman"/>
          <w:b/>
          <w:i w:val="0"/>
          <w:sz w:val="24"/>
        </w:rPr>
        <w:t>DPPTI Index ($0.0174$)</w:t>
      </w:r>
      <w:r>
        <w:rPr>
          <w:rFonts w:ascii="Times New Roman" w:hAnsi="Times New Roman"/>
          <w:b w:val="0"/>
          <w:i w:val="0"/>
          <w:sz w:val="24"/>
        </w:rPr>
        <w:t>: Well below the stability threshold of $0.30$, signaling severe crisis vulnerability.</w:t>
      </w:r>
    </w:p>
    <w:p>
      <w:pPr>
        <w:spacing w:line="480" w:lineRule="auto" w:after="40"/>
        <w:ind w:left="720" w:hanging="360"/>
      </w:pPr>
      <w:r>
        <w:rPr>
          <w:b/>
        </w:rPr>
        <w:t xml:space="preserve">• </w:t>
      </w:r>
      <w:r>
        <w:rPr>
          <w:rFonts w:ascii="Times New Roman" w:hAnsi="Times New Roman"/>
          <w:b/>
          <w:i w:val="0"/>
          <w:sz w:val="24"/>
        </w:rPr>
        <w:t>Composite Early Warning Score ($\text{EWS} = 84.6/100$)</w:t>
      </w:r>
      <w:r>
        <w:rPr>
          <w:rFonts w:ascii="Times New Roman" w:hAnsi="Times New Roman"/>
          <w:b w:val="0"/>
          <w:i w:val="0"/>
          <w:sz w:val="24"/>
        </w:rPr>
        <w:t xml:space="preserve">: Triggers an unambiguous </w:t>
      </w:r>
      <w:r>
        <w:rPr>
          <w:rFonts w:ascii="Times New Roman" w:hAnsi="Times New Roman"/>
          <w:b/>
          <w:i w:val="0"/>
          <w:sz w:val="24"/>
        </w:rPr>
        <w:t>RED ALERT (Acute Crisis / Hardened Resistance)</w:t>
      </w:r>
      <w:r>
        <w:rPr>
          <w:rFonts w:ascii="Times New Roman" w:hAnsi="Times New Roman"/>
          <w:b w:val="0"/>
          <w:i w:val="0"/>
          <w:sz w:val="24"/>
        </w:rPr>
        <w:t xml:space="preserve"> status, driven by maximal Emotion Risk ($30.0/30$), elevated Sarcasm/Resistance Risk ($19.7/20$), and structural polarization ($19.5/20$).</w:t>
      </w:r>
    </w:p>
    <w:p>
      <w:pPr>
        <w:spacing w:line="480" w:lineRule="auto" w:before="200" w:after="60"/>
        <w:ind w:firstLine="0"/>
        <w:jc w:val="left"/>
      </w:pPr>
      <w:r>
        <w:rPr>
          <w:rFonts w:ascii="Times New Roman" w:hAnsi="Times New Roman"/>
          <w:b/>
          <w:i/>
          <w:sz w:val="24"/>
        </w:rPr>
        <w:t>4.8.5 Longitudinal Temporal Dynamics: Month-by-Month IndoBERT Affective Trajectory (January–October 2026)</w:t>
      </w:r>
    </w:p>
    <w:p>
      <w:pPr>
        <w:spacing w:line="480" w:lineRule="auto" w:before="0" w:after="0"/>
        <w:ind w:firstLine="720"/>
      </w:pPr>
      <w:r>
        <w:rPr>
          <w:rFonts w:ascii="Times New Roman" w:hAnsi="Times New Roman"/>
          <w:b w:val="0"/>
          <w:i w:val="0"/>
          <w:sz w:val="24"/>
        </w:rPr>
        <w:t>To illuminate how public sentiment evolved across the program's real-world rollout, we decomposed the streaming corpus longitudinally across the ten months of 2026 ($N = 9,360$ posts; 9,240 historical posts plus real-time streaming telemetry up to October 10, 2026). Table 7 details the month-by-month affective decomposition, paired with corresponding policy ground-truthing milestones, while Figure 13 visualizes the longitudinal volume trajectory and affective breakdown.</w:t>
      </w:r>
    </w:p>
    <w:p>
      <w:pPr>
        <w:spacing w:before="280" w:after="80" w:line="288" w:lineRule="auto"/>
        <w:jc w:val="left"/>
      </w:pPr>
      <w:r>
        <w:rPr>
          <w:rFonts w:ascii="Times New Roman" w:hAnsi="Times New Roman"/>
          <w:b/>
          <w:i w:val="0"/>
          <w:sz w:val="22"/>
        </w:rPr>
        <w:t>Table 7: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Month (2026)</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Macro-Political &amp; Empirical Ground-Truthing Event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Jan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Initial pilot announcements; early public skepticism regarding per-meal budget feasibility.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Feb</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pilot trials expand; initial reports of delivery delays and packaging complaints.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 (97.35%)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 (2.65%)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Ramadan schedule adjustments; first viral images comparing promised vs actual meal portions.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Apr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499 (96.89%)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 (3.11%)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Post-Eid trial scale-up; intense debates over imported plastic meal trays (</w:t>
            </w:r>
            <w:r>
              <w:rPr>
                <w:rFonts w:ascii="Times New Roman" w:hAnsi="Times New Roman"/>
                <w:b w:val="0"/>
                <w:i/>
                <w:sz w:val="18"/>
              </w:rPr>
              <w:t>ompreng</w:t>
            </w:r>
            <w:r>
              <w:rPr>
                <w:rFonts w:ascii="Times New Roman" w:hAnsi="Times New Roman"/>
                <w:b w:val="0"/>
                <w:i w:val="0"/>
                <w:sz w:val="18"/>
              </w:rPr>
              <w: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Mei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3,157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3,060 (96.93%)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93 (2.95%)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 (0.13%)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 (First Crisis Explosion)</w:t>
            </w:r>
            <w:r>
              <w:rPr>
                <w:rFonts w:ascii="Times New Roman" w:hAnsi="Times New Roman"/>
                <w:b w:val="0"/>
                <w:i w:val="0"/>
                <w:sz w:val="18"/>
              </w:rPr>
              <w:t>: Nationwide controversy; official suspension of 4,581 SPPG catering units by BGN.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225 (98.68%)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(1.32%)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School recess period; discursive lull; parliamentary hearings on catering standards.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182 (98.91%)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New academic year recommencement; supplier re-licensing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Agu</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205 (98.09%)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State of the Nation Address &amp; FY2026 APBN budget announcement (IDR 268 trillion indicative allocation).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Sep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4,619 (99.10%)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39 (0.84%)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(0.06%)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II (Acute Moral Panic)</w:t>
            </w:r>
            <w:r>
              <w:rPr>
                <w:rFonts w:ascii="Times New Roman" w:hAnsi="Times New Roman"/>
                <w:b w:val="0"/>
                <w:i w:val="0"/>
                <w:sz w:val="18"/>
              </w:rPr>
              <w:t>: Outbreak of mass food poisoning across elementary schools; emergency SPPG audits.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Okt</w:t>
            </w:r>
            <w:r>
              <w:rPr>
                <w:rFonts w:ascii="Times New Roman" w:hAnsi="Times New Roman"/>
                <w:b w:val="0"/>
                <w:i w:val="0"/>
                <w:sz w:val="18"/>
              </w:rPr>
              <w:t xml:space="preserve"> </w:t>
            </w:r>
            <w:r>
              <w:rPr>
                <w:rFonts w:ascii="Times New Roman" w:hAnsi="Times New Roman"/>
                <w:b w:val="0"/>
                <w:i/>
                <w:sz w:val="18"/>
              </w:rPr>
              <w:t>(thru Oct 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120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118 (98.33%)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(1.67%)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Surveillance Phase</w:t>
            </w:r>
            <w:r>
              <w:rPr>
                <w:rFonts w:ascii="Times New Roman" w:hAnsi="Times New Roman"/>
                <w:b w:val="0"/>
                <w:i w:val="0"/>
                <w:sz w:val="18"/>
              </w:rPr>
              <w:t>: Operational activation of automated Telegram Early Warning System (EWS) bot push alerts.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Total / Avg</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9,360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9,189 (98.17%)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167 (1.78%)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 (0.10%)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Continuous longitudinal dominance of moral revulsion across all ten operational months.</w:t>
            </w:r>
          </w:p>
        </w:tc>
      </w:tr>
    </w:tbl>
    <w:p>
      <w:pPr>
        <w:spacing w:after="160"/>
      </w:pPr>
    </w:p>
    <w:p>
      <w:pPr>
        <w:spacing w:before="240" w:after="80"/>
        <w:jc w:val="center"/>
      </w:pPr>
      <w:r>
        <w:drawing>
          <wp:inline xmlns:a="http://schemas.openxmlformats.org/drawingml/2006/main" xmlns:pic="http://schemas.openxmlformats.org/drawingml/2006/picture">
            <wp:extent cx="5669280" cy="3928277"/>
            <wp:docPr id="13" name="Picture 13"/>
            <wp:cNvGraphicFramePr>
              <a:graphicFrameLocks noChangeAspect="1"/>
            </wp:cNvGraphicFramePr>
            <a:graphic>
              <a:graphicData uri="http://schemas.openxmlformats.org/drawingml/2006/picture">
                <pic:pic>
                  <pic:nvPicPr>
                    <pic:cNvPr id="0" name="indobert_monthly_emotion_timeline_2026.png"/>
                    <pic:cNvPicPr/>
                  </pic:nvPicPr>
                  <pic:blipFill>
                    <a:blip r:embed="rId22"/>
                    <a:stretch>
                      <a:fillRect/>
                    </a:stretch>
                  </pic:blipFill>
                  <pic:spPr>
                    <a:xfrm>
                      <a:off x="0" y="0"/>
                      <a:ext cx="5669280" cy="39282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13: Month-by-Month Temporal Evolution of IndoBERT Affective Classes and Real-Time Telegram EWS Surveillance across 2026</w:t>
      </w:r>
    </w:p>
    <w:p>
      <w:pPr>
        <w:spacing w:line="480" w:lineRule="auto" w:before="0" w:after="0"/>
        <w:ind w:firstLine="720"/>
      </w:pPr>
      <w:r>
        <w:rPr>
          <w:rFonts w:ascii="Times New Roman" w:hAnsi="Times New Roman"/>
          <w:b w:val="0"/>
          <w:i w:val="0"/>
          <w:sz w:val="24"/>
        </w:rPr>
        <w:t>As demonstrated in Figure 13 and Table 7, citizen discourse is characterized by two distinct bimodal crisis spikes:</w:t>
      </w:r>
    </w:p>
    <w:p>
      <w:pPr>
        <w:spacing w:line="480" w:lineRule="auto" w:after="40"/>
        <w:ind w:left="720" w:hanging="360"/>
      </w:pPr>
      <w:r>
        <w:rPr>
          <w:b/>
        </w:rPr>
        <w:t xml:space="preserve">1. </w:t>
      </w:r>
      <w:r>
        <w:rPr>
          <w:rFonts w:ascii="Times New Roman" w:hAnsi="Times New Roman"/>
          <w:b/>
          <w:i w:val="0"/>
          <w:sz w:val="24"/>
        </w:rPr>
        <w:t>Peak I (May 2026, $N = 3,157$)</w:t>
      </w:r>
      <w:r>
        <w:rPr>
          <w:rFonts w:ascii="Times New Roman" w:hAnsi="Times New Roman"/>
          <w:b w:val="0"/>
          <w:i w:val="0"/>
          <w:sz w:val="24"/>
        </w:rPr>
        <w:t>: Sparked by initial field trial results and procurement opacity, culminating in the formal suspension of 4,581 private SPPG catering units. Disgust reached 96.93%, driven by sarcastic citizen mockery regarding budget discrepancies.</w:t>
      </w:r>
    </w:p>
    <w:p>
      <w:pPr>
        <w:spacing w:line="480" w:lineRule="auto" w:after="40"/>
        <w:ind w:left="720" w:hanging="360"/>
      </w:pPr>
      <w:r>
        <w:rPr>
          <w:b/>
        </w:rPr>
        <w:t xml:space="preserve">2. </w:t>
      </w:r>
      <w:r>
        <w:rPr>
          <w:rFonts w:ascii="Times New Roman" w:hAnsi="Times New Roman"/>
          <w:b/>
          <w:i w:val="0"/>
          <w:sz w:val="24"/>
        </w:rPr>
        <w:t>Peak II (September 2026, $N = 4,661$)</w:t>
      </w:r>
      <w:r>
        <w:rPr>
          <w:rFonts w:ascii="Times New Roman" w:hAnsi="Times New Roman"/>
          <w:b w:val="0"/>
          <w:i w:val="0"/>
          <w:sz w:val="24"/>
        </w:rPr>
        <w:t>: Represented the acute systemic escalation of the Phygital Gap, precipitated by widespread hospitalizations of school children due to contaminated food batches. Disgust peaked at an unprecedented 99.10%, with organic expressions of maternal fear, outrage, and demands for immediate ministerial accountability.</w:t>
      </w:r>
    </w:p>
    <w:p>
      <w:pPr>
        <w:spacing w:line="480" w:lineRule="auto" w:before="200" w:after="60"/>
        <w:ind w:firstLine="0"/>
        <w:jc w:val="left"/>
      </w:pPr>
      <w:r>
        <w:rPr>
          <w:rFonts w:ascii="Times New Roman" w:hAnsi="Times New Roman"/>
          <w:b/>
          <w:i/>
          <w:sz w:val="24"/>
        </w:rPr>
        <w:t>4.8.6 Real-Time Telegram Early Warning System (EWS) Architecture &amp; Continuous Monitoring Telemetry (Up to October 10, 2026)</w:t>
      </w:r>
    </w:p>
    <w:p>
      <w:pPr>
        <w:spacing w:line="480" w:lineRule="auto" w:before="0" w:after="0"/>
        <w:ind w:firstLine="720"/>
      </w:pPr>
      <w:r>
        <w:rPr>
          <w:rFonts w:ascii="Times New Roman" w:hAnsi="Times New Roman"/>
          <w:b w:val="0"/>
          <w:i w:val="0"/>
          <w:sz w:val="24"/>
        </w:rPr>
        <w:t>To transition computational forensic insights into actionable public policy governance, our research operationalized an automated real-time monitoring and alerting pipeline deployed via a dedicated Telegram Early Warning System (EWS) bot (</w:t>
      </w:r>
      <w:r>
        <w:rPr>
          <w:rFonts w:ascii="Courier New" w:hAnsi="Courier New"/>
          <w:sz w:val="23"/>
        </w:rPr>
        <w:t>scripts/auto_scrape_job.py</w:t>
      </w:r>
      <w:r>
        <w:rPr>
          <w:rFonts w:ascii="Times New Roman" w:hAnsi="Times New Roman"/>
          <w:b w:val="0"/>
          <w:i w:val="0"/>
          <w:sz w:val="24"/>
        </w:rPr>
        <w:t>).</w:t>
      </w:r>
    </w:p>
    <w:p>
      <w:pPr>
        <w:spacing w:line="480" w:lineRule="auto" w:before="160" w:after="40"/>
        <w:ind w:firstLine="720"/>
        <w:jc w:val="left"/>
      </w:pPr>
      <w:r>
        <w:rPr>
          <w:rFonts w:ascii="Times New Roman" w:hAnsi="Times New Roman"/>
          <w:b/>
          <w:i w:val="0"/>
          <w:sz w:val="24"/>
        </w:rPr>
        <w:t>1. System Architecture and Trigger Workflow</w:t>
      </w:r>
    </w:p>
    <w:p>
      <w:pPr>
        <w:spacing w:line="480" w:lineRule="auto" w:before="0" w:after="0"/>
        <w:ind w:firstLine="720"/>
      </w:pPr>
      <w:r>
        <w:rPr>
          <w:rFonts w:ascii="Times New Roman" w:hAnsi="Times New Roman"/>
          <w:b w:val="0"/>
          <w:i w:val="0"/>
          <w:sz w:val="24"/>
        </w:rPr>
        <w:t>The EWS engine executes scheduled cron/cloud ingestion jobs twice daily (07:00 and 19:00 WIB, aligning with school meal delivery and post-school debriefing windows). Each scheduled run ingests newly published citizen posts on Platform X matching policy queries (</w:t>
      </w:r>
      <w:r>
        <w:rPr>
          <w:rFonts w:ascii="Courier New" w:hAnsi="Courier New"/>
          <w:sz w:val="23"/>
        </w:rPr>
        <w:t>MBG OR "Makan Bergizi Gratis"</w:t>
      </w:r>
      <w:r>
        <w:rPr>
          <w:rFonts w:ascii="Times New Roman" w:hAnsi="Times New Roman"/>
          <w:b w:val="0"/>
          <w:i w:val="0"/>
          <w:sz w:val="24"/>
        </w:rPr>
        <w:t>), applies deduplication against the persistent historical datastore (</w:t>
      </w:r>
      <w:r>
        <w:rPr>
          <w:rFonts w:ascii="Courier New" w:hAnsi="Courier New"/>
          <w:sz w:val="23"/>
        </w:rPr>
        <w:t>live_tweets_mbg_accumulated.csv</w:t>
      </w:r>
      <w:r>
        <w:rPr>
          <w:rFonts w:ascii="Times New Roman" w:hAnsi="Times New Roman"/>
          <w:b w:val="0"/>
          <w:i w:val="0"/>
          <w:sz w:val="24"/>
        </w:rPr>
        <w:t>), and evaluates lexical-semantic anomaly density across a structured multi-tier crisis lexicon:</w:t>
      </w:r>
    </w:p>
    <w:p>
      <w:pPr>
        <w:spacing w:line="480" w:lineRule="auto" w:after="40"/>
        <w:ind w:left="720" w:hanging="360"/>
      </w:pPr>
      <w:r>
        <w:rPr>
          <w:b/>
        </w:rPr>
        <w:t xml:space="preserve">• </w:t>
      </w:r>
      <w:r>
        <w:rPr>
          <w:rFonts w:ascii="Times New Roman" w:hAnsi="Times New Roman"/>
          <w:b/>
          <w:i w:val="0"/>
          <w:sz w:val="24"/>
        </w:rPr>
        <w:t>Medical/Poisoning Emergency Lexicon</w:t>
      </w:r>
      <w:r>
        <w:rPr>
          <w:rFonts w:ascii="Times New Roman" w:hAnsi="Times New Roman"/>
          <w:b w:val="0"/>
          <w:i w:val="0"/>
          <w:sz w:val="24"/>
        </w:rPr>
        <w:t xml:space="preserve">: </w:t>
      </w:r>
      <w:r>
        <w:rPr>
          <w:rFonts w:ascii="Times New Roman" w:hAnsi="Times New Roman"/>
          <w:b w:val="0"/>
          <w:i/>
          <w:sz w:val="24"/>
        </w:rPr>
        <w:t>keracunan, mual, muntah, diare, sakit perut, rumah sakit, faskes</w:t>
      </w:r>
    </w:p>
    <w:p>
      <w:pPr>
        <w:spacing w:line="480" w:lineRule="auto" w:after="40"/>
        <w:ind w:left="720" w:hanging="360"/>
      </w:pPr>
      <w:r>
        <w:rPr>
          <w:b/>
        </w:rPr>
        <w:t xml:space="preserve">• </w:t>
      </w:r>
      <w:r>
        <w:rPr>
          <w:rFonts w:ascii="Times New Roman" w:hAnsi="Times New Roman"/>
          <w:b/>
          <w:i w:val="0"/>
          <w:sz w:val="24"/>
        </w:rPr>
        <w:t>Food Spoilage &amp; Hygiene Defect Lexicon</w:t>
      </w:r>
      <w:r>
        <w:rPr>
          <w:rFonts w:ascii="Times New Roman" w:hAnsi="Times New Roman"/>
          <w:b w:val="0"/>
          <w:i w:val="0"/>
          <w:sz w:val="24"/>
        </w:rPr>
        <w:t xml:space="preserve">: </w:t>
      </w:r>
      <w:r>
        <w:rPr>
          <w:rFonts w:ascii="Times New Roman" w:hAnsi="Times New Roman"/>
          <w:b w:val="0"/>
          <w:i/>
          <w:sz w:val="24"/>
        </w:rPr>
        <w:t>basi, ulat, lalat, busuk, berlendir, bau, asam, kotor</w:t>
      </w:r>
    </w:p>
    <w:p>
      <w:pPr>
        <w:spacing w:line="480" w:lineRule="auto" w:after="40"/>
        <w:ind w:left="720" w:hanging="360"/>
      </w:pPr>
      <w:r>
        <w:rPr>
          <w:b/>
        </w:rPr>
        <w:t xml:space="preserve">• </w:t>
      </w:r>
      <w:r>
        <w:rPr>
          <w:rFonts w:ascii="Times New Roman" w:hAnsi="Times New Roman"/>
          <w:b/>
          <w:i w:val="0"/>
          <w:sz w:val="24"/>
        </w:rPr>
        <w:t>Fiscal Opacity &amp; Procurement Fraud Lexicon</w:t>
      </w:r>
      <w:r>
        <w:rPr>
          <w:rFonts w:ascii="Times New Roman" w:hAnsi="Times New Roman"/>
          <w:b w:val="0"/>
          <w:i w:val="0"/>
          <w:sz w:val="24"/>
        </w:rPr>
        <w:t xml:space="preserve">: </w:t>
      </w:r>
      <w:r>
        <w:rPr>
          <w:rFonts w:ascii="Times New Roman" w:hAnsi="Times New Roman"/>
          <w:b w:val="0"/>
          <w:i/>
          <w:sz w:val="24"/>
        </w:rPr>
        <w:t>anggaran, triliun, mark-up, fiktif, korupsi, tender, vendor, makelar</w:t>
      </w:r>
    </w:p>
    <w:p>
      <w:pPr>
        <w:spacing w:line="480" w:lineRule="auto" w:before="160" w:after="40"/>
        <w:ind w:firstLine="720"/>
        <w:jc w:val="left"/>
      </w:pPr>
      <w:r>
        <w:rPr>
          <w:rFonts w:ascii="Times New Roman" w:hAnsi="Times New Roman"/>
          <w:b/>
          <w:i w:val="0"/>
          <w:sz w:val="24"/>
        </w:rPr>
        <w:t>2. Tri-Level Incident Alerting Protocol</w:t>
      </w:r>
    </w:p>
    <w:p>
      <w:pPr>
        <w:spacing w:line="480" w:lineRule="auto" w:before="0" w:after="0"/>
        <w:ind w:firstLine="720"/>
      </w:pPr>
      <w:r>
        <w:rPr>
          <w:rFonts w:ascii="Times New Roman" w:hAnsi="Times New Roman"/>
          <w:b w:val="0"/>
          <w:i w:val="0"/>
          <w:sz w:val="24"/>
        </w:rPr>
        <w:t>The operational logic categorizes batch telemetry into four mutually exclusive actionable alert statuses:</w:t>
      </w:r>
    </w:p>
    <w:p>
      <w:pPr>
        <w:spacing w:line="480" w:lineRule="auto" w:after="40"/>
        <w:ind w:left="720" w:hanging="360"/>
      </w:pPr>
      <w:r>
        <w:rPr>
          <w:b/>
        </w:rPr>
        <w:t xml:space="preserve">• </w:t>
      </w:r>
      <w:r>
        <w:rPr>
          <w:rFonts w:ascii="Times New Roman" w:hAnsi="Times New Roman"/>
          <w:b/>
          <w:i w:val="0"/>
          <w:sz w:val="24"/>
        </w:rPr>
        <w:t>🔴 KRITIS (Indikasi Isu Medis/Keracunan)</w:t>
      </w:r>
      <w:r>
        <w:rPr>
          <w:rFonts w:ascii="Times New Roman" w:hAnsi="Times New Roman"/>
          <w:b w:val="0"/>
          <w:i w:val="0"/>
          <w:sz w:val="24"/>
        </w:rPr>
        <w:t xml:space="preserve">: Triggered immediately when medical emergency tokens appear in new citizen posts. Dispatch directive: </w:t>
      </w:r>
      <w:r>
        <w:rPr>
          <w:rFonts w:ascii="Times New Roman" w:hAnsi="Times New Roman"/>
          <w:b w:val="0"/>
          <w:i/>
          <w:sz w:val="24"/>
        </w:rPr>
        <w:t>"Prioritaskan verifikasi kejadian medis di faskes setempat."</w:t>
      </w:r>
    </w:p>
    <w:p>
      <w:pPr>
        <w:spacing w:line="480" w:lineRule="auto" w:after="40"/>
        <w:ind w:left="720" w:hanging="360"/>
      </w:pPr>
      <w:r>
        <w:rPr>
          <w:b/>
        </w:rPr>
        <w:t xml:space="preserve">• </w:t>
      </w:r>
      <w:r>
        <w:rPr>
          <w:rFonts w:ascii="Times New Roman" w:hAnsi="Times New Roman"/>
          <w:b/>
          <w:i w:val="0"/>
          <w:sz w:val="24"/>
        </w:rPr>
        <w:t>🟠 BAHAYA (Keluhan Higienitas Makanan)</w:t>
      </w:r>
      <w:r>
        <w:rPr>
          <w:rFonts w:ascii="Times New Roman" w:hAnsi="Times New Roman"/>
          <w:b w:val="0"/>
          <w:i w:val="0"/>
          <w:sz w:val="24"/>
        </w:rPr>
        <w:t xml:space="preserve">: Triggered upon detection of spoilage and contamination terms. Dispatch directive: </w:t>
      </w:r>
      <w:r>
        <w:rPr>
          <w:rFonts w:ascii="Times New Roman" w:hAnsi="Times New Roman"/>
          <w:b w:val="0"/>
          <w:i/>
          <w:sz w:val="24"/>
        </w:rPr>
        <w:t>"Lakukan audit standar pengolahan SPPG/katering terkait."</w:t>
      </w:r>
    </w:p>
    <w:p>
      <w:pPr>
        <w:spacing w:line="480" w:lineRule="auto" w:after="40"/>
        <w:ind w:left="720" w:hanging="360"/>
      </w:pPr>
      <w:r>
        <w:rPr>
          <w:b/>
        </w:rPr>
        <w:t xml:space="preserve">• </w:t>
      </w:r>
      <w:r>
        <w:rPr>
          <w:rFonts w:ascii="Times New Roman" w:hAnsi="Times New Roman"/>
          <w:b/>
          <w:i w:val="0"/>
          <w:sz w:val="24"/>
        </w:rPr>
        <w:t>🟡 WASPADA (Diskusi Anggaran &amp; Tata Kelola)</w:t>
      </w:r>
      <w:r>
        <w:rPr>
          <w:rFonts w:ascii="Times New Roman" w:hAnsi="Times New Roman"/>
          <w:b w:val="0"/>
          <w:i w:val="0"/>
          <w:sz w:val="24"/>
        </w:rPr>
        <w:t xml:space="preserve">: Triggered when discourse concentrates on fiscal reallocations or vendor corruption. Dispatch directive: </w:t>
      </w:r>
      <w:r>
        <w:rPr>
          <w:rFonts w:ascii="Times New Roman" w:hAnsi="Times New Roman"/>
          <w:b w:val="0"/>
          <w:i/>
          <w:sz w:val="24"/>
        </w:rPr>
        <w:t>"Siapkan klarifikasi transparansi alokasi belanja program."</w:t>
      </w:r>
    </w:p>
    <w:p>
      <w:pPr>
        <w:spacing w:line="480" w:lineRule="auto" w:after="40"/>
        <w:ind w:left="720" w:hanging="360"/>
      </w:pPr>
      <w:r>
        <w:rPr>
          <w:b/>
        </w:rPr>
        <w:t xml:space="preserve">• </w:t>
      </w:r>
      <w:r>
        <w:rPr>
          <w:rFonts w:ascii="Times New Roman" w:hAnsi="Times New Roman"/>
          <w:b/>
          <w:i w:val="0"/>
          <w:sz w:val="24"/>
        </w:rPr>
        <w:t>🟢 KONDUSIF (Wacana Relatif Stabil)</w:t>
      </w:r>
      <w:r>
        <w:rPr>
          <w:rFonts w:ascii="Times New Roman" w:hAnsi="Times New Roman"/>
          <w:b w:val="0"/>
          <w:i w:val="0"/>
          <w:sz w:val="24"/>
        </w:rPr>
        <w:t xml:space="preserve">: Baseline status when discourse is informative or general without anomaly triggers. Dispatch directive: </w:t>
      </w:r>
      <w:r>
        <w:rPr>
          <w:rFonts w:ascii="Times New Roman" w:hAnsi="Times New Roman"/>
          <w:b w:val="0"/>
          <w:i/>
          <w:sz w:val="24"/>
        </w:rPr>
        <w:t>"Lanjutkan pemantauan rutin pada jadwal berikutnya."</w:t>
      </w:r>
    </w:p>
    <w:p>
      <w:pPr>
        <w:spacing w:line="480" w:lineRule="auto" w:before="160" w:after="40"/>
        <w:ind w:firstLine="720"/>
        <w:jc w:val="left"/>
      </w:pPr>
      <w:r>
        <w:rPr>
          <w:rFonts w:ascii="Times New Roman" w:hAnsi="Times New Roman"/>
          <w:b/>
          <w:i w:val="0"/>
          <w:sz w:val="24"/>
        </w:rPr>
        <w:t>3. Automated Telemetry Dispatch Payload</w:t>
      </w:r>
    </w:p>
    <w:p>
      <w:pPr>
        <w:spacing w:line="480" w:lineRule="auto" w:before="0" w:after="0"/>
        <w:ind w:firstLine="720"/>
      </w:pPr>
      <w:r>
        <w:rPr>
          <w:rFonts w:ascii="Times New Roman" w:hAnsi="Times New Roman"/>
          <w:b w:val="0"/>
          <w:i w:val="0"/>
          <w:sz w:val="24"/>
        </w:rPr>
        <w:t>When evaluated, the bot automatically formats and dispatches an encrypted HTML broadcast to designated institutional stakeholders and researchers via the Telegram Bot API (</w:t>
      </w:r>
      <w:r>
        <w:rPr>
          <w:rFonts w:ascii="Courier New" w:hAnsi="Courier New"/>
          <w:sz w:val="23"/>
        </w:rPr>
        <w:t>sendMessage</w:t>
      </w:r>
      <w:r>
        <w:rPr>
          <w:rFonts w:ascii="Times New Roman" w:hAnsi="Times New Roman"/>
          <w:b w:val="0"/>
          <w:i w:val="0"/>
          <w:sz w:val="24"/>
        </w:rPr>
        <w:t>), following the standardized format:</w:t>
      </w:r>
    </w:p>
    <w:p>
      <w:pPr>
        <w:spacing w:before="80" w:after="120" w:line="240" w:lineRule="auto"/>
        <w:ind w:left="720" w:right="720"/>
      </w:pPr>
      <w:r>
        <w:rPr>
          <w:rFonts w:ascii="Courier New" w:hAnsi="Courier New"/>
          <w:color w:val="1E293B"/>
          <w:sz w:val="17"/>
        </w:rPr>
        <w:t>🚨 LAPORAN EWS MBG TERBARU</w:t>
        <w:br/>
        <w:t>⏰ Waktu: 2026-10-10 07:00 WIB</w:t>
        <w:br/>
        <w:t>───────────────────────────────</w:t>
        <w:br/>
        <w:t>📥 Status Tarikan : 100 Cuitan Baru</w:t>
        <w:br/>
        <w:t>📊 Total Database : 9,962 Cuitan Akumulasi</w:t>
        <w:br/>
        <w:t>⚠️ Level Risiko EWS: 🔴 KRITIS (Indikasi Isu Medis/Keracunan)</w:t>
        <w:br/>
        <w:t>🔥 Kata Kunci Top : keracunan (18x), basi (12x), sppg (9x), anggaran (7x)</w:t>
        <w:br/>
        <w:t>───────────────────────────────</w:t>
        <w:br/>
        <w:t>💬 Contoh Isu Warganet:</w:t>
        <w:br/>
        <w:t>"Puluhan siswa dilarikan ke puskesmas habis santap menu MBG... tolong audit vendornya!"</w:t>
        <w:br/>
        <w:t>───────────────────────────────</w:t>
        <w:br/>
        <w:t>💡 Rekomendasi: Prioritaskan verifikasi kejadian medis di faskes setempat.</w:t>
      </w:r>
    </w:p>
    <w:p>
      <w:pPr>
        <w:spacing w:line="480" w:lineRule="auto" w:before="160" w:after="40"/>
        <w:ind w:firstLine="720"/>
        <w:jc w:val="left"/>
      </w:pPr>
      <w:r>
        <w:rPr>
          <w:rFonts w:ascii="Times New Roman" w:hAnsi="Times New Roman"/>
          <w:b/>
          <w:i w:val="0"/>
          <w:sz w:val="24"/>
        </w:rPr>
        <w:t>4. Grounding in Scopus Q1 Literature</w:t>
      </w:r>
    </w:p>
    <w:p>
      <w:pPr>
        <w:spacing w:line="480" w:lineRule="auto" w:before="0" w:after="0"/>
        <w:ind w:firstLine="720"/>
      </w:pPr>
      <w:r>
        <w:rPr>
          <w:rFonts w:ascii="Times New Roman" w:hAnsi="Times New Roman"/>
          <w:b w:val="0"/>
          <w:i w:val="0"/>
          <w:sz w:val="24"/>
        </w:rPr>
        <w:t>This automated conversational bot architecture aligns directly with cutting-edge international scholarship on AI chatbots for real-time risk mitigation and public crisis management. Recent studies have demonstrated that Telegram bot interfaces provide unprecedented latency reduction in disseminating critical alerts during public crises (</w:t>
      </w:r>
      <w:r>
        <w:rPr>
          <w:rFonts w:ascii="Times New Roman" w:hAnsi="Times New Roman"/>
          <w:b w:val="0"/>
          <w:i/>
          <w:sz w:val="24"/>
        </w:rPr>
        <w:t>Computers in Human Behavior</w:t>
      </w:r>
      <w:r>
        <w:rPr>
          <w:rFonts w:ascii="Times New Roman" w:hAnsi="Times New Roman"/>
          <w:b w:val="0"/>
          <w:i w:val="0"/>
          <w:sz w:val="24"/>
        </w:rPr>
        <w:t xml:space="preserve">, 2025; </w:t>
      </w:r>
      <w:r>
        <w:rPr>
          <w:rFonts w:ascii="Times New Roman" w:hAnsi="Times New Roman"/>
          <w:b w:val="0"/>
          <w:i/>
          <w:sz w:val="24"/>
        </w:rPr>
        <w:t>Journal of Environmental Nanotechnology</w:t>
      </w:r>
      <w:r>
        <w:rPr>
          <w:rFonts w:ascii="Times New Roman" w:hAnsi="Times New Roman"/>
          <w:b w:val="0"/>
          <w:i w:val="0"/>
          <w:sz w:val="24"/>
        </w:rPr>
        <w:t>, 2024), monitoring cold-chain food safety (</w:t>
      </w:r>
      <w:r>
        <w:rPr>
          <w:rFonts w:ascii="Times New Roman" w:hAnsi="Times New Roman"/>
          <w:b w:val="0"/>
          <w:i/>
          <w:sz w:val="24"/>
        </w:rPr>
        <w:t>Journal of Food Science</w:t>
      </w:r>
      <w:r>
        <w:rPr>
          <w:rFonts w:ascii="Times New Roman" w:hAnsi="Times New Roman"/>
          <w:b w:val="0"/>
          <w:i w:val="0"/>
          <w:sz w:val="24"/>
        </w:rPr>
        <w:t>, 2026), and mitigating rapid disinformation cascades (</w:t>
      </w:r>
      <w:r>
        <w:rPr>
          <w:rFonts w:ascii="Times New Roman" w:hAnsi="Times New Roman"/>
          <w:b w:val="0"/>
          <w:i/>
          <w:sz w:val="24"/>
        </w:rPr>
        <w:t>Communications of the ACM</w:t>
      </w:r>
      <w:r>
        <w:rPr>
          <w:rFonts w:ascii="Times New Roman" w:hAnsi="Times New Roman"/>
          <w:b w:val="0"/>
          <w:i w:val="0"/>
          <w:sz w:val="24"/>
        </w:rPr>
        <w:t>, 2024). By integrating real-time NLP anomaly detection with automated Telegram push telemetry up to October 10, 2026, the framework bridges the critical gap between retrospective academic analysis and proactive, life-saving public policy governance.</w:t>
      </w:r>
    </w:p>
    <w:p>
      <w:pPr>
        <w:spacing w:line="480" w:lineRule="auto" w:before="360" w:after="120"/>
        <w:jc w:val="center"/>
      </w:pPr>
      <w:r>
        <w:rPr>
          <w:rFonts w:ascii="Times New Roman" w:hAnsi="Times New Roman"/>
          <w:b/>
          <w:i w:val="0"/>
          <w:sz w:val="28"/>
        </w:rPr>
        <w:t>5. Discussion</w:t>
      </w:r>
    </w:p>
    <w:p>
      <w:pPr>
        <w:spacing w:line="480" w:lineRule="auto" w:before="280" w:after="80"/>
        <w:ind w:firstLine="0"/>
        <w:jc w:val="left"/>
      </w:pPr>
      <w:r>
        <w:rPr>
          <w:rFonts w:ascii="Times New Roman" w:hAnsi="Times New Roman"/>
          <w:b/>
          <w:i w:val="0"/>
          <w:sz w:val="25"/>
        </w:rPr>
        <w:t>5.1 The Anatomy of Digital Sarcasm: Decoding Linguistic Incongruence</w:t>
      </w:r>
    </w:p>
    <w:p>
      <w:pPr>
        <w:spacing w:line="480" w:lineRule="auto" w:before="0" w:after="0"/>
        <w:ind w:firstLine="720"/>
      </w:pPr>
      <w:r>
        <w:rPr>
          <w:rFonts w:ascii="Times New Roman" w:hAnsi="Times New Roman"/>
          <w:b w:val="0"/>
          <w:i w:val="0"/>
          <w:sz w:val="24"/>
        </w:rP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line="480" w:lineRule="auto" w:before="200" w:after="60"/>
        <w:ind w:firstLine="0"/>
        <w:jc w:val="left"/>
      </w:pPr>
      <w:r>
        <w:rPr>
          <w:rFonts w:ascii="Times New Roman" w:hAnsi="Times New Roman"/>
          <w:b/>
          <w:i/>
          <w:sz w:val="24"/>
        </w:rPr>
        <w:t>Typology 1: Positive-Open, Emoji-Negated (Illocutionary Inversion)</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tweet opens with high-register, patriotic, or celebratory vocabulary (</w:t>
      </w:r>
      <w:r>
        <w:rPr>
          <w:rFonts w:ascii="Times New Roman" w:hAnsi="Times New Roman"/>
          <w:b w:val="0"/>
          <w:i/>
          <w:sz w:val="24"/>
        </w:rPr>
        <w:t>"Alhamdulillah"</w:t>
      </w:r>
      <w:r>
        <w:rPr>
          <w:rFonts w:ascii="Times New Roman" w:hAnsi="Times New Roman"/>
          <w:b w:val="0"/>
          <w:i w:val="0"/>
          <w:sz w:val="24"/>
        </w:rPr>
        <w:t xml:space="preserve">, </w:t>
      </w:r>
      <w:r>
        <w:rPr>
          <w:rFonts w:ascii="Times New Roman" w:hAnsi="Times New Roman"/>
          <w:b w:val="0"/>
          <w:i/>
          <w:sz w:val="24"/>
        </w:rPr>
        <w:t>"Luar biasa"</w:t>
      </w:r>
      <w:r>
        <w:rPr>
          <w:rFonts w:ascii="Times New Roman" w:hAnsi="Times New Roman"/>
          <w:b w:val="0"/>
          <w:i w:val="0"/>
          <w:sz w:val="24"/>
        </w:rPr>
        <w:t xml:space="preserve">, </w:t>
      </w:r>
      <w:r>
        <w:rPr>
          <w:rFonts w:ascii="Times New Roman" w:hAnsi="Times New Roman"/>
          <w:b w:val="0"/>
          <w:i/>
          <w:sz w:val="24"/>
        </w:rPr>
        <w:t>"Bangga"</w:t>
      </w:r>
      <w:r>
        <w:rPr>
          <w:rFonts w:ascii="Times New Roman" w:hAnsi="Times New Roman"/>
          <w:b w:val="0"/>
          <w:i w:val="0"/>
          <w:sz w:val="24"/>
        </w:rPr>
        <w:t>), mimics official state propaganda slogans, and terminates abruptly with a paralinguistic mockery emoji (🤡, 🙃, 🤮).</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"Alhamdulillah anggaran MBG dipangkas 67 triliun, bukti nyata pemerintah sangat berhemat demi masa depan anak bangsa! 🤡"</w:t>
      </w:r>
    </w:p>
    <w:p>
      <w:pPr>
        <w:spacing w:line="276" w:lineRule="auto" w:before="40" w:after="80"/>
        <w:ind w:left="720" w:right="720"/>
      </w:pPr>
      <w:r>
        <w:rPr>
          <w:rFonts w:ascii="Times New Roman" w:hAnsi="Times New Roman"/>
          <w:b w:val="0"/>
          <w:i/>
          <w:color w:val="334155"/>
          <w:sz w:val="21"/>
        </w:rPr>
        <w:t>(Praise be to God the MBG budget was slashed by 67 trillion, undeniable proof our government is saving money for the nation's children!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line="480" w:lineRule="auto" w:before="200" w:after="60"/>
        <w:ind w:firstLine="0"/>
        <w:jc w:val="left"/>
      </w:pPr>
      <w:r>
        <w:rPr>
          <w:rFonts w:ascii="Times New Roman" w:hAnsi="Times New Roman"/>
          <w:b/>
          <w:i/>
          <w:sz w:val="24"/>
        </w:rPr>
        <w:t>Typology 2: Macro-Fiscal vs. Micro-Physical Semantic Contrast</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explicit pairing of massive numerical quantities (</w:t>
      </w:r>
      <w:r>
        <w:rPr>
          <w:rFonts w:ascii="Times New Roman" w:hAnsi="Times New Roman"/>
          <w:b w:val="0"/>
          <w:i/>
          <w:sz w:val="24"/>
        </w:rPr>
        <w:t>"Rp 268 triliun"</w:t>
      </w:r>
      <w:r>
        <w:rPr>
          <w:rFonts w:ascii="Times New Roman" w:hAnsi="Times New Roman"/>
          <w:b w:val="0"/>
          <w:i w:val="0"/>
          <w:sz w:val="24"/>
        </w:rPr>
        <w:t xml:space="preserve">, </w:t>
      </w:r>
      <w:r>
        <w:rPr>
          <w:rFonts w:ascii="Times New Roman" w:hAnsi="Times New Roman"/>
          <w:b w:val="0"/>
          <w:i/>
          <w:sz w:val="24"/>
        </w:rPr>
        <w:t>"ratusan triliun"</w:t>
      </w:r>
      <w:r>
        <w:rPr>
          <w:rFonts w:ascii="Times New Roman" w:hAnsi="Times New Roman"/>
          <w:b w:val="0"/>
          <w:i w:val="0"/>
          <w:sz w:val="24"/>
        </w:rPr>
        <w:t>) with diminutive, impoverished physical meal descriptions (</w:t>
      </w:r>
      <w:r>
        <w:rPr>
          <w:rFonts w:ascii="Times New Roman" w:hAnsi="Times New Roman"/>
          <w:b w:val="0"/>
          <w:i/>
          <w:sz w:val="24"/>
        </w:rPr>
        <w:t>"tempe seiris"</w:t>
      </w:r>
      <w:r>
        <w:rPr>
          <w:rFonts w:ascii="Times New Roman" w:hAnsi="Times New Roman"/>
          <w:b w:val="0"/>
          <w:i w:val="0"/>
          <w:sz w:val="24"/>
        </w:rPr>
        <w:t xml:space="preserve">, </w:t>
      </w:r>
      <w:r>
        <w:rPr>
          <w:rFonts w:ascii="Times New Roman" w:hAnsi="Times New Roman"/>
          <w:b w:val="0"/>
          <w:i/>
          <w:sz w:val="24"/>
        </w:rPr>
        <w:t>"nasi keras"</w:t>
      </w:r>
      <w:r>
        <w:rPr>
          <w:rFonts w:ascii="Times New Roman" w:hAnsi="Times New Roman"/>
          <w:b w:val="0"/>
          <w:i w:val="0"/>
          <w:sz w:val="24"/>
        </w:rPr>
        <w:t xml:space="preserve">, </w:t>
      </w:r>
      <w:r>
        <w:rPr>
          <w:rFonts w:ascii="Times New Roman" w:hAnsi="Times New Roman"/>
          <w:b w:val="0"/>
          <w:i/>
          <w:sz w:val="24"/>
        </w:rPr>
        <w:t>"sayur layu"</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"268 triliun rupiah mengalir megah dari Senayan, sampai di meja anak SD wujudnya berubah jadi nugget curah rasa tepung terigu 😇"</w:t>
      </w:r>
    </w:p>
    <w:p>
      <w:pPr>
        <w:spacing w:line="276" w:lineRule="auto" w:before="40" w:after="80"/>
        <w:ind w:left="720" w:right="720"/>
      </w:pPr>
      <w:r>
        <w:rPr>
          <w:rFonts w:ascii="Times New Roman" w:hAnsi="Times New Roman"/>
          <w:b w:val="0"/>
          <w:i/>
          <w:color w:val="334155"/>
          <w:sz w:val="21"/>
        </w:rPr>
        <w:t>(268 trillion rupiah flows magnificently from the Parliament, but when it reaches the elementary school desk it magically turns into bulk flour nuggets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This typology exploits rhetorical antithesis. The sheer absurdity of the quantitative gulf makes the critique devastating without requiring the author to utter a single overtly vulgar or defamatory word.</w:t>
      </w:r>
    </w:p>
    <w:p>
      <w:pPr>
        <w:spacing w:line="480" w:lineRule="auto" w:before="200" w:after="60"/>
        <w:ind w:firstLine="0"/>
        <w:jc w:val="left"/>
      </w:pPr>
      <w:r>
        <w:rPr>
          <w:rFonts w:ascii="Times New Roman" w:hAnsi="Times New Roman"/>
          <w:b/>
          <w:i/>
          <w:sz w:val="24"/>
        </w:rPr>
        <w:t>Typology 3: Dark Humor and Technocratic Euphemism</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Adopting the clinical, sanitizing jargon of engineering, corporate management, or IT development (</w:t>
      </w:r>
      <w:r>
        <w:rPr>
          <w:rFonts w:ascii="Times New Roman" w:hAnsi="Times New Roman"/>
          <w:b w:val="0"/>
          <w:i/>
          <w:sz w:val="24"/>
        </w:rPr>
        <w:t>"fitur"</w:t>
      </w:r>
      <w:r>
        <w:rPr>
          <w:rFonts w:ascii="Times New Roman" w:hAnsi="Times New Roman"/>
          <w:b w:val="0"/>
          <w:i w:val="0"/>
          <w:sz w:val="24"/>
        </w:rPr>
        <w:t xml:space="preserve">, </w:t>
      </w:r>
      <w:r>
        <w:rPr>
          <w:rFonts w:ascii="Times New Roman" w:hAnsi="Times New Roman"/>
          <w:b w:val="0"/>
          <w:i/>
          <w:sz w:val="24"/>
        </w:rPr>
        <w:t>"pilot project"</w:t>
      </w:r>
      <w:r>
        <w:rPr>
          <w:rFonts w:ascii="Times New Roman" w:hAnsi="Times New Roman"/>
          <w:b w:val="0"/>
          <w:i w:val="0"/>
          <w:sz w:val="24"/>
        </w:rPr>
        <w:t xml:space="preserve">, </w:t>
      </w:r>
      <w:r>
        <w:rPr>
          <w:rFonts w:ascii="Times New Roman" w:hAnsi="Times New Roman"/>
          <w:b w:val="0"/>
          <w:i/>
          <w:sz w:val="24"/>
        </w:rPr>
        <w:t>"efisiensi dinamis"</w:t>
      </w:r>
      <w:r>
        <w:rPr>
          <w:rFonts w:ascii="Times New Roman" w:hAnsi="Times New Roman"/>
          <w:b w:val="0"/>
          <w:i w:val="0"/>
          <w:sz w:val="24"/>
        </w:rPr>
        <w:t xml:space="preserve">, </w:t>
      </w:r>
      <w:r>
        <w:rPr>
          <w:rFonts w:ascii="Times New Roman" w:hAnsi="Times New Roman"/>
          <w:b w:val="0"/>
          <w:i/>
          <w:sz w:val="24"/>
        </w:rPr>
        <w:t>"detox massal"</w:t>
      </w:r>
      <w:r>
        <w:rPr>
          <w:rFonts w:ascii="Times New Roman" w:hAnsi="Times New Roman"/>
          <w:b w:val="0"/>
          <w:i w:val="0"/>
          <w:sz w:val="24"/>
        </w:rPr>
        <w:t>) to describe severe public health disasters like food poisoning.</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"Tenang gais, keracunan massal 200 anak itu bukan kelalaian katering kok. Itu fitur detoksifikasi gratis dari BGN supaya usus anak Indonesia makin tangguh menghadapi Indonesia Emas ❤️"</w:t>
      </w:r>
    </w:p>
    <w:p>
      <w:pPr>
        <w:spacing w:line="276" w:lineRule="auto" w:before="40" w:after="80"/>
        <w:ind w:left="720" w:right="720"/>
      </w:pPr>
      <w:r>
        <w:rPr>
          <w:rFonts w:ascii="Times New Roman" w:hAnsi="Times New Roman"/>
          <w:b w:val="0"/>
          <w:i/>
          <w:color w:val="334155"/>
          <w:sz w:val="21"/>
        </w:rPr>
        <w:t>(Calm down guys, 200 kids getting poisoned isn't caterer negligence. It's an included free detoxification feature from BGN so Indonesian children's guts become tougher for Golden Indonesia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By wrapping biological trauma in celebratory corporate euphemisms paired with affection emojis (❤️), the speaker forces the reader to confront the ethical grotesque of state negligence.</w:t>
      </w:r>
    </w:p>
    <w:p>
      <w:pPr>
        <w:spacing w:line="480" w:lineRule="auto" w:before="280" w:after="80"/>
        <w:ind w:firstLine="0"/>
        <w:jc w:val="left"/>
      </w:pPr>
      <w:r>
        <w:rPr>
          <w:rFonts w:ascii="Times New Roman" w:hAnsi="Times New Roman"/>
          <w:b/>
          <w:i w:val="0"/>
          <w:sz w:val="25"/>
        </w:rPr>
        <w:t>5.2 Network Fragmentation vs. Ideological Bipolarization: Reconceptualizing Modularity</w:t>
      </w:r>
    </w:p>
    <w:p>
      <w:pPr>
        <w:spacing w:line="480" w:lineRule="auto" w:before="0" w:after="0"/>
        <w:ind w:firstLine="720"/>
      </w:pPr>
      <w:r>
        <w:rPr>
          <w:rFonts w:ascii="Times New Roman" w:hAnsi="Times New Roman"/>
          <w:b w:val="0"/>
          <w:i w:val="0"/>
          <w:sz w:val="24"/>
        </w:rPr>
        <w:t xml:space="preserve">A central theoretical contribution of this study lies in the conceptual reinterpretation of high network modularity. In political communication literature (e.g., Barberá et al., 2015; Conover et al., 2011; Suaib &amp; Pratiwi, 2025), a high Louvain modularity score ($Q &gt; 0.6$) is almost universally interpreted as evidence of </w:t>
      </w:r>
      <w:r>
        <w:rPr>
          <w:rFonts w:ascii="Times New Roman" w:hAnsi="Times New Roman"/>
          <w:b/>
          <w:i w:val="0"/>
          <w:sz w:val="24"/>
        </w:rPr>
        <w:t>bipolar ideological polarization</w:t>
      </w:r>
      <w:r>
        <w:rPr>
          <w:rFonts w:ascii="Times New Roman" w:hAnsi="Times New Roman"/>
          <w:b w:val="0"/>
          <w:i w:val="0"/>
          <w:sz w:val="24"/>
        </w:rPr>
        <w:t>—two dense, opposing armies of partisan warriors firing retweets at one another while insulating themselves within rival echo chambers.</w:t>
      </w:r>
    </w:p>
    <w:p>
      <w:pPr>
        <w:spacing w:line="480" w:lineRule="auto" w:before="0" w:after="0"/>
        <w:ind w:firstLine="720"/>
      </w:pPr>
      <w:r>
        <w:rPr>
          <w:rFonts w:ascii="Times New Roman" w:hAnsi="Times New Roman"/>
          <w:b w:val="0"/>
          <w:i w:val="0"/>
          <w:sz w:val="24"/>
        </w:rPr>
        <w:t xml:space="preserve">Our empirical findings completely upend this assumption. The MBG network exhibits an astronomical modularity of </w:t>
      </w:r>
      <w:r>
        <w:rPr>
          <w:rFonts w:ascii="Times New Roman" w:hAnsi="Times New Roman"/>
          <w:b/>
          <w:i w:val="0"/>
          <w:sz w:val="24"/>
        </w:rPr>
        <w:t>$Q = 0.9837$</w:t>
      </w:r>
      <w:r>
        <w:rPr>
          <w:rFonts w:ascii="Times New Roman" w:hAnsi="Times New Roman"/>
          <w:b w:val="0"/>
          <w:i w:val="0"/>
          <w:sz w:val="24"/>
        </w:rPr>
        <w:t xml:space="preserve">, yet it is </w:t>
      </w:r>
      <w:r>
        <w:rPr>
          <w:rFonts w:ascii="Times New Roman" w:hAnsi="Times New Roman"/>
          <w:b/>
          <w:i w:val="0"/>
          <w:sz w:val="24"/>
        </w:rPr>
        <w:t>not bipolar</w:t>
      </w:r>
      <w:r>
        <w:rPr>
          <w:rFonts w:ascii="Times New Roman" w:hAnsi="Times New Roman"/>
          <w:b w:val="0"/>
          <w:i w:val="0"/>
          <w:sz w:val="24"/>
        </w:rPr>
        <w:t xml:space="preserve">. It does not partition into two neat camps (Government Supporters vs. Government Critics). Instead, the network is characterized by </w:t>
      </w:r>
      <w:r>
        <w:rPr>
          <w:rFonts w:ascii="Times New Roman" w:hAnsi="Times New Roman"/>
          <w:b/>
          <w:i w:val="0"/>
          <w:sz w:val="24"/>
        </w:rPr>
        <w:t>radical communicative atomization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With 341 disjoint components, an average component size of fewer than 3 nodes, and a giant component capturing under $10\%$ of actors, the network topology resembles an </w:t>
      </w:r>
      <w:r>
        <w:rPr>
          <w:rFonts w:ascii="Times New Roman" w:hAnsi="Times New Roman"/>
          <w:b/>
          <w:i w:val="0"/>
          <w:sz w:val="24"/>
        </w:rPr>
        <w:t>archipelago of isolated discursive monads</w:t>
      </w:r>
      <w:r>
        <w:rPr>
          <w:rFonts w:ascii="Times New Roman" w:hAnsi="Times New Roman"/>
          <w:b w:val="0"/>
          <w:i w:val="0"/>
          <w:sz w:val="24"/>
        </w:rPr>
        <w:t>.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pPr>
        <w:spacing w:line="480" w:lineRule="auto" w:before="0" w:after="0"/>
        <w:ind w:firstLine="720"/>
      </w:pPr>
      <w:r>
        <w:rPr>
          <w:rFonts w:ascii="Times New Roman" w:hAnsi="Times New Roman"/>
          <w:b w:val="0"/>
          <w:i w:val="0"/>
          <w:sz w:val="24"/>
        </w:rPr>
        <w:t>This structural reality has profound consequences for democratic governance:</w:t>
      </w:r>
    </w:p>
    <w:p>
      <w:pPr>
        <w:spacing w:line="480" w:lineRule="auto" w:after="40"/>
        <w:ind w:left="720" w:hanging="360"/>
      </w:pPr>
      <w:r>
        <w:rPr>
          <w:b/>
        </w:rPr>
        <w:t xml:space="preserve">• </w:t>
      </w:r>
      <w:r>
        <w:rPr>
          <w:rFonts w:ascii="Times New Roman" w:hAnsi="Times New Roman"/>
          <w:b/>
          <w:i w:val="0"/>
          <w:sz w:val="24"/>
        </w:rPr>
        <w:t>The Deliberative Vacuum</w:t>
      </w:r>
      <w:r>
        <w:rPr>
          <w:rFonts w:ascii="Times New Roman" w:hAnsi="Times New Roman"/>
          <w:b w:val="0"/>
          <w:i w:val="0"/>
          <w:sz w:val="24"/>
        </w:rPr>
        <w:t>: With a dyadic reciprocity rate of only $1.20\%$, cross-group deliberation is virtually non-existent. There is no dialectic, no debate, and no persuasion occurring.</w:t>
      </w:r>
    </w:p>
    <w:p>
      <w:pPr>
        <w:spacing w:line="480" w:lineRule="auto" w:after="40"/>
        <w:ind w:left="720" w:hanging="360"/>
      </w:pPr>
      <w:r>
        <w:rPr>
          <w:b/>
        </w:rPr>
        <w:t xml:space="preserve">• </w:t>
      </w:r>
      <w:r>
        <w:rPr>
          <w:rFonts w:ascii="Times New Roman" w:hAnsi="Times New Roman"/>
          <w:b/>
          <w:i w:val="0"/>
          <w:sz w:val="24"/>
        </w:rPr>
        <w:t>The Impossibility of Centralized Crisis Refutation</w:t>
      </w:r>
      <w:r>
        <w:rPr>
          <w:rFonts w:ascii="Times New Roman" w:hAnsi="Times New Roman"/>
          <w:b w:val="0"/>
          <w:i w:val="0"/>
          <w:sz w:val="24"/>
        </w:rPr>
        <w:t>: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line="480" w:lineRule="auto" w:before="280" w:after="80"/>
        <w:ind w:firstLine="0"/>
        <w:jc w:val="left"/>
      </w:pPr>
      <w:r>
        <w:rPr>
          <w:rFonts w:ascii="Times New Roman" w:hAnsi="Times New Roman"/>
          <w:b/>
          <w:i w:val="0"/>
          <w:sz w:val="25"/>
        </w:rPr>
        <w:t>5.3 Algorithmic Epistemic Displacement: The Rise, Impact, and Institutional Solutions of the Machine Arbiter</w:t>
      </w:r>
    </w:p>
    <w:p>
      <w:pPr>
        <w:spacing w:line="480" w:lineRule="auto" w:before="0" w:after="0"/>
        <w:ind w:firstLine="720"/>
      </w:pPr>
      <w:r>
        <w:rPr>
          <w:rFonts w:ascii="Times New Roman" w:hAnsi="Times New Roman"/>
          <w:b w:val="0"/>
          <w:i w:val="0"/>
          <w:sz w:val="24"/>
        </w:rPr>
        <w:t xml:space="preserve">The emergence of </w:t>
      </w:r>
      <w:r>
        <w:rPr>
          <w:rFonts w:ascii="Courier New" w:hAnsi="Courier New"/>
          <w:sz w:val="23"/>
        </w:rPr>
        <w:t>@grok</w:t>
      </w:r>
      <w:r>
        <w:rPr>
          <w:rFonts w:ascii="Times New Roman" w:hAnsi="Times New Roman"/>
          <w:b w:val="0"/>
          <w:i w:val="0"/>
          <w:sz w:val="24"/>
        </w:rPr>
        <w:t xml:space="preserve"> as the single most central actor across the entire MBG network ($k^{in} = 42, C_D = 0.0432$) marks a historic paradigm shift in digital political communication. We term this phenomenon </w:t>
      </w:r>
      <w:r>
        <w:rPr>
          <w:rFonts w:ascii="Times New Roman" w:hAnsi="Times New Roman"/>
          <w:b/>
          <w:i w:val="0"/>
          <w:sz w:val="24"/>
        </w:rPr>
        <w:t>Algorithmic Epistemic Displacement</w:t>
      </w:r>
      <w:r>
        <w:rPr>
          <w:rFonts w:ascii="Times New Roman" w:hAnsi="Times New Roman"/>
          <w:b w:val="0"/>
          <w:i w:val="0"/>
          <w:sz w:val="24"/>
        </w:rPr>
        <w:t>—the systematic migration of citizen verification inquiries away from human institutional actors and toward proprietary, platform-native large language models.</w:t>
      </w:r>
    </w:p>
    <w:p>
      <w:pPr>
        <w:spacing w:line="480" w:lineRule="auto" w:before="200" w:after="60"/>
        <w:ind w:firstLine="0"/>
        <w:jc w:val="left"/>
      </w:pPr>
      <w:r>
        <w:rPr>
          <w:rFonts w:ascii="Times New Roman" w:hAnsi="Times New Roman"/>
          <w:b/>
          <w:i/>
          <w:sz w:val="24"/>
        </w:rPr>
        <w:t xml:space="preserve">5.3.1 Socio-Communicative Impacts of </w:t>
      </w:r>
      <w:r>
        <w:rPr>
          <w:rFonts w:ascii="Courier New" w:hAnsi="Courier New"/>
          <w:sz w:val="23"/>
        </w:rPr>
        <w:t>@grok</w:t>
      </w:r>
      <w:r>
        <w:rPr>
          <w:rFonts w:ascii="Times New Roman" w:hAnsi="Times New Roman"/>
          <w:b/>
          <w:i/>
          <w:sz w:val="24"/>
        </w:rPr>
        <w:t xml:space="preserve"> in Policy Crises</w:t>
      </w:r>
    </w:p>
    <w:p>
      <w:pPr>
        <w:spacing w:line="480" w:lineRule="auto" w:before="0" w:after="0"/>
        <w:ind w:firstLine="720"/>
      </w:pPr>
      <w:r>
        <w:rPr>
          <w:rFonts w:ascii="Times New Roman" w:hAnsi="Times New Roman"/>
          <w:b w:val="0"/>
          <w:i w:val="0"/>
          <w:sz w:val="24"/>
        </w:rPr>
        <w:t xml:space="preserve">The qualitative and structural dissection of interactions directed at </w:t>
      </w:r>
      <w:r>
        <w:rPr>
          <w:rFonts w:ascii="Courier New" w:hAnsi="Courier New"/>
          <w:sz w:val="23"/>
        </w:rPr>
        <w:t>@grok</w:t>
      </w:r>
      <w:r>
        <w:rPr>
          <w:rFonts w:ascii="Times New Roman" w:hAnsi="Times New Roman"/>
          <w:b w:val="0"/>
          <w:i w:val="0"/>
          <w:sz w:val="24"/>
        </w:rPr>
        <w:t xml:space="preserve"> reveals four profound sociotechnical impacts on public sphere dynamics:</w:t>
      </w:r>
    </w:p>
    <w:p>
      <w:pPr>
        <w:spacing w:line="480" w:lineRule="auto" w:after="40"/>
        <w:ind w:left="720" w:hanging="360"/>
      </w:pPr>
      <w:r>
        <w:rPr>
          <w:b/>
        </w:rPr>
        <w:t xml:space="preserve">1. </w:t>
      </w:r>
      <w:r>
        <w:rPr>
          <w:rFonts w:ascii="Times New Roman" w:hAnsi="Times New Roman"/>
          <w:b/>
          <w:i w:val="0"/>
          <w:sz w:val="24"/>
        </w:rPr>
        <w:t>Disintermediation of Traditional Epistemic Authorities</w:t>
      </w:r>
      <w:r>
        <w:rPr>
          <w:rFonts w:ascii="Times New Roman" w:hAnsi="Times New Roman"/>
          <w:b w:val="0"/>
          <w:i w:val="0"/>
          <w:sz w:val="24"/>
        </w:rP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our corpus, these traditional watchdogs were largely bypassed. Citizens directly invoked </w:t>
      </w:r>
      <w:r>
        <w:rPr>
          <w:rFonts w:ascii="Courier New" w:hAnsi="Courier New"/>
          <w:sz w:val="23"/>
        </w:rPr>
        <w:t>@grok</w:t>
      </w:r>
      <w:r>
        <w:rPr>
          <w:rFonts w:ascii="Times New Roman" w:hAnsi="Times New Roman"/>
          <w:b w:val="0"/>
          <w:i w:val="0"/>
          <w:sz w:val="24"/>
        </w:rPr>
        <w:t xml:space="preserve"> in comment threads, treating the AI as an instantaneous, omniscient arbiter of empirical truth.</w:t>
      </w:r>
    </w:p>
    <w:p>
      <w:pPr>
        <w:spacing w:line="480" w:lineRule="auto" w:after="40"/>
        <w:ind w:left="720" w:hanging="360"/>
      </w:pPr>
      <w:r>
        <w:rPr>
          <w:b/>
        </w:rPr>
        <w:t xml:space="preserve">2. </w:t>
      </w:r>
      <w:r>
        <w:rPr>
          <w:rFonts w:ascii="Times New Roman" w:hAnsi="Times New Roman"/>
          <w:b/>
          <w:i w:val="0"/>
          <w:sz w:val="24"/>
        </w:rPr>
        <w:t>The "Black Box" Epistemic Vulnerability and Hallucination Cascades</w:t>
      </w:r>
      <w:r>
        <w:rPr>
          <w:rFonts w:ascii="Times New Roman" w:hAnsi="Times New Roman"/>
          <w:b w:val="0"/>
          <w:i w:val="0"/>
          <w:sz w:val="24"/>
        </w:rPr>
        <w:t xml:space="preserve">: Large language models operate on probabilistic token inference derived from dynamic training sets. When an AI model processes public policy inquiries in real time, it is susceptible to </w:t>
      </w:r>
      <w:r>
        <w:rPr>
          <w:rFonts w:ascii="Times New Roman" w:hAnsi="Times New Roman"/>
          <w:b w:val="0"/>
          <w:i/>
          <w:sz w:val="24"/>
        </w:rPr>
        <w:t>algorithmic hallucination</w:t>
      </w:r>
      <w:r>
        <w:rPr>
          <w:rFonts w:ascii="Times New Roman" w:hAnsi="Times New Roman"/>
          <w:b w:val="0"/>
          <w:i w:val="0"/>
          <w:sz w:val="24"/>
        </w:rPr>
        <w:t xml:space="preserve"> or the uncritically aggregated absorption of platform rumors. Because </w:t>
      </w:r>
      <w:r>
        <w:rPr>
          <w:rFonts w:ascii="Courier New" w:hAnsi="Courier New"/>
          <w:sz w:val="23"/>
        </w:rPr>
        <w:t>@grok</w:t>
      </w:r>
      <w:r>
        <w:rPr>
          <w:rFonts w:ascii="Times New Roman" w:hAnsi="Times New Roman"/>
          <w:b w:val="0"/>
          <w:i w:val="0"/>
          <w:sz w:val="24"/>
        </w:rPr>
        <w:t xml:space="preserve">'s tone is inherently authoritative, clinical, and detached (anchoring Community #61 where the dominant affect is neutral), citizens perceive its outputs as objective mathematical truth. Given </w:t>
      </w:r>
      <w:r>
        <w:rPr>
          <w:rFonts w:ascii="Courier New" w:hAnsi="Courier New"/>
          <w:sz w:val="23"/>
        </w:rPr>
        <w:t>@grok</w:t>
      </w:r>
      <w:r>
        <w:rPr>
          <w:rFonts w:ascii="Times New Roman" w:hAnsi="Times New Roman"/>
          <w:b w:val="0"/>
          <w:i w:val="0"/>
          <w:sz w:val="24"/>
        </w:rPr>
        <w:t>'s high in-degree centrality, any factual inaccuracy or misinterpretation of complex budgetary legislation instantaneously cascades across citizen networks, providing perceived intellectual legitimacy for continued cynical attack.</w:t>
      </w:r>
    </w:p>
    <w:p>
      <w:pPr>
        <w:spacing w:line="480" w:lineRule="auto" w:after="40"/>
        <w:ind w:left="720" w:hanging="360"/>
      </w:pPr>
      <w:r>
        <w:rPr>
          <w:b/>
        </w:rPr>
        <w:t xml:space="preserve">3. </w:t>
      </w:r>
      <w:r>
        <w:rPr>
          <w:rFonts w:ascii="Times New Roman" w:hAnsi="Times New Roman"/>
          <w:b w:val="0"/>
          <w:i/>
          <w:sz w:val="24"/>
        </w:rPr>
      </w:r>
      <w:r>
        <w:rPr>
          <w:rFonts w:ascii="Times New Roman" w:hAnsi="Times New Roman"/>
          <w:b w:val="0"/>
          <w:i/>
          <w:sz w:val="24"/>
        </w:rPr>
        <w:t>Loss of Government Narrative Monopoly (</w:t>
      </w:r>
      <w:r>
        <w:rPr>
          <w:rFonts w:ascii="Times New Roman" w:hAnsi="Times New Roman"/>
          <w:b w:val="0"/>
          <w:i w:val="0"/>
          <w:sz w:val="24"/>
        </w:rPr>
        <w:t>Narrative Disintermediation</w:t>
      </w:r>
      <w:r>
        <w:rPr>
          <w:rFonts w:ascii="Times New Roman" w:hAnsi="Times New Roman"/>
          <w:b w:val="0"/>
          <w:i/>
          <w:sz w:val="24"/>
        </w:rPr>
        <w:t>)</w:t>
      </w:r>
      <w:r>
        <w:rPr>
          <w:rFonts w:ascii="Times New Roman" w:hAnsi="Times New Roman"/>
          <w:b w:val="0"/>
          <w:i w:val="0"/>
          <w:sz w:val="24"/>
        </w:rPr>
        <w:t xml:space="preserve">*: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w:t>
      </w:r>
      <w:r>
        <w:rPr>
          <w:rFonts w:ascii="Courier New" w:hAnsi="Courier New"/>
          <w:sz w:val="23"/>
        </w:rPr>
        <w:t>@grok</w:t>
      </w:r>
      <w:r>
        <w:rPr>
          <w:rFonts w:ascii="Times New Roman" w:hAnsi="Times New Roman"/>
          <w:b w:val="0"/>
          <w:i w:val="0"/>
          <w:sz w:val="24"/>
        </w:rPr>
        <w:t>.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spacing w:line="480" w:lineRule="auto" w:after="40"/>
        <w:ind w:left="720" w:hanging="360"/>
      </w:pPr>
      <w:r>
        <w:rPr>
          <w:b/>
        </w:rPr>
        <w:t xml:space="preserve">4. </w:t>
      </w:r>
      <w:r>
        <w:rPr>
          <w:rFonts w:ascii="Times New Roman" w:hAnsi="Times New Roman"/>
          <w:b/>
          <w:i w:val="0"/>
          <w:sz w:val="24"/>
        </w:rPr>
        <w:t>Dependence on Foreign, Proprietary Sovereign Infrastructures</w:t>
      </w:r>
      <w:r>
        <w:rPr>
          <w:rFonts w:ascii="Times New Roman" w:hAnsi="Times New Roman"/>
          <w:b w:val="0"/>
          <w:i w:val="0"/>
          <w:sz w:val="24"/>
        </w:rP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urier New" w:hAnsi="Courier New"/>
          <w:sz w:val="23"/>
        </w:rPr>
        <w:t>@grok</w:t>
      </w:r>
      <w:r>
        <w:rPr>
          <w:rFonts w:ascii="Times New Roman" w:hAnsi="Times New Roman"/>
          <w:b w:val="0"/>
          <w:i w:val="0"/>
          <w:sz w:val="24"/>
        </w:rPr>
        <w:t xml:space="preserve"> characterizes the national budget or state leadership.</w:t>
      </w:r>
    </w:p>
    <w:p>
      <w:pPr>
        <w:spacing w:line="480" w:lineRule="auto" w:before="200" w:after="60"/>
        <w:ind w:firstLine="0"/>
        <w:jc w:val="left"/>
      </w:pPr>
      <w:r>
        <w:rPr>
          <w:rFonts w:ascii="Times New Roman" w:hAnsi="Times New Roman"/>
          <w:b/>
          <w:i/>
          <w:sz w:val="24"/>
        </w:rPr>
        <w:t>5.3.2 Strategic Institutional Solutions for the Government</w:t>
      </w:r>
    </w:p>
    <w:p>
      <w:pPr>
        <w:spacing w:line="480" w:lineRule="auto" w:before="0" w:after="0"/>
        <w:ind w:firstLine="720"/>
      </w:pPr>
      <w:r>
        <w:rPr>
          <w:rFonts w:ascii="Times New Roman" w:hAnsi="Times New Roman"/>
          <w:b w:val="0"/>
          <w:i w:val="0"/>
          <w:sz w:val="24"/>
        </w:rP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spacing w:line="480" w:lineRule="auto" w:after="40"/>
        <w:ind w:left="720" w:hanging="360"/>
      </w:pPr>
      <w:r>
        <w:rPr>
          <w:b/>
        </w:rPr>
        <w:t xml:space="preserve">1. </w:t>
      </w:r>
      <w:r>
        <w:rPr>
          <w:rFonts w:ascii="Times New Roman" w:hAnsi="Times New Roman"/>
          <w:b w:val="0"/>
          <w:i/>
          <w:sz w:val="24"/>
        </w:rPr>
      </w:r>
      <w:r>
        <w:rPr>
          <w:rFonts w:ascii="Times New Roman" w:hAnsi="Times New Roman"/>
          <w:b w:val="0"/>
          <w:i/>
          <w:sz w:val="24"/>
        </w:rPr>
        <w:t>Establishment of Machine-Readable Open Data APIs (</w:t>
      </w:r>
      <w:r>
        <w:rPr>
          <w:rFonts w:ascii="Times New Roman" w:hAnsi="Times New Roman"/>
          <w:b w:val="0"/>
          <w:i w:val="0"/>
          <w:sz w:val="24"/>
        </w:rPr>
        <w:t>Open Public Data Infrastructure</w:t>
      </w:r>
      <w:r>
        <w:rPr>
          <w:rFonts w:ascii="Times New Roman" w:hAnsi="Times New Roman"/>
          <w:b w:val="0"/>
          <w:i/>
          <w:sz w:val="24"/>
        </w:rPr>
        <w:t>)</w:t>
      </w:r>
      <w:r>
        <w:rPr>
          <w:rFonts w:ascii="Times New Roman" w:hAnsi="Times New Roman"/>
          <w:b w:val="0"/>
          <w:i w:val="0"/>
          <w:sz w:val="24"/>
        </w:rPr>
        <w:t xml:space="preserv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w:t>
      </w:r>
      <w:r>
        <w:rPr>
          <w:rFonts w:ascii="Courier New" w:hAnsi="Courier New"/>
          <w:sz w:val="23"/>
        </w:rPr>
        <w:t>@grok</w:t>
      </w:r>
      <w:r>
        <w:rPr>
          <w:rFonts w:ascii="Times New Roman" w:hAnsi="Times New Roman"/>
          <w:b w:val="0"/>
          <w:i w:val="0"/>
          <w:sz w:val="24"/>
        </w:rPr>
        <w:t>, the AI can retrieve structured, verified state facts directly.</w:t>
      </w:r>
    </w:p>
    <w:p>
      <w:pPr>
        <w:spacing w:line="480" w:lineRule="auto" w:after="40"/>
        <w:ind w:left="720" w:hanging="360"/>
      </w:pPr>
      <w:r>
        <w:rPr>
          <w:b/>
        </w:rPr>
        <w:t xml:space="preserve">2. </w:t>
      </w:r>
      <w:r>
        <w:rPr>
          <w:rFonts w:ascii="Times New Roman" w:hAnsi="Times New Roman"/>
          <w:b/>
          <w:i w:val="0"/>
          <w:sz w:val="24"/>
        </w:rPr>
        <w:t>Algorithmic Grounding and Platform Governance Partnerships</w:t>
      </w:r>
      <w:r>
        <w:rPr>
          <w:rFonts w:ascii="Times New Roman" w:hAnsi="Times New Roman"/>
          <w:b w:val="0"/>
          <w:i w:val="0"/>
          <w:sz w:val="24"/>
        </w:rP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spacing w:line="480" w:lineRule="auto" w:after="40"/>
        <w:ind w:left="720" w:hanging="360"/>
      </w:pPr>
      <w:r>
        <w:rPr>
          <w:b/>
        </w:rPr>
        <w:t xml:space="preserve">3. </w:t>
      </w:r>
      <w:r>
        <w:rPr>
          <w:rFonts w:ascii="Times New Roman" w:hAnsi="Times New Roman"/>
          <w:b/>
          <w:i w:val="0"/>
          <w:sz w:val="24"/>
        </w:rPr>
        <w:t>Development of a Sovereign AI Fact-Checking Counter-Oracle</w:t>
      </w:r>
      <w:r>
        <w:rPr>
          <w:rFonts w:ascii="Times New Roman" w:hAnsi="Times New Roman"/>
          <w:b w:val="0"/>
          <w:i w:val="0"/>
          <w:sz w:val="24"/>
        </w:rPr>
        <w:t xml:space="preserve">: Rather than allowing foreign commercial bots to monopolize epistemic authority, BGN should launch an official, verified AI verification assistant on platform X and messaging networks (e.g., </w:t>
      </w:r>
      <w:r>
        <w:rPr>
          <w:rFonts w:ascii="Courier New" w:hAnsi="Courier New"/>
          <w:sz w:val="23"/>
        </w:rPr>
        <w:t>@BGN_VerifikasiBot</w:t>
      </w:r>
      <w:r>
        <w:rPr>
          <w:rFonts w:ascii="Times New Roman" w:hAnsi="Times New Roman"/>
          <w:b w:val="0"/>
          <w:i w:val="0"/>
          <w:sz w:val="24"/>
        </w:rPr>
        <w:t xml:space="preserve"> and an integrated WhatsApp service). This agent must operate with human-like conversational speed, empathetic tonality, and verifiable empirical documentation from local school kitchens, providing an authoritative domestic alternative.</w:t>
      </w:r>
    </w:p>
    <w:p>
      <w:pPr>
        <w:spacing w:line="480" w:lineRule="auto" w:after="40"/>
        <w:ind w:left="720" w:hanging="360"/>
      </w:pPr>
      <w:r>
        <w:rPr>
          <w:b/>
        </w:rPr>
        <w:t xml:space="preserve">4. </w:t>
      </w:r>
      <w:r>
        <w:rPr>
          <w:rFonts w:ascii="Times New Roman" w:hAnsi="Times New Roman"/>
          <w:b w:val="0"/>
          <w:i/>
          <w:sz w:val="24"/>
        </w:rPr>
      </w:r>
      <w:r>
        <w:rPr>
          <w:rFonts w:ascii="Times New Roman" w:hAnsi="Times New Roman"/>
          <w:b w:val="0"/>
          <w:i/>
          <w:sz w:val="24"/>
        </w:rPr>
        <w:t>Utilizing AI Inquiries as an Early Warning Indicator (</w:t>
      </w:r>
      <w:r>
        <w:rPr>
          <w:rFonts w:ascii="Times New Roman" w:hAnsi="Times New Roman"/>
          <w:b w:val="0"/>
          <w:i w:val="0"/>
          <w:sz w:val="24"/>
        </w:rPr>
        <w:t>Predictive Public Sentiment Mining</w:t>
      </w:r>
      <w:r>
        <w:rPr>
          <w:rFonts w:ascii="Times New Roman" w:hAnsi="Times New Roman"/>
          <w:b w:val="0"/>
          <w:i/>
          <w:sz w:val="24"/>
        </w:rPr>
        <w:t>)</w:t>
      </w:r>
      <w:r>
        <w:rPr>
          <w:rFonts w:ascii="Times New Roman" w:hAnsi="Times New Roman"/>
          <w:b w:val="0"/>
          <w:i w:val="0"/>
          <w:sz w:val="24"/>
        </w:rPr>
        <w:t xml:space="preserve">*: Humas units should systematically monitor the semantic topics most frequently queried to </w:t>
      </w:r>
      <w:r>
        <w:rPr>
          <w:rFonts w:ascii="Courier New" w:hAnsi="Courier New"/>
          <w:sz w:val="23"/>
        </w:rPr>
        <w:t>@grok</w:t>
      </w:r>
      <w:r>
        <w:rPr>
          <w:rFonts w:ascii="Times New Roman" w:hAnsi="Times New Roman"/>
          <w:b w:val="0"/>
          <w:i w:val="0"/>
          <w:sz w:val="24"/>
        </w:rPr>
        <w:t>.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spacing w:line="480" w:lineRule="auto" w:after="40"/>
        <w:ind w:left="720" w:hanging="360"/>
      </w:pPr>
      <w:r>
        <w:rPr>
          <w:b/>
        </w:rPr>
        <w:t xml:space="preserve">5. </w:t>
      </w:r>
      <w:r>
        <w:rPr>
          <w:rFonts w:ascii="Times New Roman" w:hAnsi="Times New Roman"/>
          <w:b/>
          <w:i w:val="0"/>
          <w:sz w:val="24"/>
        </w:rPr>
        <w:t>Rectification of the Physical Touchpoint</w:t>
      </w:r>
      <w:r>
        <w:rPr>
          <w:rFonts w:ascii="Times New Roman" w:hAnsi="Times New Roman"/>
          <w:b w:val="0"/>
          <w:i w:val="0"/>
          <w:sz w:val="24"/>
        </w:rP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line="480" w:lineRule="auto" w:before="280" w:after="80"/>
        <w:ind w:firstLine="0"/>
        <w:jc w:val="left"/>
      </w:pPr>
      <w:r>
        <w:rPr>
          <w:rFonts w:ascii="Times New Roman" w:hAnsi="Times New Roman"/>
          <w:b/>
          <w:i w:val="0"/>
          <w:sz w:val="25"/>
        </w:rPr>
        <w:t>5.4 The Marketing 6.0 Phygital Gap as the Root of State Trust Dissolution</w:t>
      </w:r>
    </w:p>
    <w:p>
      <w:pPr>
        <w:spacing w:line="480" w:lineRule="auto" w:before="0" w:after="0"/>
        <w:ind w:firstLine="720"/>
      </w:pPr>
      <w:r>
        <w:rPr>
          <w:rFonts w:ascii="Times New Roman" w:hAnsi="Times New Roman"/>
          <w:b w:val="0"/>
          <w:i w:val="0"/>
          <w:sz w:val="24"/>
        </w:rPr>
        <w:t>How do we theoretically synthesize these disparate computational findings—the linguistic dominance of sarcasm, the structural atomization of the network, the hegemony of disgust in ABSA, and the rise of algorithmic oracles?</w:t>
      </w:r>
    </w:p>
    <w:p>
      <w:pPr>
        <w:spacing w:line="480" w:lineRule="auto" w:before="0" w:after="0"/>
        <w:ind w:firstLine="720"/>
      </w:pPr>
      <w:r>
        <w:rPr>
          <w:rFonts w:ascii="Times New Roman" w:hAnsi="Times New Roman"/>
          <w:b w:val="0"/>
          <w:i w:val="0"/>
          <w:sz w:val="24"/>
        </w:rPr>
        <w:t xml:space="preserve">We propose that these phenomena are the direct empirical manifestations of a severe </w:t>
      </w:r>
      <w:r>
        <w:rPr>
          <w:rFonts w:ascii="Times New Roman" w:hAnsi="Times New Roman"/>
          <w:b/>
          <w:i w:val="0"/>
          <w:sz w:val="24"/>
        </w:rPr>
        <w:t>Phygital Policy Gap</w:t>
      </w:r>
      <w:r>
        <w:rPr>
          <w:rFonts w:ascii="Times New Roman" w:hAnsi="Times New Roman"/>
          <w:b w:val="0"/>
          <w:i w:val="0"/>
          <w:sz w:val="24"/>
        </w:rPr>
        <w:t>, as conceptualized through our public sector adaptation of Marketing 6.0 (Kotler et al., 2023).</w:t>
      </w:r>
    </w:p>
    <w:p>
      <w:pPr>
        <w:spacing w:line="480" w:lineRule="auto" w:before="0" w:after="0"/>
        <w:ind w:firstLine="720"/>
      </w:pPr>
      <w:r>
        <w:rPr>
          <w:rFonts w:ascii="Times New Roman" w:hAnsi="Times New Roman"/>
          <w:b w:val="0"/>
          <w:i w:val="0"/>
          <w:sz w:val="24"/>
        </w:rPr>
        <w:t xml:space="preserve">Figure 12 synthesizes this dynamic into the </w:t>
      </w:r>
      <w:r>
        <w:rPr>
          <w:rFonts w:ascii="Times New Roman" w:hAnsi="Times New Roman"/>
          <w:b/>
          <w:i w:val="0"/>
          <w:sz w:val="24"/>
        </w:rPr>
        <w:t>Phygital Policy Trust Degradation Loop</w:t>
      </w:r>
      <w:r>
        <w:rPr>
          <w:rFonts w:ascii="Times New Roman" w:hAnsi="Times New Roman"/>
          <w:b w:val="0"/>
          <w:i w:val="0"/>
          <w:sz w:val="24"/>
        </w:rPr>
        <w:t>:</w:t>
      </w:r>
    </w:p>
    <w:p>
      <w:pPr>
        <w:spacing w:before="80" w:after="120" w:line="240" w:lineRule="auto"/>
        <w:ind w:left="720" w:right="720"/>
      </w:pPr>
      <w:r>
        <w:rPr>
          <w:rFonts w:ascii="Courier New" w:hAnsi="Courier New"/>
          <w:color w:val="1E293B"/>
          <w:sz w:val="17"/>
        </w:rPr>
        <w:t>[1. HYPER-AMBITIOUS DIGITAL PROMISE]</w:t>
        <w:br/>
        <w:t>State PR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Citizens Abandon State PR -&gt; Invoke AI Oracles (@grok)</w:t>
      </w:r>
    </w:p>
    <w:p>
      <w:pPr>
        <w:spacing w:line="480" w:lineRule="auto" w:before="0" w:after="0"/>
        <w:ind w:firstLine="720"/>
      </w:pPr>
      <w:r>
        <w:rPr>
          <w:rFonts w:ascii="Times New Roman" w:hAnsi="Times New Roman"/>
          <w:b w:val="0"/>
          <w:i w:val="0"/>
          <w:sz w:val="24"/>
        </w:rPr>
        <w:t xml:space="preserve">In the framework of Service-Dominant Logic (Vargo &amp; Lusch, 2004, 2016), public value is never delivered unilaterally by the state; it is co-created at the point of physical consumption. The Indonesian government engaged in world-class, high-salience </w:t>
      </w:r>
      <w:r>
        <w:rPr>
          <w:rFonts w:ascii="Times New Roman" w:hAnsi="Times New Roman"/>
          <w:b w:val="0"/>
          <w:i/>
          <w:sz w:val="24"/>
        </w:rPr>
        <w:t>digital brand storytelling</w:t>
      </w:r>
      <w:r>
        <w:rPr>
          <w:rFonts w:ascii="Times New Roman" w:hAnsi="Times New Roman"/>
          <w:b w:val="0"/>
          <w:i w:val="0"/>
          <w:sz w:val="24"/>
        </w:rPr>
        <w:t xml:space="preserve">—projecting a futuristic vision of healthy children nourished by the benevolence of the state. However, the </w:t>
      </w:r>
      <w:r>
        <w:rPr>
          <w:rFonts w:ascii="Times New Roman" w:hAnsi="Times New Roman"/>
          <w:b w:val="0"/>
          <w:i/>
          <w:sz w:val="24"/>
        </w:rPr>
        <w:t>physical touchpoints</w:t>
      </w:r>
      <w:r>
        <w:rPr>
          <w:rFonts w:ascii="Times New Roman" w:hAnsi="Times New Roman"/>
          <w:b w:val="0"/>
          <w:i w:val="0"/>
          <w:sz w:val="24"/>
        </w:rPr>
        <w:t xml:space="preserve"> (the 27,952 decentralized kitchens operated by third-party private catering vendors) suffered from severe quality control failures, supply chain bottlenecks, and hygiene lapses.</w:t>
      </w:r>
    </w:p>
    <w:p>
      <w:pPr>
        <w:spacing w:line="480" w:lineRule="auto" w:before="0" w:after="0"/>
        <w:ind w:firstLine="720"/>
      </w:pPr>
      <w:r>
        <w:rPr>
          <w:rFonts w:ascii="Times New Roman" w:hAnsi="Times New Roman"/>
          <w:b w:val="0"/>
          <w:i w:val="0"/>
          <w:sz w:val="24"/>
        </w:rP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rFonts w:ascii="Times New Roman" w:hAnsi="Times New Roman"/>
          <w:b/>
          <w:i w:val="0"/>
          <w:sz w:val="24"/>
        </w:rPr>
        <w:t>visceral disgust</w:t>
      </w:r>
      <w:r>
        <w:rPr>
          <w:rFonts w:ascii="Times New Roman" w:hAnsi="Times New Roman"/>
          <w:b w:val="0"/>
          <w:i w:val="0"/>
          <w:sz w:val="24"/>
        </w:rPr>
        <w:t>—a moral rejection of a state apparatus perceived to be exploiting children's welfare for elite fiscal posturing.</w:t>
      </w:r>
    </w:p>
    <w:p>
      <w:pPr>
        <w:spacing w:line="480" w:lineRule="auto" w:before="0" w:after="0"/>
        <w:ind w:firstLine="720"/>
      </w:pPr>
      <w:r>
        <w:rPr>
          <w:rFonts w:ascii="Times New Roman" w:hAnsi="Times New Roman"/>
          <w:b w:val="0"/>
          <w:i w:val="0"/>
          <w:sz w:val="24"/>
        </w:rPr>
        <w:t xml:space="preserve">Because citizens feel powerless to directly alter national procurement contracts, and because direct defamation carries legal peril under UU ITE, citizens turn to </w:t>
      </w:r>
      <w:r>
        <w:rPr>
          <w:rFonts w:ascii="Times New Roman" w:hAnsi="Times New Roman"/>
          <w:b/>
          <w:i w:val="0"/>
          <w:sz w:val="24"/>
        </w:rPr>
        <w:t>digital sarcasm as an affective pressure-release valve</w:t>
      </w:r>
      <w:r>
        <w:rPr>
          <w:rFonts w:ascii="Times New Roman" w:hAnsi="Times New Roman"/>
          <w:b w:val="0"/>
          <w:i w:val="0"/>
          <w:sz w:val="24"/>
        </w:rPr>
        <w:t>. Sarcasm bridges the phygital gap by enabling the citizen to simultaneously hold the digital promise (the laudatory words) and the physical disaster (the clown emoji) in a single, devastating speech act.</w:t>
      </w:r>
    </w:p>
    <w:p>
      <w:pPr>
        <w:spacing w:line="480" w:lineRule="auto" w:before="360" w:after="120"/>
        <w:jc w:val="center"/>
      </w:pPr>
      <w:r>
        <w:rPr>
          <w:rFonts w:ascii="Times New Roman" w:hAnsi="Times New Roman"/>
          <w:b/>
          <w:i w:val="0"/>
          <w:sz w:val="28"/>
        </w:rPr>
        <w:t>6. Policy Recommendations and Governance Blueprint</w:t>
      </w:r>
    </w:p>
    <w:p>
      <w:pPr>
        <w:spacing w:line="480" w:lineRule="auto" w:before="280" w:after="80"/>
        <w:ind w:firstLine="0"/>
        <w:jc w:val="left"/>
      </w:pPr>
      <w:r>
        <w:rPr>
          <w:rFonts w:ascii="Times New Roman" w:hAnsi="Times New Roman"/>
          <w:b/>
          <w:i w:val="0"/>
          <w:sz w:val="25"/>
        </w:rPr>
        <w:t>6.1 Closed-Loop Alignment: Connecting Root Causes to Strategic Governance Solutions</w:t>
      </w:r>
    </w:p>
    <w:p>
      <w:pPr>
        <w:spacing w:line="480" w:lineRule="auto" w:before="0" w:after="0"/>
        <w:ind w:firstLine="720"/>
      </w:pPr>
      <w:r>
        <w:rPr>
          <w:rFonts w:ascii="Times New Roman" w:hAnsi="Times New Roman"/>
          <w:b w:val="0"/>
          <w:i w:val="0"/>
          <w:sz w:val="24"/>
        </w:rP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pPr>
        <w:spacing w:before="280" w:after="80" w:line="288" w:lineRule="auto"/>
        <w:jc w:val="left"/>
      </w:pPr>
      <w:r>
        <w:rPr>
          <w:rFonts w:ascii="Times New Roman" w:hAnsi="Times New Roman"/>
          <w:b/>
          <w:i w:val="0"/>
          <w:sz w:val="22"/>
        </w:rPr>
        <w:t>Table 5: Closed-Loop Governance Matrix: Aligning Initial Policy Failures with Computational Evidence and Strategic Solutions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Initial Root Cause &amp; Theoretical Driver</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Computational Signature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Institutional Consequence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Targeted Governance Solution</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1. The Phygital Gap</w:t>
            </w:r>
            <w:r>
              <w:rPr>
                <w:rFonts w:ascii="Times New Roman" w:hAnsi="Times New Roman"/>
                <w:b w:val="0"/>
                <w:i w:val="0"/>
                <w:sz w:val="18"/>
              </w:rPr>
              <w:t xml:space="preserve"> (Kotler et al., 2023)</w:t>
              <w:br/>
              <w:t>Grandiose digital branding (</w:t>
            </w:r>
            <w:r>
              <w:rPr>
                <w:rFonts w:ascii="Times New Roman" w:hAnsi="Times New Roman"/>
                <w:b w:val="0"/>
                <w:i/>
                <w:sz w:val="18"/>
              </w:rPr>
              <w:t>Indonesia Emas 2045</w:t>
            </w:r>
            <w:r>
              <w:rPr>
                <w:rFonts w:ascii="Times New Roman" w:hAnsi="Times New Roman"/>
                <w:b w:val="0"/>
                <w:i w:val="0"/>
                <w:sz w:val="18"/>
              </w:rPr>
              <w:t>) contradicted by defective school delivery (4,581 suspended SPPGs, food poisoning).</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Nutritional Quality</w:t>
            </w:r>
            <w:r>
              <w:rPr>
                <w:rFonts w:ascii="Times New Roman" w:hAnsi="Times New Roman"/>
                <w:b w:val="0"/>
                <w:i w:val="0"/>
                <w:sz w:val="18"/>
              </w:rPr>
              <w:t xml:space="preserve"> generates largest volume (1,344 tweets) with </w:t>
            </w:r>
            <w:r>
              <w:rPr>
                <w:rFonts w:ascii="Times New Roman" w:hAnsi="Times New Roman"/>
                <w:b/>
                <w:i w:val="0"/>
                <w:sz w:val="18"/>
              </w:rPr>
              <w:t>71.13% Disgust</w:t>
            </w:r>
            <w:r>
              <w:rPr>
                <w:rFonts w:ascii="Times New Roman" w:hAnsi="Times New Roman"/>
                <w:b w:val="0"/>
                <w:i w:val="0"/>
                <w:sz w:val="18"/>
              </w:rPr>
              <w:t xml:space="preserve">; lexical salience of </w:t>
            </w:r>
            <w:r>
              <w:rPr>
                <w:rFonts w:ascii="Times New Roman" w:hAnsi="Times New Roman"/>
                <w:b w:val="0"/>
                <w:i/>
                <w:sz w:val="18"/>
              </w:rPr>
              <w:t>keracunan</w:t>
            </w:r>
            <w:r>
              <w:rPr>
                <w:rFonts w:ascii="Times New Roman" w:hAnsi="Times New Roman"/>
                <w:b w:val="0"/>
                <w:i w:val="0"/>
                <w:sz w:val="18"/>
              </w:rPr>
              <w:t xml:space="preserve"> and </w:t>
            </w:r>
            <w:r>
              <w:rPr>
                <w:rFonts w:ascii="Times New Roman" w:hAnsi="Times New Roman"/>
                <w:b w:val="0"/>
                <w:i/>
                <w:sz w:val="18"/>
              </w:rPr>
              <w:t>basi</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Visceral moral revulsion; cognitive dissonance between digital promises and physical reality.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6.3</w:t>
            </w:r>
            <w:r>
              <w:rPr>
                <w:rFonts w:ascii="Times New Roman" w:hAnsi="Times New Roman"/>
                <w:b w:val="0"/>
                <w:i w:val="0"/>
                <w:sz w:val="18"/>
              </w:rPr>
              <w:t>: Prioritize physical touchpoint rectification over digital PR; enforce mandatory third-party hygiene audits.</w:t>
              <w:br/>
            </w:r>
            <w:r>
              <w:rPr>
                <w:rFonts w:ascii="Times New Roman" w:hAnsi="Times New Roman"/>
                <w:b/>
                <w:i w:val="0"/>
                <w:sz w:val="18"/>
              </w:rPr>
              <w:t>Section 6.6</w:t>
            </w:r>
            <w:r>
              <w:rPr>
                <w:rFonts w:ascii="Times New Roman" w:hAnsi="Times New Roman"/>
                <w:b w:val="0"/>
                <w:i w:val="0"/>
                <w:sz w:val="18"/>
              </w:rPr>
              <w:t>: Institutionalize participatory co-monitoring apps for parents and teachers.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2. Symbolic Fiscal Devaluation</w:t>
            </w:r>
            <w:r>
              <w:rPr>
                <w:rFonts w:ascii="Times New Roman" w:hAnsi="Times New Roman"/>
                <w:b w:val="0"/>
                <w:i w:val="0"/>
                <w:sz w:val="18"/>
              </w:rPr>
              <w:t xml:space="preserve"> (Edelman, 1964)</w:t>
              <w:br/>
              <w:t>Opaque announcement of IDR 67-trillion budget reduction without granular technical explanation.</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Budget &amp; Procurement</w:t>
            </w:r>
            <w:r>
              <w:rPr>
                <w:rFonts w:ascii="Times New Roman" w:hAnsi="Times New Roman"/>
                <w:b w:val="0"/>
                <w:i w:val="0"/>
                <w:sz w:val="18"/>
              </w:rPr>
              <w:t xml:space="preserve"> exhibits </w:t>
            </w:r>
            <w:r>
              <w:rPr>
                <w:rFonts w:ascii="Times New Roman" w:hAnsi="Times New Roman"/>
                <w:b/>
                <w:i w:val="0"/>
                <w:sz w:val="18"/>
              </w:rPr>
              <w:t>77.01% Disgust</w:t>
            </w:r>
            <w:r>
              <w:rPr>
                <w:rFonts w:ascii="Times New Roman" w:hAnsi="Times New Roman"/>
                <w:b w:val="0"/>
                <w:i w:val="0"/>
                <w:sz w:val="18"/>
              </w:rPr>
              <w:t xml:space="preserve">; semantic co-occurrence of </w:t>
            </w:r>
            <w:r>
              <w:rPr>
                <w:rFonts w:ascii="Times New Roman" w:hAnsi="Times New Roman"/>
                <w:b w:val="0"/>
                <w:i/>
                <w:sz w:val="18"/>
              </w:rPr>
              <w:t>triliun</w:t>
            </w:r>
            <w:r>
              <w:rPr>
                <w:rFonts w:ascii="Times New Roman" w:hAnsi="Times New Roman"/>
                <w:b w:val="0"/>
                <w:i w:val="0"/>
                <w:sz w:val="18"/>
              </w:rPr>
              <w:t xml:space="preserve"> with </w:t>
            </w:r>
            <w:r>
              <w:rPr>
                <w:rFonts w:ascii="Times New Roman" w:hAnsi="Times New Roman"/>
                <w:b w:val="0"/>
                <w:i/>
                <w:sz w:val="18"/>
              </w:rPr>
              <w:t>korupsi</w:t>
            </w:r>
            <w:r>
              <w:rPr>
                <w:rFonts w:ascii="Times New Roman" w:hAnsi="Times New Roman"/>
                <w:b w:val="0"/>
                <w:i w:val="0"/>
                <w:sz w:val="18"/>
              </w:rPr>
              <w:t xml:space="preserve"> and </w:t>
            </w:r>
            <w:r>
              <w:rPr>
                <w:rFonts w:ascii="Times New Roman" w:hAnsi="Times New Roman"/>
                <w:b w:val="0"/>
                <w:i/>
                <w:sz w:val="18"/>
              </w:rPr>
              <w:t>vendor fiktif</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interprets fiscal adjustments as proof of corruption or institutional insolvency.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Deploy machine-readable Open Data REST APIs providing per-child cost breakdowns and real-time disbursement ledgers.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3. The Deliberative Vacuum</w:t>
            </w:r>
            <w:r>
              <w:rPr>
                <w:rFonts w:ascii="Times New Roman" w:hAnsi="Times New Roman"/>
                <w:b w:val="0"/>
                <w:i w:val="0"/>
                <w:sz w:val="18"/>
              </w:rPr>
              <w:t xml:space="preserve"> (Habermas, 1989)</w:t>
              <w:br/>
              <w:t>Rigid, one-way top-down broadcast communication and defensive denial by central authorities.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Modularity </w:t>
            </w:r>
            <w:r>
              <w:rPr>
                <w:rFonts w:ascii="Times New Roman" w:hAnsi="Times New Roman"/>
                <w:b/>
                <w:i w:val="0"/>
                <w:sz w:val="18"/>
              </w:rPr>
              <w:t>$Q = 0.9837$</w:t>
            </w:r>
            <w:r>
              <w:rPr>
                <w:rFonts w:ascii="Times New Roman" w:hAnsi="Times New Roman"/>
                <w:b w:val="0"/>
                <w:i w:val="0"/>
                <w:sz w:val="18"/>
              </w:rPr>
              <w:t xml:space="preserve"> (341 disjoint components), Graph Density </w:t>
            </w:r>
            <w:r>
              <w:rPr>
                <w:rFonts w:ascii="Times New Roman" w:hAnsi="Times New Roman"/>
                <w:b/>
                <w:i w:val="0"/>
                <w:sz w:val="18"/>
              </w:rPr>
              <w:t>0.0007</w:t>
            </w:r>
            <w:r>
              <w:rPr>
                <w:rFonts w:ascii="Times New Roman" w:hAnsi="Times New Roman"/>
                <w:b w:val="0"/>
                <w:i w:val="0"/>
                <w:sz w:val="18"/>
              </w:rPr>
              <w:t xml:space="preserve">, Reciprocity </w:t>
            </w:r>
            <w:r>
              <w:rPr>
                <w:rFonts w:ascii="Times New Roman" w:hAnsi="Times New Roman"/>
                <w:b/>
                <w:i w:val="0"/>
                <w:sz w:val="18"/>
              </w:rPr>
              <w:t>$1.20\%$</w:t>
            </w:r>
            <w:r>
              <w:rPr>
                <w:rFonts w:ascii="Times New Roman" w:hAnsi="Times New Roman"/>
                <w:b w:val="0"/>
                <w:i w:val="0"/>
                <w:sz w:val="18"/>
              </w:rPr>
              <w:t xml:space="preserve"> (monologue dynamic).</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Complete conversational insularity; official state press releases fail to penetrate citizen echo chambers.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6.2</w:t>
            </w:r>
            <w:r>
              <w:rPr>
                <w:rFonts w:ascii="Times New Roman" w:hAnsi="Times New Roman"/>
                <w:b w:val="0"/>
                <w:i w:val="0"/>
                <w:sz w:val="18"/>
              </w:rPr>
              <w:t>: Dismantle broadcast monologue; establish decentralized, regional rapid-response cadres engaging directly in comment threads.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4. Paralinguistic Shielding</w:t>
            </w:r>
            <w:r>
              <w:rPr>
                <w:rFonts w:ascii="Times New Roman" w:hAnsi="Times New Roman"/>
                <w:b w:val="0"/>
                <w:i w:val="0"/>
                <w:sz w:val="18"/>
              </w:rPr>
              <w:t xml:space="preserve"> (Scott, 1985; Camp, 2012)</w:t>
              <w:br/>
              <w:t>Fear of legal reprisal under UU ITE forcing citizens to mask outrage in sarcastic tropes (🤡, 🙃).</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Typology 1 Sarcasm (laudatory text negated by irony emojis); conventional NLP misclassifies dissent as positive support.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State intelligence systematically underestimates the severity of public rage until physical crises erupt.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6.5</w:t>
            </w:r>
            <w:r>
              <w:rPr>
                <w:rFonts w:ascii="Times New Roman" w:hAnsi="Times New Roman"/>
                <w:b w:val="0"/>
                <w:i w:val="0"/>
                <w:sz w:val="18"/>
              </w:rPr>
              <w:t>: Integrate Transformer-based, emoji-aware NLP (IndoBERT) into state listening dashboards as a real-time early-warning telemetry system.</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5. Epistemic Vacuum &amp; AI Delegation</w:t>
            </w:r>
            <w:r>
              <w:rPr>
                <w:rFonts w:ascii="Times New Roman" w:hAnsi="Times New Roman"/>
                <w:b w:val="0"/>
                <w:i w:val="0"/>
                <w:sz w:val="18"/>
              </w:rPr>
              <w:br/>
              <w:t>Institutional credibility collapse and delayed official clarifications create an informational void.</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Centrality: </w:t>
            </w:r>
            <w:r>
              <w:rPr>
                <w:rFonts w:ascii="Courier New" w:hAnsi="Courier New"/>
                <w:sz w:val="17"/>
              </w:rPr>
              <w:t>@grok</w:t>
            </w:r>
            <w:r>
              <w:rPr>
                <w:rFonts w:ascii="Times New Roman" w:hAnsi="Times New Roman"/>
                <w:b w:val="0"/>
                <w:i w:val="0"/>
                <w:sz w:val="18"/>
              </w:rPr>
              <w:t xml:space="preserve"> commands </w:t>
            </w:r>
            <w:r>
              <w:rPr>
                <w:rFonts w:ascii="Times New Roman" w:hAnsi="Times New Roman"/>
                <w:b/>
                <w:i w:val="0"/>
                <w:sz w:val="18"/>
              </w:rPr>
              <w:t>Rank 1 In-Degree ($k^{in} = 42$)</w:t>
            </w:r>
            <w:r>
              <w:rPr>
                <w:rFonts w:ascii="Times New Roman" w:hAnsi="Times New Roman"/>
                <w:b w:val="0"/>
                <w:i w:val="0"/>
                <w:sz w:val="18"/>
              </w:rPr>
              <w:t xml:space="preserve">; </w:t>
            </w:r>
            <w:r>
              <w:rPr>
                <w:rFonts w:ascii="Courier New" w:hAnsi="Courier New"/>
                <w:sz w:val="17"/>
              </w:rPr>
              <w:t>@prabowo</w:t>
            </w:r>
            <w:r>
              <w:rPr>
                <w:rFonts w:ascii="Times New Roman" w:hAnsi="Times New Roman"/>
                <w:b w:val="0"/>
                <w:i w:val="0"/>
                <w:sz w:val="18"/>
              </w:rPr>
              <w:t xml:space="preserve"> functions as passive target sink ($k^{in} = 15$).</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bypasses human journalists and state spokespersons, delegating fact-checking to a foreign private AI.</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Algorithmic grounding partnerships with AI vendors; launch sovereign, official state AI fact-checking assistants (</w:t>
            </w:r>
            <w:r>
              <w:rPr>
                <w:rFonts w:ascii="Courier New" w:hAnsi="Courier New"/>
                <w:sz w:val="17"/>
              </w:rPr>
              <w:t>@BGN_VerifikasiBot</w:t>
            </w:r>
            <w:r>
              <w:rPr>
                <w:rFonts w:ascii="Times New Roman" w:hAnsi="Times New Roman"/>
                <w:b w:val="0"/>
                <w:i w:val="0"/>
                <w:sz w:val="18"/>
              </w:rPr>
              <w:t>).</w:t>
            </w:r>
          </w:p>
        </w:tc>
      </w:tr>
    </w:tbl>
    <w:p>
      <w:pPr>
        <w:spacing w:after="160"/>
      </w:pPr>
    </w:p>
    <w:p>
      <w:pPr>
        <w:spacing w:line="480" w:lineRule="auto" w:before="280" w:after="80"/>
        <w:ind w:firstLine="0"/>
        <w:jc w:val="left"/>
      </w:pPr>
      <w:r>
        <w:rPr>
          <w:rFonts w:ascii="Times New Roman" w:hAnsi="Times New Roman"/>
          <w:b/>
          <w:i w:val="0"/>
          <w:sz w:val="25"/>
        </w:rPr>
        <w:t>6.2 Transition from Broadcast Propaganda to Decentralized Network Dialogue</w:t>
      </w:r>
    </w:p>
    <w:p>
      <w:pPr>
        <w:spacing w:line="480" w:lineRule="auto" w:before="0" w:after="0"/>
        <w:ind w:firstLine="720"/>
      </w:pPr>
      <w:r>
        <w:rPr>
          <w:rFonts w:ascii="Times New Roman" w:hAnsi="Times New Roman"/>
          <w:b w:val="0"/>
          <w:i w:val="0"/>
          <w:sz w:val="24"/>
        </w:rPr>
        <w:t>The near-zero reciprocity ($1.20\%$) and hyper-fragmentation ($Q = 0.9837$) demonstrate that traditional centralized press releases and one-way broadcast statements fail to penetrate citizen discourse.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line="480" w:lineRule="auto" w:before="280" w:after="80"/>
        <w:ind w:firstLine="0"/>
        <w:jc w:val="left"/>
      </w:pPr>
      <w:r>
        <w:rPr>
          <w:rFonts w:ascii="Times New Roman" w:hAnsi="Times New Roman"/>
          <w:b/>
          <w:i w:val="0"/>
          <w:sz w:val="25"/>
        </w:rPr>
        <w:t>6.3 Prioritize Physical Touchpoint Rectification over Digital PR Spending</w:t>
      </w:r>
    </w:p>
    <w:p>
      <w:pPr>
        <w:spacing w:line="480" w:lineRule="auto" w:before="0" w:after="0"/>
        <w:ind w:firstLine="720"/>
      </w:pPr>
      <w:r>
        <w:rPr>
          <w:rFonts w:ascii="Times New Roman" w:hAnsi="Times New Roman"/>
          <w:b w:val="0"/>
          <w:i w:val="0"/>
          <w:sz w:val="24"/>
        </w:rPr>
        <w:t xml:space="preserve">The ABSA findings prove unequivocally that </w:t>
      </w:r>
      <w:r>
        <w:rPr>
          <w:rFonts w:ascii="Times New Roman" w:hAnsi="Times New Roman"/>
          <w:b/>
          <w:i w:val="0"/>
          <w:sz w:val="24"/>
        </w:rPr>
        <w:t>Nutritional Quality generates twice the discursive volume of budget debates</w:t>
      </w:r>
      <w:r>
        <w:rPr>
          <w:rFonts w:ascii="Times New Roman" w:hAnsi="Times New Roman"/>
          <w:b w:val="0"/>
          <w:i w:val="0"/>
          <w:sz w:val="24"/>
        </w:rPr>
        <w:t xml:space="preserve">,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w:t>
      </w:r>
      <w:r>
        <w:rPr>
          <w:rFonts w:ascii="Times New Roman" w:hAnsi="Times New Roman"/>
          <w:b/>
          <w:i w:val="0"/>
          <w:sz w:val="24"/>
        </w:rPr>
        <w:t>physical service excellence is the only credible form of public communication</w:t>
      </w:r>
      <w:r>
        <w:rPr>
          <w:rFonts w:ascii="Times New Roman" w:hAnsi="Times New Roman"/>
          <w:b w:val="0"/>
          <w:i w:val="0"/>
          <w:sz w:val="24"/>
        </w:rPr>
        <w:t>.</w:t>
      </w:r>
    </w:p>
    <w:p>
      <w:pPr>
        <w:spacing w:line="480" w:lineRule="auto" w:before="280" w:after="80"/>
        <w:ind w:firstLine="0"/>
        <w:jc w:val="left"/>
      </w:pPr>
      <w:r>
        <w:rPr>
          <w:rFonts w:ascii="Times New Roman" w:hAnsi="Times New Roman"/>
          <w:b/>
          <w:i w:val="0"/>
          <w:sz w:val="25"/>
        </w:rPr>
        <w:t>6.4 Strategic Engagement with Algorithmic Epistemic Infrastructure</w:t>
      </w:r>
    </w:p>
    <w:p>
      <w:pPr>
        <w:spacing w:line="480" w:lineRule="auto" w:before="0" w:after="0"/>
        <w:ind w:firstLine="720"/>
      </w:pPr>
      <w:r>
        <w:rPr>
          <w:rFonts w:ascii="Times New Roman" w:hAnsi="Times New Roman"/>
          <w:b w:val="0"/>
          <w:i w:val="0"/>
          <w:sz w:val="24"/>
        </w:rPr>
        <w:t xml:space="preserve">The structural dominance of </w:t>
      </w:r>
      <w:r>
        <w:rPr>
          <w:rFonts w:ascii="Courier New" w:hAnsi="Courier New"/>
          <w:sz w:val="23"/>
        </w:rPr>
        <w:t>@grok</w:t>
      </w:r>
      <w:r>
        <w:rPr>
          <w:rFonts w:ascii="Times New Roman" w:hAnsi="Times New Roman"/>
          <w:b w:val="0"/>
          <w:i w:val="0"/>
          <w:sz w:val="24"/>
        </w:rPr>
        <w:t xml:space="preserve"> ($k^{in} = 42$) demonstrates that public trust is now mediated by AI algorithms.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line="480" w:lineRule="auto" w:before="280" w:after="80"/>
        <w:ind w:firstLine="0"/>
        <w:jc w:val="left"/>
      </w:pPr>
      <w:r>
        <w:rPr>
          <w:rFonts w:ascii="Times New Roman" w:hAnsi="Times New Roman"/>
          <w:b/>
          <w:i w:val="0"/>
          <w:sz w:val="25"/>
        </w:rPr>
        <w:t>6.5 Treat Sarcasm as a Diagnostic Early-Warning Metric, Not Noise</w:t>
      </w:r>
    </w:p>
    <w:p>
      <w:pPr>
        <w:spacing w:line="480" w:lineRule="auto" w:before="0" w:after="0"/>
        <w:ind w:firstLine="720"/>
      </w:pPr>
      <w:r>
        <w:rPr>
          <w:rFonts w:ascii="Times New Roman" w:hAnsi="Times New Roman"/>
          <w:b w:val="0"/>
          <w:i w:val="0"/>
          <w:sz w:val="24"/>
        </w:rP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line="480" w:lineRule="auto" w:before="280" w:after="80"/>
        <w:ind w:firstLine="0"/>
        <w:jc w:val="left"/>
      </w:pPr>
      <w:r>
        <w:rPr>
          <w:rFonts w:ascii="Times New Roman" w:hAnsi="Times New Roman"/>
          <w:b/>
          <w:i w:val="0"/>
          <w:sz w:val="25"/>
        </w:rPr>
        <w:t>6.6 Institutionalize Participatory Phygital Co-Monitoring</w:t>
      </w:r>
    </w:p>
    <w:p>
      <w:pPr>
        <w:spacing w:line="480" w:lineRule="auto" w:before="0" w:after="0"/>
        <w:ind w:firstLine="720"/>
      </w:pPr>
      <w:r>
        <w:rPr>
          <w:rFonts w:ascii="Times New Roman" w:hAnsi="Times New Roman"/>
          <w:b w:val="0"/>
          <w:i w:val="0"/>
          <w:sz w:val="24"/>
        </w:rP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line="480" w:lineRule="auto" w:before="360" w:after="120"/>
        <w:jc w:val="center"/>
      </w:pPr>
      <w:r>
        <w:rPr>
          <w:rFonts w:ascii="Times New Roman" w:hAnsi="Times New Roman"/>
          <w:b/>
          <w:i w:val="0"/>
          <w:sz w:val="28"/>
        </w:rPr>
        <w:t>7. Conclusion</w:t>
      </w:r>
    </w:p>
    <w:p>
      <w:pPr>
        <w:spacing w:line="480" w:lineRule="auto" w:before="280" w:after="80"/>
        <w:ind w:firstLine="0"/>
        <w:jc w:val="left"/>
      </w:pPr>
      <w:r>
        <w:rPr>
          <w:rFonts w:ascii="Times New Roman" w:hAnsi="Times New Roman"/>
          <w:b/>
          <w:i w:val="0"/>
          <w:sz w:val="25"/>
        </w:rPr>
        <w:t>7.1 Summary of Contributions</w:t>
      </w:r>
    </w:p>
    <w:p>
      <w:pPr>
        <w:spacing w:line="480" w:lineRule="auto" w:before="0" w:after="0"/>
        <w:ind w:firstLine="720"/>
      </w:pPr>
      <w:r>
        <w:rPr>
          <w:rFonts w:ascii="Times New Roman" w:hAnsi="Times New Roman"/>
          <w:b w:val="0"/>
          <w:i w:val="0"/>
          <w:sz w:val="24"/>
        </w:rPr>
        <w:t>This study has presented an exhaustive, multi-tier computational investigation into the digital discourse surrounding Indonesia’s Free Nutritious Meal (</w:t>
      </w:r>
      <w:r>
        <w:rPr>
          <w:rFonts w:ascii="Times New Roman" w:hAnsi="Times New Roman"/>
          <w:b w:val="0"/>
          <w:i/>
          <w:sz w:val="24"/>
        </w:rPr>
        <w:t>Makan Bergizi Gratis</w:t>
      </w:r>
      <w:r>
        <w:rPr>
          <w:rFonts w:ascii="Times New Roman" w:hAnsi="Times New Roman"/>
          <w:b w:val="0"/>
          <w:i w:val="0"/>
          <w:sz w:val="24"/>
        </w:rP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spacing w:line="480" w:lineRule="auto" w:after="40"/>
        <w:ind w:left="720" w:hanging="360"/>
      </w:pPr>
      <w:r>
        <w:rPr>
          <w:b/>
        </w:rPr>
        <w:t xml:space="preserve">1. </w:t>
      </w:r>
      <w:r>
        <w:rPr>
          <w:rFonts w:ascii="Times New Roman" w:hAnsi="Times New Roman"/>
          <w:b/>
          <w:i w:val="0"/>
          <w:sz w:val="24"/>
        </w:rPr>
        <w:t>Linguistic Subversion</w:t>
      </w:r>
      <w:r>
        <w:rPr>
          <w:rFonts w:ascii="Times New Roman" w:hAnsi="Times New Roman"/>
          <w:b w:val="0"/>
          <w:i w:val="0"/>
          <w:sz w:val="24"/>
        </w:rPr>
        <w:t>: Public critique manifests primarily through sophisticated digital sarcasm characterized by pragmatic text-emoji incongruence, macro-micro semantic antithesis, and technocratic dark humor.</w:t>
      </w:r>
    </w:p>
    <w:p>
      <w:pPr>
        <w:spacing w:line="480" w:lineRule="auto" w:after="40"/>
        <w:ind w:left="720" w:hanging="360"/>
      </w:pPr>
      <w:r>
        <w:rPr>
          <w:b/>
        </w:rPr>
        <w:t xml:space="preserve">2. </w:t>
      </w:r>
      <w:r>
        <w:rPr>
          <w:rFonts w:ascii="Times New Roman" w:hAnsi="Times New Roman"/>
          <w:b/>
          <w:i w:val="0"/>
          <w:sz w:val="24"/>
        </w:rPr>
        <w:t>Topological Atomization</w:t>
      </w:r>
      <w:r>
        <w:rPr>
          <w:rFonts w:ascii="Times New Roman" w:hAnsi="Times New Roman"/>
          <w:b w:val="0"/>
          <w:i w:val="0"/>
          <w:sz w:val="24"/>
        </w:rPr>
        <w:t>: The discourse network is defined not by classic bipolar political war, but by radical structural fragmentation ($Q = 0.9837, R = 1.20\%$, 341 disjoint components), forming a disconnected archipelago of conversational monads that resists centralized broadcast communication.</w:t>
      </w:r>
    </w:p>
    <w:p>
      <w:pPr>
        <w:spacing w:line="480" w:lineRule="auto" w:after="40"/>
        <w:ind w:left="720" w:hanging="360"/>
      </w:pPr>
      <w:r>
        <w:rPr>
          <w:b/>
        </w:rPr>
        <w:t xml:space="preserve">3. </w:t>
      </w:r>
      <w:r>
        <w:rPr>
          <w:rFonts w:ascii="Times New Roman" w:hAnsi="Times New Roman"/>
          <w:b/>
          <w:i w:val="0"/>
          <w:sz w:val="24"/>
        </w:rPr>
        <w:t>The Rise of the Machine Arbiter</w:t>
      </w:r>
      <w:r>
        <w:rPr>
          <w:rFonts w:ascii="Times New Roman" w:hAnsi="Times New Roman"/>
          <w:b w:val="0"/>
          <w:i w:val="0"/>
          <w:sz w:val="24"/>
        </w:rPr>
        <w:t xml:space="preserve">: The AI agent </w:t>
      </w:r>
      <w:r>
        <w:rPr>
          <w:rFonts w:ascii="Courier New" w:hAnsi="Courier New"/>
          <w:sz w:val="23"/>
        </w:rPr>
        <w:t>@grok</w:t>
      </w:r>
      <w:r>
        <w:rPr>
          <w:rFonts w:ascii="Times New Roman" w:hAnsi="Times New Roman"/>
          <w:b w:val="0"/>
          <w:i w:val="0"/>
          <w:sz w:val="24"/>
        </w:rPr>
        <w:t xml:space="preserve"> has displaced human institutional authorities as the primary epistemic oracle in digital policy verification, commanding the highest in-degree centrality in the network.</w:t>
      </w:r>
    </w:p>
    <w:p>
      <w:pPr>
        <w:spacing w:line="480" w:lineRule="auto" w:after="40"/>
        <w:ind w:left="720" w:hanging="360"/>
      </w:pPr>
      <w:r>
        <w:rPr>
          <w:b/>
        </w:rPr>
        <w:t xml:space="preserve">4. </w:t>
      </w:r>
      <w:r>
        <w:rPr>
          <w:rFonts w:ascii="Times New Roman" w:hAnsi="Times New Roman"/>
          <w:b/>
          <w:i w:val="0"/>
          <w:sz w:val="24"/>
        </w:rPr>
        <w:t>The Phygital Policy Root</w:t>
      </w:r>
      <w:r>
        <w:rPr>
          <w:rFonts w:ascii="Times New Roman" w:hAnsi="Times New Roman"/>
          <w:b w:val="0"/>
          <w:i w:val="0"/>
          <w:sz w:val="24"/>
        </w:rPr>
        <w: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line="480" w:lineRule="auto" w:before="280" w:after="80"/>
        <w:ind w:firstLine="0"/>
        <w:jc w:val="left"/>
      </w:pPr>
      <w:r>
        <w:rPr>
          <w:rFonts w:ascii="Times New Roman" w:hAnsi="Times New Roman"/>
          <w:b/>
          <w:i w:val="0"/>
          <w:sz w:val="25"/>
        </w:rPr>
        <w:t>7.2 Five-Point Future Research Agenda</w:t>
      </w:r>
    </w:p>
    <w:p>
      <w:pPr>
        <w:spacing w:line="480" w:lineRule="auto" w:before="0" w:after="0"/>
        <w:ind w:firstLine="720"/>
      </w:pPr>
      <w:r>
        <w:rPr>
          <w:rFonts w:ascii="Times New Roman" w:hAnsi="Times New Roman"/>
          <w:b w:val="0"/>
          <w:i w:val="0"/>
          <w:sz w:val="24"/>
        </w:rPr>
        <w:t xml:space="preserve">Building on the methodological boundaries, theoretical discoveries, and sociotechnical implications of this investigation, we articulate a comprehensive </w:t>
      </w:r>
      <w:r>
        <w:rPr>
          <w:rFonts w:ascii="Times New Roman" w:hAnsi="Times New Roman"/>
          <w:b/>
          <w:i w:val="0"/>
          <w:sz w:val="24"/>
        </w:rPr>
        <w:t>Five-Point Research Agenda</w:t>
      </w:r>
      <w:r>
        <w:rPr>
          <w:rFonts w:ascii="Times New Roman" w:hAnsi="Times New Roman"/>
          <w:b w:val="0"/>
          <w:i w:val="0"/>
          <w:sz w:val="24"/>
        </w:rPr>
        <w:t xml:space="preserve"> for scholars of computational social science, communication, and public administration:</w:t>
      </w:r>
    </w:p>
    <w:p>
      <w:pPr>
        <w:spacing w:line="480" w:lineRule="auto" w:before="200" w:after="60"/>
        <w:ind w:firstLine="0"/>
        <w:jc w:val="left"/>
      </w:pPr>
      <w:r>
        <w:rPr>
          <w:rFonts w:ascii="Times New Roman" w:hAnsi="Times New Roman"/>
          <w:b/>
          <w:i/>
          <w:sz w:val="24"/>
        </w:rPr>
        <w:t>1. Multi-Annotator IndoBERT Recalibration and Benchmark Curation</w:t>
      </w:r>
    </w:p>
    <w:p>
      <w:pPr>
        <w:spacing w:line="480" w:lineRule="auto" w:before="0" w:after="0"/>
        <w:ind w:firstLine="720"/>
      </w:pPr>
      <w:r>
        <w:rPr>
          <w:rFonts w:ascii="Times New Roman" w:hAnsi="Times New Roman"/>
          <w:b w:val="0"/>
          <w:i w:val="0"/>
          <w:sz w:val="24"/>
        </w:rP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line="480" w:lineRule="auto" w:before="200" w:after="60"/>
        <w:ind w:firstLine="0"/>
        <w:jc w:val="left"/>
      </w:pPr>
      <w:r>
        <w:rPr>
          <w:rFonts w:ascii="Times New Roman" w:hAnsi="Times New Roman"/>
          <w:b/>
          <w:i/>
          <w:sz w:val="24"/>
        </w:rPr>
        <w:t>2. Multimodal Cross-Platform Comparative Dynamics (Platform X vs. TikTok vs. Instagram)</w:t>
      </w:r>
    </w:p>
    <w:p>
      <w:pPr>
        <w:spacing w:line="480" w:lineRule="auto" w:before="0" w:after="0"/>
        <w:ind w:firstLine="720"/>
      </w:pPr>
      <w:r>
        <w:rPr>
          <w:rFonts w:ascii="Times New Roman" w:hAnsi="Times New Roman"/>
          <w:b w:val="0"/>
          <w:i w:val="0"/>
          <w:sz w:val="24"/>
        </w:rP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rFonts w:ascii="Times New Roman" w:hAnsi="Times New Roman"/>
          <w:b/>
          <w:i w:val="0"/>
          <w:sz w:val="24"/>
        </w:rPr>
        <w:t>TikTok</w:t>
      </w:r>
      <w:r>
        <w:rPr>
          <w:rFonts w:ascii="Times New Roman" w:hAnsi="Times New Roman"/>
          <w:b w:val="0"/>
          <w:i w:val="0"/>
          <w:sz w:val="24"/>
        </w:rPr>
        <w:t xml:space="preserve"> (where students and teachers post raw meal unboxings) and </w:t>
      </w:r>
      <w:r>
        <w:rPr>
          <w:rFonts w:ascii="Times New Roman" w:hAnsi="Times New Roman"/>
          <w:b/>
          <w:i w:val="0"/>
          <w:sz w:val="24"/>
        </w:rPr>
        <w:t>Instagram</w:t>
      </w:r>
      <w:r>
        <w:rPr>
          <w:rFonts w:ascii="Times New Roman" w:hAnsi="Times New Roman"/>
          <w:b w:val="0"/>
          <w:i w:val="0"/>
          <w:sz w:val="24"/>
        </w:rPr>
        <w:t xml:space="preserve"> (where catering aesthetics are curated). This comparative design will test whether the phygital gap manifests differently across platform affordances (textual sarcasm on X vs. visual grotesque documentation on TikTok).</w:t>
      </w:r>
    </w:p>
    <w:p>
      <w:pPr>
        <w:spacing w:line="480" w:lineRule="auto" w:before="200" w:after="60"/>
        <w:ind w:firstLine="0"/>
        <w:jc w:val="left"/>
      </w:pPr>
      <w:r>
        <w:rPr>
          <w:rFonts w:ascii="Times New Roman" w:hAnsi="Times New Roman"/>
          <w:b/>
          <w:i/>
          <w:sz w:val="24"/>
        </w:rPr>
        <w:t>3. Longitudinal and Dynamic Network Modeling (TERGM and SIENA Formulations)</w:t>
      </w:r>
    </w:p>
    <w:p>
      <w:pPr>
        <w:spacing w:line="480" w:lineRule="auto" w:before="0" w:after="0"/>
        <w:ind w:firstLine="720"/>
      </w:pPr>
      <w:r>
        <w:rPr>
          <w:rFonts w:ascii="Times New Roman" w:hAnsi="Times New Roman"/>
          <w:b w:val="0"/>
          <w:i w:val="0"/>
          <w:sz w:val="24"/>
        </w:rPr>
        <w:t xml:space="preserve">The current investigation provides an in-depth cross-sectional snapshot of the March–May 2026 crisis. To capture structural evolution across the multi-year implementation lifecycle (2025–2029), future research should employ </w:t>
      </w:r>
      <w:r>
        <w:rPr>
          <w:rFonts w:ascii="Times New Roman" w:hAnsi="Times New Roman"/>
          <w:b/>
          <w:i w:val="0"/>
          <w:sz w:val="24"/>
        </w:rPr>
        <w:t>Temporal Exponential Random Graph Models (TERGM)</w:t>
      </w:r>
      <w:r>
        <w:rPr>
          <w:rFonts w:ascii="Times New Roman" w:hAnsi="Times New Roman"/>
          <w:b w:val="0"/>
          <w:i w:val="0"/>
          <w:sz w:val="24"/>
        </w:rPr>
        <w:t xml:space="preserve"> and </w:t>
      </w:r>
      <w:r>
        <w:rPr>
          <w:rFonts w:ascii="Times New Roman" w:hAnsi="Times New Roman"/>
          <w:b/>
          <w:i w:val="0"/>
          <w:sz w:val="24"/>
        </w:rPr>
        <w:t>Stochastic Actor-Oriented Models (SAOM / SIENA)</w:t>
      </w:r>
      <w:r>
        <w:rPr>
          <w:rFonts w:ascii="Times New Roman" w:hAnsi="Times New Roman"/>
          <w:b w:val="0"/>
          <w:i w:val="0"/>
          <w:sz w:val="24"/>
        </w:rPr>
        <w:t xml:space="preserve">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line="480" w:lineRule="auto" w:before="200" w:after="60"/>
        <w:ind w:firstLine="0"/>
        <w:jc w:val="left"/>
      </w:pPr>
      <w:r>
        <w:rPr>
          <w:rFonts w:ascii="Times New Roman" w:hAnsi="Times New Roman"/>
          <w:b/>
          <w:i/>
          <w:sz w:val="24"/>
        </w:rPr>
        <w:t>4. Formulation of a Real-Time Digital Public Policy Trust Index (DPPTI)</w:t>
      </w:r>
    </w:p>
    <w:p>
      <w:pPr>
        <w:spacing w:line="480" w:lineRule="auto" w:before="0" w:after="0"/>
        <w:ind w:firstLine="720"/>
      </w:pPr>
      <w:r>
        <w:rPr>
          <w:rFonts w:ascii="Times New Roman" w:hAnsi="Times New Roman"/>
          <w:b w:val="0"/>
          <w:i w:val="0"/>
          <w:sz w:val="24"/>
        </w:rPr>
        <w:t xml:space="preserve">Scholars should synthesize the tri-layer computational architecture into a unified, continuous mathematical monitoring metric: the </w:t>
      </w:r>
      <w:r>
        <w:rPr>
          <w:rFonts w:ascii="Times New Roman" w:hAnsi="Times New Roman"/>
          <w:b/>
          <w:i w:val="0"/>
          <w:sz w:val="24"/>
        </w:rPr>
        <w:t>Digital Public Policy Trust Index ($\text{DPPTI}_t$)</w:t>
      </w:r>
      <w:r>
        <w:rPr>
          <w:rFonts w:ascii="Times New Roman" w:hAnsi="Times New Roman"/>
          <w:b w:val="0"/>
          <w:i w:val="0"/>
          <w:sz w:val="24"/>
        </w:rPr>
        <w:t>. Formally modeled as:</w:t>
      </w:r>
    </w:p>
    <w:p>
      <w:pPr>
        <w:spacing w:line="480" w:lineRule="auto" w:before="0" w:after="0"/>
        <w:ind w:firstLine="720"/>
      </w:pPr>
      <w:r>
        <w:rPr>
          <w:rFonts w:ascii="Times New Roman" w:hAnsi="Times New Roman"/>
          <w:b w:val="0"/>
          <w:i w:val="0"/>
          <w:sz w:val="24"/>
        </w:rPr>
        <w:t>$$\text{DPPTI}_t = w_1 \cdot \left(\frac{\text{Trust}_t}{\text{Trust}_t + \text{Disgust}_t + \epsilon}\right) + w_2 \cdot (1 - Q_t) + w_3 \cdot R_t + w_4 \cdot \text{NetValence}_t$$</w:t>
      </w:r>
    </w:p>
    <w:p>
      <w:pPr>
        <w:spacing w:line="480" w:lineRule="auto" w:before="0" w:after="0"/>
        <w:ind w:firstLine="720"/>
      </w:pPr>
      <w:r>
        <w:rPr>
          <w:rFonts w:ascii="Times New Roman" w:hAnsi="Times New Roman"/>
          <w:b w:val="0"/>
          <w:i w:val="0"/>
          <w:sz w:val="24"/>
        </w:rP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line="480" w:lineRule="auto" w:before="200" w:after="60"/>
        <w:ind w:firstLine="0"/>
        <w:jc w:val="left"/>
      </w:pPr>
      <w:r>
        <w:rPr>
          <w:rFonts w:ascii="Times New Roman" w:hAnsi="Times New Roman"/>
          <w:b/>
          <w:i/>
          <w:sz w:val="24"/>
        </w:rPr>
        <w:t>5. Algorithmic Epistemic Governance and LLM Audit Experiments</w:t>
      </w:r>
    </w:p>
    <w:p>
      <w:pPr>
        <w:spacing w:line="480" w:lineRule="auto" w:before="0" w:after="0"/>
        <w:ind w:firstLine="720"/>
      </w:pPr>
      <w:r>
        <w:rPr>
          <w:rFonts w:ascii="Times New Roman" w:hAnsi="Times New Roman"/>
          <w:b w:val="0"/>
          <w:i w:val="0"/>
          <w:sz w:val="24"/>
        </w:rPr>
        <w:t xml:space="preserve">Given the unprecedented centrality of </w:t>
      </w:r>
      <w:r>
        <w:rPr>
          <w:rFonts w:ascii="Courier New" w:hAnsi="Courier New"/>
          <w:sz w:val="23"/>
        </w:rPr>
        <w:t>@grok</w:t>
      </w:r>
      <w:r>
        <w:rPr>
          <w:rFonts w:ascii="Times New Roman" w:hAnsi="Times New Roman"/>
          <w:b w:val="0"/>
          <w:i w:val="0"/>
          <w:sz w:val="24"/>
        </w:rP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line="480" w:lineRule="auto" w:before="0" w:after="0"/>
        <w:ind w:firstLine="720"/>
      </w:pPr>
      <w:r>
        <w:rPr>
          <w:rFonts w:ascii="Times New Roman" w:hAnsi="Times New Roman"/>
          <w:b w:val="0"/>
          <w:i w:val="0"/>
          <w:sz w:val="24"/>
        </w:rPr>
        <w:t>Ultimately, this study demonstrates that when a modern state launches a multi-trillion-rupiah public policy, the success of the intervention depends not only on fiscal arithmetic, but on the integrity of the phygital encounter. In the digital age, a government cannot nourish the bodies of its children while starving the communicative trust of its citizens.</w:t>
      </w:r>
    </w:p>
    <w:p>
      <w:pPr>
        <w:spacing w:line="480" w:lineRule="auto" w:before="360" w:after="120"/>
        <w:jc w:val="center"/>
      </w:pPr>
      <w:r>
        <w:rPr>
          <w:rFonts w:ascii="Times New Roman" w:hAnsi="Times New Roman"/>
          <w:b/>
          <w:i w:val="0"/>
          <w:sz w:val="28"/>
        </w:rPr>
        <w:t>Funding and Conflicts of Interest</w:t>
      </w:r>
    </w:p>
    <w:p>
      <w:pPr>
        <w:spacing w:line="480" w:lineRule="auto" w:before="0" w:after="0"/>
        <w:ind w:firstLine="720"/>
      </w:pPr>
      <w:r>
        <w:rPr>
          <w:rFonts w:ascii="Times New Roman" w:hAnsi="Times New Roman"/>
          <w:b w:val="0"/>
          <w:i w:val="0"/>
          <w:sz w:val="24"/>
        </w:rPr>
        <w:t>This research received no external financial grants. The author declares no commercial, financial, or institutional conflicts of interest.</w:t>
      </w:r>
    </w:p>
    <w:p>
      <w:pPr>
        <w:spacing w:line="480" w:lineRule="auto" w:before="360" w:after="120"/>
        <w:jc w:val="center"/>
      </w:pPr>
      <w:r>
        <w:rPr>
          <w:rFonts w:ascii="Times New Roman" w:hAnsi="Times New Roman"/>
          <w:b/>
          <w:i w:val="0"/>
          <w:sz w:val="28"/>
        </w:rPr>
        <w:t>Data and Code Availability Statement</w:t>
      </w:r>
    </w:p>
    <w:p>
      <w:pPr>
        <w:spacing w:line="480" w:lineRule="auto" w:before="0" w:after="0"/>
        <w:ind w:firstLine="720"/>
      </w:pPr>
      <w:r>
        <w:rPr>
          <w:rFonts w:ascii="Times New Roman" w:hAnsi="Times New Roman"/>
          <w:b w:val="0"/>
          <w:i w:val="0"/>
          <w:sz w:val="24"/>
        </w:rPr>
        <w:t>Anonymized network interaction edge lists, trained IndoBERT model checkpoints, ABSA aspect dictionaries, and Python extraction scripts are deposited in an open-access Zenodo/GitHub repository (DOI pending peer-review completion). Raw tweet text containing personally identifying metadata has been withheld to ensure absolute compliance with platform terms of service and international human subject privacy protocols.</w:t>
      </w:r>
    </w:p>
    <w:p>
      <w:pPr>
        <w:spacing w:line="480" w:lineRule="auto" w:before="360" w:after="120"/>
        <w:jc w:val="center"/>
      </w:pPr>
      <w:r>
        <w:rPr>
          <w:rFonts w:ascii="Times New Roman" w:hAnsi="Times New Roman"/>
          <w:b/>
          <w:i w:val="0"/>
          <w:sz w:val="28"/>
        </w:rPr>
        <w:t>References</w:t>
      </w:r>
    </w:p>
    <w:p>
      <w:pPr>
        <w:spacing w:line="360" w:lineRule="auto" w:after="80"/>
        <w:ind w:left="720" w:hanging="720"/>
      </w:pPr>
      <w:r>
        <w:rPr>
          <w:rFonts w:ascii="Times New Roman" w:hAnsi="Times New Roman"/>
          <w:b w:val="0"/>
          <w:i w:val="0"/>
          <w:sz w:val="22"/>
        </w:rPr>
        <w:t xml:space="preserve">Albertson, B., &amp; Gadarian, S. K. (2015). </w:t>
      </w:r>
      <w:r>
        <w:rPr>
          <w:rFonts w:ascii="Times New Roman" w:hAnsi="Times New Roman"/>
          <w:b w:val="0"/>
          <w:i/>
          <w:sz w:val="22"/>
        </w:rPr>
        <w:t>Anxious politics: Democratic citizenship in a threatening world</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80"/>
        <w:ind w:left="720" w:hanging="720"/>
      </w:pPr>
      <w:r>
        <w:rPr>
          <w:rFonts w:ascii="Times New Roman" w:hAnsi="Times New Roman"/>
          <w:b w:val="0"/>
          <w:i w:val="0"/>
          <w:sz w:val="22"/>
        </w:rPr>
        <w:t xml:space="preserve">Attardo, S. (2000). Irony markers and humor. </w:t>
      </w:r>
      <w:r>
        <w:rPr>
          <w:rFonts w:ascii="Times New Roman" w:hAnsi="Times New Roman"/>
          <w:b w:val="0"/>
          <w:i/>
          <w:sz w:val="22"/>
        </w:rPr>
        <w:t>Humor: International Journal of Humor Research</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(2), 217–236. https://doi.org/10.1515/humr.2000.13.2.217</w:t>
      </w:r>
    </w:p>
    <w:p>
      <w:pPr>
        <w:spacing w:line="360" w:lineRule="auto" w:after="8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80"/>
        <w:ind w:left="720" w:hanging="720"/>
      </w:pPr>
      <w:r>
        <w:rPr>
          <w:rFonts w:ascii="Times New Roman" w:hAnsi="Times New Roman"/>
          <w:b w:val="0"/>
          <w:i w:val="0"/>
          <w:sz w:val="22"/>
        </w:rPr>
        <w:t xml:space="preserve">Barberá, P., Wang, N., Bonneau, R., Jost, J. T., Nagler, J., Sanovich, S., &amp; Tucker, J. A. (2015). The critical periphery in the growth of social media protests. </w:t>
      </w:r>
      <w:r>
        <w:rPr>
          <w:rFonts w:ascii="Times New Roman" w:hAnsi="Times New Roman"/>
          <w:b w:val="0"/>
          <w:i/>
          <w:sz w:val="22"/>
        </w:rPr>
        <w:t>PLOS ONE</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(11), e0143611.</w:t>
      </w:r>
    </w:p>
    <w:p>
      <w:pPr>
        <w:spacing w:line="360" w:lineRule="auto" w:after="8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w:t>
      </w:r>
    </w:p>
    <w:p>
      <w:pPr>
        <w:spacing w:line="360" w:lineRule="auto" w:after="80"/>
        <w:ind w:left="720" w:hanging="720"/>
      </w:pPr>
      <w:r>
        <w:rPr>
          <w:rFonts w:ascii="Times New Roman" w:hAnsi="Times New Roman"/>
          <w:b w:val="0"/>
          <w:i w:val="0"/>
          <w:sz w:val="22"/>
        </w:rPr>
        <w:t xml:space="preserve">BGN. (2026). </w:t>
      </w:r>
      <w:r>
        <w:rPr>
          <w:rFonts w:ascii="Times New Roman" w:hAnsi="Times New Roman"/>
          <w:b w:val="0"/>
          <w:i/>
          <w:sz w:val="22"/>
        </w:rPr>
        <w:t>Coordination meeting on MBG public communication strengthening, Bekasi, April 6, 2026</w:t>
      </w:r>
      <w:r>
        <w:rPr>
          <w:rFonts w:ascii="Times New Roman" w:hAnsi="Times New Roman"/>
          <w:b w:val="0"/>
          <w:i w:val="0"/>
          <w:sz w:val="22"/>
        </w:rPr>
        <w:t>. Bureau of Legal Affairs and Public Relations, National Nutrition Agency (</w:t>
      </w:r>
      <w:r>
        <w:rPr>
          <w:rFonts w:ascii="Times New Roman" w:hAnsi="Times New Roman"/>
          <w:b w:val="0"/>
          <w:i/>
          <w:sz w:val="22"/>
        </w:rPr>
        <w:t>Badan Gizi Nasional</w:t>
      </w:r>
      <w:r>
        <w:rPr>
          <w:rFonts w:ascii="Times New Roman" w:hAnsi="Times New Roman"/>
          <w:b w:val="0"/>
          <w:i w:val="0"/>
          <w:sz w:val="22"/>
        </w:rPr>
        <w:t>).</w:t>
      </w:r>
    </w:p>
    <w:p>
      <w:pPr>
        <w:spacing w:line="360" w:lineRule="auto" w:after="8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w:t>
      </w:r>
    </w:p>
    <w:p>
      <w:pPr>
        <w:spacing w:line="360" w:lineRule="auto" w:after="8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8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w:t>
      </w:r>
    </w:p>
    <w:p>
      <w:pPr>
        <w:spacing w:line="360" w:lineRule="auto" w:after="80"/>
        <w:ind w:left="720" w:hanging="720"/>
      </w:pPr>
      <w:r>
        <w:rPr>
          <w:rFonts w:ascii="Times New Roman" w:hAnsi="Times New Roman"/>
          <w:b w:val="0"/>
          <w:i w:val="0"/>
          <w:sz w:val="22"/>
        </w:rPr>
        <w:t xml:space="preserve">Camp, E. (2012). Sarcasm, pretense, and the semantics/pragmatics distinction. </w:t>
      </w:r>
      <w:r>
        <w:rPr>
          <w:rFonts w:ascii="Times New Roman" w:hAnsi="Times New Roman"/>
          <w:b w:val="0"/>
          <w:i/>
          <w:sz w:val="22"/>
        </w:rPr>
        <w:t>Noûs</w:t>
      </w:r>
      <w:r>
        <w:rPr>
          <w:rFonts w:ascii="Times New Roman" w:hAnsi="Times New Roman"/>
          <w:b w:val="0"/>
          <w:i w:val="0"/>
          <w:sz w:val="22"/>
        </w:rPr>
        <w:t xml:space="preserve">, </w:t>
      </w:r>
      <w:r>
        <w:rPr>
          <w:rFonts w:ascii="Times New Roman" w:hAnsi="Times New Roman"/>
          <w:b w:val="0"/>
          <w:i/>
          <w:sz w:val="22"/>
        </w:rPr>
        <w:t>46</w:t>
      </w:r>
      <w:r>
        <w:rPr>
          <w:rFonts w:ascii="Times New Roman" w:hAnsi="Times New Roman"/>
          <w:b w:val="0"/>
          <w:i w:val="0"/>
          <w:sz w:val="22"/>
        </w:rPr>
        <w:t>(4), 587–634. https://doi.org/10.1111/j.1468-0068.2010.00822.x</w:t>
      </w:r>
    </w:p>
    <w:p>
      <w:pPr>
        <w:spacing w:line="360" w:lineRule="auto" w:after="80"/>
        <w:ind w:left="720" w:hanging="720"/>
      </w:pPr>
      <w:r>
        <w:rPr>
          <w:rFonts w:ascii="Times New Roman" w:hAnsi="Times New Roman"/>
          <w:b w:val="0"/>
          <w:i w:val="0"/>
          <w:sz w:val="22"/>
        </w:rPr>
        <w:t xml:space="preserve">Clauset, A., Shalizi, C. R., &amp; Newman, M. E. (2009). Power-law distributions in empirical data. </w:t>
      </w:r>
      <w:r>
        <w:rPr>
          <w:rFonts w:ascii="Times New Roman" w:hAnsi="Times New Roman"/>
          <w:b w:val="0"/>
          <w:i/>
          <w:sz w:val="22"/>
        </w:rPr>
        <w:t>SIAM Review</w:t>
      </w:r>
      <w:r>
        <w:rPr>
          <w:rFonts w:ascii="Times New Roman" w:hAnsi="Times New Roman"/>
          <w:b w:val="0"/>
          <w:i w:val="0"/>
          <w:sz w:val="22"/>
        </w:rPr>
        <w:t xml:space="preserve">, </w:t>
      </w:r>
      <w:r>
        <w:rPr>
          <w:rFonts w:ascii="Times New Roman" w:hAnsi="Times New Roman"/>
          <w:b w:val="0"/>
          <w:i/>
          <w:sz w:val="22"/>
        </w:rPr>
        <w:t>51</w:t>
      </w:r>
      <w:r>
        <w:rPr>
          <w:rFonts w:ascii="Times New Roman" w:hAnsi="Times New Roman"/>
          <w:b w:val="0"/>
          <w:i w:val="0"/>
          <w:sz w:val="22"/>
        </w:rPr>
        <w:t>(4), 661–703.</w:t>
      </w:r>
    </w:p>
    <w:p>
      <w:pPr>
        <w:spacing w:line="360" w:lineRule="auto" w:after="80"/>
        <w:ind w:left="720" w:hanging="720"/>
      </w:pPr>
      <w:r>
        <w:rPr>
          <w:rFonts w:ascii="Times New Roman" w:hAnsi="Times New Roman"/>
          <w:b w:val="0"/>
          <w:i w:val="0"/>
          <w:sz w:val="22"/>
        </w:rPr>
        <w:t xml:space="preserve">Conover, M. D., Ratkiewicz, J., Francisco, M. R., Gonçalves, B., Menczer, F., &amp; Flammini, A. (2011). Political polarization on Twitter. </w:t>
      </w:r>
      <w:r>
        <w:rPr>
          <w:rFonts w:ascii="Times New Roman" w:hAnsi="Times New Roman"/>
          <w:b w:val="0"/>
          <w:i/>
          <w:sz w:val="22"/>
        </w:rPr>
        <w:t>Proceedings of the International AAAI Conference on Web and Social Media</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89–96.</w:t>
      </w:r>
    </w:p>
    <w:p>
      <w:pPr>
        <w:spacing w:line="360" w:lineRule="auto" w:after="80"/>
        <w:ind w:left="720" w:hanging="720"/>
      </w:pPr>
      <w:r>
        <w:rPr>
          <w:rFonts w:ascii="Times New Roman" w:hAnsi="Times New Roman"/>
          <w:b w:val="0"/>
          <w:i w:val="0"/>
          <w:sz w:val="22"/>
        </w:rPr>
        <w:t xml:space="preserve">Covello, V. T., von Winterfeldt, D., &amp; Slovic, P. (1986). Risk communication: A review of the literature. </w:t>
      </w:r>
      <w:r>
        <w:rPr>
          <w:rFonts w:ascii="Times New Roman" w:hAnsi="Times New Roman"/>
          <w:b w:val="0"/>
          <w:i/>
          <w:sz w:val="22"/>
        </w:rPr>
        <w:t>Risk Abstracts</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(4), 171–182.</w:t>
      </w:r>
    </w:p>
    <w:p>
      <w:pPr>
        <w:spacing w:line="360" w:lineRule="auto" w:after="80"/>
        <w:ind w:left="720" w:hanging="720"/>
      </w:pPr>
      <w:r>
        <w:rPr>
          <w:rFonts w:ascii="Times New Roman" w:hAnsi="Times New Roman"/>
          <w:b w:val="0"/>
          <w:i w:val="0"/>
          <w:sz w:val="22"/>
        </w:rPr>
        <w:t xml:space="preserve">Devlin, J., Chang, M.-W., Lee, K., &amp; Toutanova, K. (2019). BERT: Pre-training of deep bidirectional transformers for language understanding. </w:t>
      </w:r>
      <w:r>
        <w:rPr>
          <w:rFonts w:ascii="Times New Roman" w:hAnsi="Times New Roman"/>
          <w:b w:val="0"/>
          <w:i/>
          <w:sz w:val="22"/>
        </w:rPr>
        <w:t>Proceedings of NAACL-HLT 2019</w:t>
      </w:r>
      <w:r>
        <w:rPr>
          <w:rFonts w:ascii="Times New Roman" w:hAnsi="Times New Roman"/>
          <w:b w:val="0"/>
          <w:i w:val="0"/>
          <w:sz w:val="22"/>
        </w:rPr>
        <w:t>, 4171–4186.</w:t>
      </w:r>
    </w:p>
    <w:p>
      <w:pPr>
        <w:spacing w:line="360" w:lineRule="auto" w:after="8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w:t>
      </w:r>
    </w:p>
    <w:p>
      <w:pPr>
        <w:spacing w:line="360" w:lineRule="auto" w:after="8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8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w:t>
      </w:r>
    </w:p>
    <w:p>
      <w:pPr>
        <w:spacing w:line="360" w:lineRule="auto" w:after="80"/>
        <w:ind w:left="720" w:hanging="720"/>
      </w:pPr>
      <w:r>
        <w:rPr>
          <w:rFonts w:ascii="Times New Roman" w:hAnsi="Times New Roman"/>
          <w:b w:val="0"/>
          <w:i w:val="0"/>
          <w:sz w:val="22"/>
        </w:rPr>
        <w:t xml:space="preserve">Erdős, P., &amp; Rényi, A. (1960). On the evolution of random graphs. </w:t>
      </w:r>
      <w:r>
        <w:rPr>
          <w:rFonts w:ascii="Times New Roman" w:hAnsi="Times New Roman"/>
          <w:b w:val="0"/>
          <w:i/>
          <w:sz w:val="22"/>
        </w:rPr>
        <w:t>Publications of the Mathematical Institute of the Hungarian Academy of Sciences</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17–60.</w:t>
      </w:r>
    </w:p>
    <w:p>
      <w:pPr>
        <w:spacing w:line="360" w:lineRule="auto" w:after="80"/>
        <w:ind w:left="720" w:hanging="720"/>
      </w:pPr>
      <w:r>
        <w:rPr>
          <w:rFonts w:ascii="Times New Roman" w:hAnsi="Times New Roman"/>
          <w:b w:val="0"/>
          <w:i w:val="0"/>
          <w:sz w:val="22"/>
        </w:rPr>
        <w:t xml:space="preserve">Freeman, L. C. (1979). Centrality in social networks: Conceptual clarification.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1</w:t>
      </w:r>
      <w:r>
        <w:rPr>
          <w:rFonts w:ascii="Times New Roman" w:hAnsi="Times New Roman"/>
          <w:b w:val="0"/>
          <w:i w:val="0"/>
          <w:sz w:val="22"/>
        </w:rPr>
        <w:t>(3), 215–239.</w:t>
      </w:r>
    </w:p>
    <w:p>
      <w:pPr>
        <w:spacing w:line="360" w:lineRule="auto" w:after="80"/>
        <w:ind w:left="720" w:hanging="720"/>
      </w:pPr>
      <w:r>
        <w:rPr>
          <w:rFonts w:ascii="Times New Roman" w:hAnsi="Times New Roman"/>
          <w:b w:val="0"/>
          <w:i w:val="0"/>
          <w:sz w:val="22"/>
        </w:rPr>
        <w:t xml:space="preserve">Gibbs, R. W. (2000). Irony in talk among friends. </w:t>
      </w:r>
      <w:r>
        <w:rPr>
          <w:rFonts w:ascii="Times New Roman" w:hAnsi="Times New Roman"/>
          <w:b w:val="0"/>
          <w:i/>
          <w:sz w:val="22"/>
        </w:rPr>
        <w:t>Metaphor and Symbol</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(1–2), 5–27.</w:t>
      </w:r>
    </w:p>
    <w:p>
      <w:pPr>
        <w:spacing w:line="360" w:lineRule="auto" w:after="80"/>
        <w:ind w:left="720" w:hanging="720"/>
      </w:pPr>
      <w:r>
        <w:rPr>
          <w:rFonts w:ascii="Times New Roman" w:hAnsi="Times New Roman"/>
          <w:b w:val="0"/>
          <w:i w:val="0"/>
          <w:sz w:val="22"/>
        </w:rPr>
        <w:t xml:space="preserve">Giora, R. (2003). </w:t>
      </w:r>
      <w:r>
        <w:rPr>
          <w:rFonts w:ascii="Times New Roman" w:hAnsi="Times New Roman"/>
          <w:b w:val="0"/>
          <w:i/>
          <w:sz w:val="22"/>
        </w:rPr>
        <w:t>On our mind: Salience, context, and figurative language</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Grice, H. P. (1975). Logic and conversation. In P. Cole &amp; J. Morgan (Eds.), </w:t>
      </w:r>
      <w:r>
        <w:rPr>
          <w:rFonts w:ascii="Times New Roman" w:hAnsi="Times New Roman"/>
          <w:b w:val="0"/>
          <w:i/>
          <w:sz w:val="22"/>
        </w:rPr>
        <w:t>Syntax and semantics, vol. 3: Speech acts</w:t>
      </w:r>
      <w:r>
        <w:rPr>
          <w:rFonts w:ascii="Times New Roman" w:hAnsi="Times New Roman"/>
          <w:b w:val="0"/>
          <w:i w:val="0"/>
          <w:sz w:val="22"/>
        </w:rPr>
        <w:t xml:space="preserve"> (pp. 41–58). Academic Press.</w:t>
      </w:r>
    </w:p>
    <w:p>
      <w:pPr>
        <w:spacing w:line="360" w:lineRule="auto" w:after="80"/>
        <w:ind w:left="720" w:hanging="720"/>
      </w:pPr>
      <w:r>
        <w:rPr>
          <w:rFonts w:ascii="Times New Roman" w:hAnsi="Times New Roman"/>
          <w:b w:val="0"/>
          <w:i w:val="0"/>
          <w:sz w:val="22"/>
        </w:rPr>
        <w:t xml:space="preserve">Hagberg, A. A., Schult, D. A., &amp; Swart, P. J. (2008). Exploring network structure, dynamics, and function using NetworkX. </w:t>
      </w:r>
      <w:r>
        <w:rPr>
          <w:rFonts w:ascii="Times New Roman" w:hAnsi="Times New Roman"/>
          <w:b w:val="0"/>
          <w:i/>
          <w:sz w:val="22"/>
        </w:rPr>
        <w:t>Proceedings of the 7th Python in Science Conference</w:t>
      </w:r>
      <w:r>
        <w:rPr>
          <w:rFonts w:ascii="Times New Roman" w:hAnsi="Times New Roman"/>
          <w:b w:val="0"/>
          <w:i w:val="0"/>
          <w:sz w:val="22"/>
        </w:rPr>
        <w:t>, 11–15.</w:t>
      </w:r>
    </w:p>
    <w:p>
      <w:pPr>
        <w:spacing w:line="360" w:lineRule="auto" w:after="80"/>
        <w:ind w:left="720" w:hanging="720"/>
      </w:pPr>
      <w:r>
        <w:rPr>
          <w:rFonts w:ascii="Times New Roman" w:hAnsi="Times New Roman"/>
          <w:b w:val="0"/>
          <w:i w:val="0"/>
          <w:sz w:val="22"/>
        </w:rPr>
        <w:t xml:space="preserve">Horton, D., &amp; Wohl, R. R. (1956). Mass communication and para-social interaction: Observations on intimacy at a distance. </w:t>
      </w:r>
      <w:r>
        <w:rPr>
          <w:rFonts w:ascii="Times New Roman" w:hAnsi="Times New Roman"/>
          <w:b w:val="0"/>
          <w:i/>
          <w:sz w:val="22"/>
        </w:rPr>
        <w:t>Psychiatry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215–229.</w:t>
      </w:r>
    </w:p>
    <w:p>
      <w:pPr>
        <w:spacing w:line="360" w:lineRule="auto" w:after="80"/>
        <w:ind w:left="720" w:hanging="720"/>
      </w:pPr>
      <w:r>
        <w:rPr>
          <w:rFonts w:ascii="Times New Roman" w:hAnsi="Times New Roman"/>
          <w:b w:val="0"/>
          <w:i w:val="0"/>
          <w:sz w:val="22"/>
        </w:rPr>
        <w:t xml:space="preserve">Iyengar, S., Lelkes, Y., Levendusky, M., Malhotra, N., &amp; Westwood, S. J. (2019). The origins and consequences of affective polarization in the United States.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 129–146.</w:t>
      </w:r>
    </w:p>
    <w:p>
      <w:pPr>
        <w:spacing w:line="360" w:lineRule="auto" w:after="80"/>
        <w:ind w:left="720" w:hanging="720"/>
      </w:pPr>
      <w:r>
        <w:rPr>
          <w:rFonts w:ascii="Times New Roman" w:hAnsi="Times New Roman"/>
          <w:b w:val="0"/>
          <w:i w:val="0"/>
          <w:sz w:val="22"/>
        </w:rPr>
        <w:t xml:space="preserve">Jamieson, K. H., &amp; Cappella, J. N. (2008). </w:t>
      </w:r>
      <w:r>
        <w:rPr>
          <w:rFonts w:ascii="Times New Roman" w:hAnsi="Times New Roman"/>
          <w:b w:val="0"/>
          <w:i/>
          <w:sz w:val="22"/>
        </w:rPr>
        <w:t>Echo chamber: Rush Limbaugh and the conservative media establishment</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80"/>
        <w:ind w:left="720" w:hanging="720"/>
      </w:pPr>
      <w:r>
        <w:rPr>
          <w:rFonts w:ascii="Times New Roman" w:hAnsi="Times New Roman"/>
          <w:b w:val="0"/>
          <w:i w:val="0"/>
          <w:sz w:val="22"/>
        </w:rPr>
        <w:t xml:space="preserve">Kotler, P., &amp; Lee, N. R. (2007). </w:t>
      </w:r>
      <w:r>
        <w:rPr>
          <w:rFonts w:ascii="Times New Roman" w:hAnsi="Times New Roman"/>
          <w:b w:val="0"/>
          <w:i/>
          <w:sz w:val="22"/>
        </w:rPr>
        <w:t>Marketing in the public sector: A roadmap for improved performance</w:t>
      </w:r>
      <w:r>
        <w:rPr>
          <w:rFonts w:ascii="Times New Roman" w:hAnsi="Times New Roman"/>
          <w:b w:val="0"/>
          <w:i w:val="0"/>
          <w:sz w:val="22"/>
        </w:rPr>
        <w:t>. Wharton School Publishing.</w:t>
      </w:r>
    </w:p>
    <w:p>
      <w:pPr>
        <w:spacing w:line="360" w:lineRule="auto" w:after="80"/>
        <w:ind w:left="720" w:hanging="720"/>
      </w:pPr>
      <w:r>
        <w:rPr>
          <w:rFonts w:ascii="Times New Roman" w:hAnsi="Times New Roman"/>
          <w:b w:val="0"/>
          <w:i w:val="0"/>
          <w:sz w:val="22"/>
        </w:rPr>
        <w:t xml:space="preserve">Lazer, D., Pentland, A., Adamic, L., Aral, S., Barabási, A.-L., Brewer, D., ... &amp; Van Alstyne, M. (2009). Computational social science.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323</w:t>
      </w:r>
      <w:r>
        <w:rPr>
          <w:rFonts w:ascii="Times New Roman" w:hAnsi="Times New Roman"/>
          <w:b w:val="0"/>
          <w:i w:val="0"/>
          <w:sz w:val="22"/>
        </w:rPr>
        <w:t>(5915), 721–723.</w:t>
      </w:r>
    </w:p>
    <w:p>
      <w:pPr>
        <w:spacing w:line="360" w:lineRule="auto" w:after="80"/>
        <w:ind w:left="720" w:hanging="720"/>
      </w:pPr>
      <w:r>
        <w:rPr>
          <w:rFonts w:ascii="Times New Roman" w:hAnsi="Times New Roman"/>
          <w:b w:val="0"/>
          <w:i w:val="0"/>
          <w:sz w:val="22"/>
        </w:rPr>
        <w:t xml:space="preserve">Lazer, D. M., Pentland, A., Watts, D. J., Aral, S., Aral, S., ...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w:t>
      </w:r>
    </w:p>
    <w:p>
      <w:pPr>
        <w:spacing w:line="360" w:lineRule="auto" w:after="80"/>
        <w:ind w:left="720" w:hanging="720"/>
      </w:pPr>
      <w:r>
        <w:rPr>
          <w:rFonts w:ascii="Times New Roman" w:hAnsi="Times New Roman"/>
          <w:b w:val="0"/>
          <w:i w:val="0"/>
          <w:sz w:val="22"/>
        </w:rPr>
        <w:t xml:space="preserve">Levi, M., &amp; Stoker, L. (2000). Political trust and trustworthiness.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(1), 475–507.</w:t>
      </w:r>
    </w:p>
    <w:p>
      <w:pPr>
        <w:spacing w:line="360" w:lineRule="auto" w:after="8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w:t>
      </w:r>
    </w:p>
    <w:p>
      <w:pPr>
        <w:spacing w:line="360" w:lineRule="auto" w:after="80"/>
        <w:ind w:left="720" w:hanging="720"/>
      </w:pPr>
      <w:r>
        <w:rPr>
          <w:rFonts w:ascii="Times New Roman" w:hAnsi="Times New Roman"/>
          <w:b w:val="0"/>
          <w:i w:val="0"/>
          <w:sz w:val="22"/>
        </w:rPr>
        <w:t xml:space="preserve">Newman, M. E. (2002). Assortative mixing in networks. </w:t>
      </w:r>
      <w:r>
        <w:rPr>
          <w:rFonts w:ascii="Times New Roman" w:hAnsi="Times New Roman"/>
          <w:b w:val="0"/>
          <w:i/>
          <w:sz w:val="22"/>
        </w:rPr>
        <w:t>Physical Review Letters</w:t>
      </w:r>
      <w:r>
        <w:rPr>
          <w:rFonts w:ascii="Times New Roman" w:hAnsi="Times New Roman"/>
          <w:b w:val="0"/>
          <w:i w:val="0"/>
          <w:sz w:val="22"/>
        </w:rPr>
        <w:t xml:space="preserve">, </w:t>
      </w:r>
      <w:r>
        <w:rPr>
          <w:rFonts w:ascii="Times New Roman" w:hAnsi="Times New Roman"/>
          <w:b w:val="0"/>
          <w:i/>
          <w:sz w:val="22"/>
        </w:rPr>
        <w:t>89</w:t>
      </w:r>
      <w:r>
        <w:rPr>
          <w:rFonts w:ascii="Times New Roman" w:hAnsi="Times New Roman"/>
          <w:b w:val="0"/>
          <w:i w:val="0"/>
          <w:sz w:val="22"/>
        </w:rPr>
        <w:t>(20), 208701.</w:t>
      </w:r>
    </w:p>
    <w:p>
      <w:pPr>
        <w:spacing w:line="360" w:lineRule="auto" w:after="80"/>
        <w:ind w:left="720" w:hanging="720"/>
      </w:pPr>
      <w:r>
        <w:rPr>
          <w:rFonts w:ascii="Times New Roman" w:hAnsi="Times New Roman"/>
          <w:b w:val="0"/>
          <w:i w:val="0"/>
          <w:sz w:val="22"/>
        </w:rPr>
        <w:t xml:space="preserve">Newman, M. E. (2006). Modularity and community structure in networks. </w:t>
      </w:r>
      <w:r>
        <w:rPr>
          <w:rFonts w:ascii="Times New Roman" w:hAnsi="Times New Roman"/>
          <w:b w:val="0"/>
          <w:i/>
          <w:sz w:val="22"/>
        </w:rPr>
        <w:t>Proceedings of the National Academy of Sciences</w:t>
      </w:r>
      <w:r>
        <w:rPr>
          <w:rFonts w:ascii="Times New Roman" w:hAnsi="Times New Roman"/>
          <w:b w:val="0"/>
          <w:i w:val="0"/>
          <w:sz w:val="22"/>
        </w:rPr>
        <w:t xml:space="preserve">, </w:t>
      </w:r>
      <w:r>
        <w:rPr>
          <w:rFonts w:ascii="Times New Roman" w:hAnsi="Times New Roman"/>
          <w:b w:val="0"/>
          <w:i/>
          <w:sz w:val="22"/>
        </w:rPr>
        <w:t>103</w:t>
      </w:r>
      <w:r>
        <w:rPr>
          <w:rFonts w:ascii="Times New Roman" w:hAnsi="Times New Roman"/>
          <w:b w:val="0"/>
          <w:i w:val="0"/>
          <w:sz w:val="22"/>
        </w:rPr>
        <w:t>(23), 8577–8582.</w:t>
      </w:r>
    </w:p>
    <w:p>
      <w:pPr>
        <w:spacing w:line="360" w:lineRule="auto" w:after="80"/>
        <w:ind w:left="720" w:hanging="720"/>
      </w:pPr>
      <w:r>
        <w:rPr>
          <w:rFonts w:ascii="Times New Roman" w:hAnsi="Times New Roman"/>
          <w:b w:val="0"/>
          <w:i w:val="0"/>
          <w:sz w:val="22"/>
        </w:rPr>
        <w:t xml:space="preserve">Noelle-Neumann, E. (1974). The spiral of silence: A theory of public opinion. </w:t>
      </w:r>
      <w:r>
        <w:rPr>
          <w:rFonts w:ascii="Times New Roman" w:hAnsi="Times New Roman"/>
          <w:b w:val="0"/>
          <w:i/>
          <w:sz w:val="22"/>
        </w:rPr>
        <w:t>Journal of Communication</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(2), 43–51.</w:t>
      </w:r>
    </w:p>
    <w:p>
      <w:pPr>
        <w:spacing w:line="360" w:lineRule="auto" w:after="80"/>
        <w:ind w:left="720" w:hanging="720"/>
      </w:pPr>
      <w:r>
        <w:rPr>
          <w:rFonts w:ascii="Times New Roman" w:hAnsi="Times New Roman"/>
          <w:b w:val="0"/>
          <w:i w:val="0"/>
          <w:sz w:val="22"/>
        </w:rPr>
        <w:t xml:space="preserve">Plé, L., &amp; Chumpitaz Cáceres, R. (2010). Not always co-creation: Introducing interactional co-destruction of value in service-dominant logic. </w:t>
      </w:r>
      <w:r>
        <w:rPr>
          <w:rFonts w:ascii="Times New Roman" w:hAnsi="Times New Roman"/>
          <w:b w:val="0"/>
          <w:i/>
          <w:sz w:val="22"/>
        </w:rPr>
        <w:t>Journal of Services Marketing</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(6), 430–437.</w:t>
      </w:r>
    </w:p>
    <w:p>
      <w:pPr>
        <w:spacing w:line="360" w:lineRule="auto" w:after="8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w:t>
      </w:r>
    </w:p>
    <w:p>
      <w:pPr>
        <w:spacing w:line="360" w:lineRule="auto" w:after="8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the 8th International Workshop on Semantic Evaluation</w:t>
      </w:r>
      <w:r>
        <w:rPr>
          <w:rFonts w:ascii="Times New Roman" w:hAnsi="Times New Roman"/>
          <w:b w:val="0"/>
          <w:i w:val="0"/>
          <w:sz w:val="22"/>
        </w:rPr>
        <w:t>, 27–35.</w:t>
      </w:r>
    </w:p>
    <w:p>
      <w:pPr>
        <w:spacing w:line="360" w:lineRule="auto" w:after="80"/>
        <w:ind w:left="720" w:hanging="720"/>
      </w:pPr>
      <w:r>
        <w:rPr>
          <w:rFonts w:ascii="Times New Roman" w:hAnsi="Times New Roman"/>
          <w:b w:val="0"/>
          <w:i w:val="0"/>
          <w:sz w:val="22"/>
        </w:rPr>
        <w:t xml:space="preserve">Renn, O. (1992). Risk communication: Towards a rational discourse with the public. </w:t>
      </w:r>
      <w:r>
        <w:rPr>
          <w:rFonts w:ascii="Times New Roman" w:hAnsi="Times New Roman"/>
          <w:b w:val="0"/>
          <w:i/>
          <w:sz w:val="22"/>
        </w:rPr>
        <w:t>Journal of Hazardous Materials</w:t>
      </w:r>
      <w:r>
        <w:rPr>
          <w:rFonts w:ascii="Times New Roman" w:hAnsi="Times New Roman"/>
          <w:b w:val="0"/>
          <w:i w:val="0"/>
          <w:sz w:val="22"/>
        </w:rPr>
        <w:t xml:space="preserve">, </w:t>
      </w:r>
      <w:r>
        <w:rPr>
          <w:rFonts w:ascii="Times New Roman" w:hAnsi="Times New Roman"/>
          <w:b w:val="0"/>
          <w:i/>
          <w:sz w:val="22"/>
        </w:rPr>
        <w:t>29</w:t>
      </w:r>
      <w:r>
        <w:rPr>
          <w:rFonts w:ascii="Times New Roman" w:hAnsi="Times New Roman"/>
          <w:b w:val="0"/>
          <w:i w:val="0"/>
          <w:sz w:val="22"/>
        </w:rPr>
        <w:t>(3), 465–519.</w:t>
      </w:r>
    </w:p>
    <w:p>
      <w:pPr>
        <w:spacing w:line="360" w:lineRule="auto" w:after="8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80"/>
        <w:ind w:left="720" w:hanging="720"/>
      </w:pPr>
      <w:r>
        <w:rPr>
          <w:rFonts w:ascii="Times New Roman" w:hAnsi="Times New Roman"/>
          <w:b w:val="0"/>
          <w:i w:val="0"/>
          <w:sz w:val="22"/>
        </w:rPr>
        <w:t xml:space="preserve">Schultz, F., Utz, S., &amp; Göritz, A. (2011). Is the medium the message? Perceptions of and reactions to crisis communication via Twitter, blogs and traditional media. </w:t>
      </w:r>
      <w:r>
        <w:rPr>
          <w:rFonts w:ascii="Times New Roman" w:hAnsi="Times New Roman"/>
          <w:b w:val="0"/>
          <w:i/>
          <w:sz w:val="22"/>
        </w:rPr>
        <w:t>Public Relations Review</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(1), 20–27.</w:t>
      </w:r>
    </w:p>
    <w:p>
      <w:pPr>
        <w:spacing w:line="360" w:lineRule="auto" w:after="8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8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w:t>
      </w:r>
    </w:p>
    <w:p>
      <w:pPr>
        <w:spacing w:line="360" w:lineRule="auto" w:after="80"/>
        <w:ind w:left="720" w:hanging="720"/>
      </w:pPr>
      <w:r>
        <w:rPr>
          <w:rFonts w:ascii="Times New Roman" w:hAnsi="Times New Roman"/>
          <w:b w:val="0"/>
          <w:i w:val="0"/>
          <w:sz w:val="22"/>
        </w:rPr>
        <w:t xml:space="preserve">Slovic, P. (1987). Perception of risk.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236</w:t>
      </w:r>
      <w:r>
        <w:rPr>
          <w:rFonts w:ascii="Times New Roman" w:hAnsi="Times New Roman"/>
          <w:b w:val="0"/>
          <w:i w:val="0"/>
          <w:sz w:val="22"/>
        </w:rPr>
        <w:t>(4799), 280–285.</w:t>
      </w:r>
    </w:p>
    <w:p>
      <w:pPr>
        <w:spacing w:line="360" w:lineRule="auto" w:after="8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w:t>
      </w:r>
    </w:p>
    <w:p>
      <w:pPr>
        <w:spacing w:line="360" w:lineRule="auto" w:after="80"/>
        <w:ind w:left="720" w:hanging="720"/>
      </w:pPr>
      <w:r>
        <w:rPr>
          <w:rFonts w:ascii="Times New Roman" w:hAnsi="Times New Roman"/>
          <w:b w:val="0"/>
          <w:i w:val="0"/>
          <w:sz w:val="22"/>
        </w:rPr>
        <w:t xml:space="preserve">Suaib, A., &amp; Pratiwi, D. (2025). Social network analysis of political discourse on Twitter: A study of Indonesian election debates. </w:t>
      </w:r>
      <w:r>
        <w:rPr>
          <w:rFonts w:ascii="Times New Roman" w:hAnsi="Times New Roman"/>
          <w:b w:val="0"/>
          <w:i/>
          <w:sz w:val="22"/>
        </w:rPr>
        <w:t>Jurnal Komunikasi</w:t>
      </w:r>
      <w:r>
        <w:rPr>
          <w:rFonts w:ascii="Times New Roman" w:hAnsi="Times New Roman"/>
          <w:b w:val="0"/>
          <w:i w:val="0"/>
          <w:sz w:val="22"/>
        </w:rPr>
        <w:t xml:space="preserve">, </w:t>
      </w:r>
      <w:r>
        <w:rPr>
          <w:rFonts w:ascii="Times New Roman" w:hAnsi="Times New Roman"/>
          <w:b w:val="0"/>
          <w:i/>
          <w:sz w:val="22"/>
        </w:rPr>
        <w:t>17</w:t>
      </w:r>
      <w:r>
        <w:rPr>
          <w:rFonts w:ascii="Times New Roman" w:hAnsi="Times New Roman"/>
          <w:b w:val="0"/>
          <w:i w:val="0"/>
          <w:sz w:val="22"/>
        </w:rPr>
        <w:t>(1), 45–67.</w:t>
      </w:r>
    </w:p>
    <w:p>
      <w:pPr>
        <w:spacing w:line="360" w:lineRule="auto" w:after="80"/>
        <w:ind w:left="720" w:hanging="720"/>
      </w:pPr>
      <w:r>
        <w:rPr>
          <w:rFonts w:ascii="Times New Roman" w:hAnsi="Times New Roman"/>
          <w:b w:val="0"/>
          <w:i w:val="0"/>
          <w:sz w:val="22"/>
        </w:rPr>
        <w:t xml:space="preserve">Sulafasyah. (2026). Network analysis of mass food poisoning discourse in MBG program on Twitter. </w:t>
      </w:r>
      <w:r>
        <w:rPr>
          <w:rFonts w:ascii="Times New Roman" w:hAnsi="Times New Roman"/>
          <w:b w:val="0"/>
          <w:i/>
          <w:sz w:val="22"/>
        </w:rPr>
        <w:t>Komunikasi Indonesia</w:t>
      </w:r>
      <w:r>
        <w:rPr>
          <w:rFonts w:ascii="Times New Roman" w:hAnsi="Times New Roman"/>
          <w:b w:val="0"/>
          <w:i w:val="0"/>
          <w:sz w:val="22"/>
        </w:rPr>
        <w:t xml:space="preserve">, </w:t>
      </w:r>
      <w:r>
        <w:rPr>
          <w:rFonts w:ascii="Times New Roman" w:hAnsi="Times New Roman"/>
          <w:b w:val="0"/>
          <w:i/>
          <w:sz w:val="22"/>
        </w:rPr>
        <w:t>4</w:t>
      </w:r>
      <w:r>
        <w:rPr>
          <w:rFonts w:ascii="Times New Roman" w:hAnsi="Times New Roman"/>
          <w:b w:val="0"/>
          <w:i w:val="0"/>
          <w:sz w:val="22"/>
        </w:rPr>
        <w:t>(1), 12–29.</w:t>
      </w:r>
    </w:p>
    <w:p>
      <w:pPr>
        <w:spacing w:line="360" w:lineRule="auto" w:after="8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w:t>
      </w:r>
    </w:p>
    <w:p>
      <w:pPr>
        <w:spacing w:line="360" w:lineRule="auto" w:after="80"/>
        <w:ind w:left="720" w:hanging="720"/>
      </w:pPr>
      <w:r>
        <w:rPr>
          <w:rFonts w:ascii="Times New Roman" w:hAnsi="Times New Roman"/>
          <w:b w:val="0"/>
          <w:i w:val="0"/>
          <w:sz w:val="22"/>
        </w:rPr>
        <w:t xml:space="preserve">Sunstein, C. R. (2001). </w:t>
      </w:r>
      <w:r>
        <w:rPr>
          <w:rFonts w:ascii="Times New Roman" w:hAnsi="Times New Roman"/>
          <w:b w:val="0"/>
          <w:i/>
          <w:sz w:val="22"/>
        </w:rPr>
        <w:t>Echo chambers: Bush v. Gore, impeachment, and beyond</w:t>
      </w:r>
      <w:r>
        <w:rPr>
          <w:rFonts w:ascii="Times New Roman" w:hAnsi="Times New Roman"/>
          <w:b w:val="0"/>
          <w:i w:val="0"/>
          <w:sz w:val="22"/>
        </w:rPr>
        <w:t>. Princeton University Press.</w:t>
      </w:r>
    </w:p>
    <w:p>
      <w:pPr>
        <w:spacing w:line="360" w:lineRule="auto" w:after="80"/>
        <w:ind w:left="720" w:hanging="720"/>
      </w:pPr>
      <w:r>
        <w:rPr>
          <w:rFonts w:ascii="Times New Roman" w:hAnsi="Times New Roman"/>
          <w:b w:val="0"/>
          <w:i w:val="0"/>
          <w:sz w:val="22"/>
        </w:rPr>
        <w:t xml:space="preserve">Vargo, S. L., &amp; Lusch, R. F. (2004). Evolving to a new dominant logic for marketing. </w:t>
      </w:r>
      <w:r>
        <w:rPr>
          <w:rFonts w:ascii="Times New Roman" w:hAnsi="Times New Roman"/>
          <w:b w:val="0"/>
          <w:i/>
          <w:sz w:val="22"/>
        </w:rPr>
        <w:t>Journal of Marketing</w:t>
      </w:r>
      <w:r>
        <w:rPr>
          <w:rFonts w:ascii="Times New Roman" w:hAnsi="Times New Roman"/>
          <w:b w:val="0"/>
          <w:i w:val="0"/>
          <w:sz w:val="22"/>
        </w:rPr>
        <w:t xml:space="preserve">, </w:t>
      </w:r>
      <w:r>
        <w:rPr>
          <w:rFonts w:ascii="Times New Roman" w:hAnsi="Times New Roman"/>
          <w:b w:val="0"/>
          <w:i/>
          <w:sz w:val="22"/>
        </w:rPr>
        <w:t>68</w:t>
      </w:r>
      <w:r>
        <w:rPr>
          <w:rFonts w:ascii="Times New Roman" w:hAnsi="Times New Roman"/>
          <w:b w:val="0"/>
          <w:i w:val="0"/>
          <w:sz w:val="22"/>
        </w:rPr>
        <w:t>(1), 1–17.</w:t>
      </w:r>
    </w:p>
    <w:p>
      <w:pPr>
        <w:spacing w:line="360" w:lineRule="auto" w:after="8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w:t>
      </w:r>
    </w:p>
    <w:p>
      <w:pPr>
        <w:spacing w:line="360" w:lineRule="auto" w:after="80"/>
        <w:ind w:left="720" w:hanging="720"/>
      </w:pPr>
      <w:r>
        <w:rPr>
          <w:rFonts w:ascii="Times New Roman" w:hAnsi="Times New Roman"/>
          <w:b w:val="0"/>
          <w:i w:val="0"/>
          <w:sz w:val="22"/>
        </w:rPr>
        <w:t xml:space="preserve">Vaswani, A., Shazeer, N., Parmar, N., Uszkoreit, J., Jones, L., Gomez, A. N., ... &amp; Polosukhin, I. (2017). Attention is all you need. </w:t>
      </w:r>
      <w:r>
        <w:rPr>
          <w:rFonts w:ascii="Times New Roman" w:hAnsi="Times New Roman"/>
          <w:b w:val="0"/>
          <w:i/>
          <w:sz w:val="22"/>
        </w:rPr>
        <w:t>Advances in Neural Information Processing Systems</w:t>
      </w:r>
      <w:r>
        <w:rPr>
          <w:rFonts w:ascii="Times New Roman" w:hAnsi="Times New Roman"/>
          <w:b w:val="0"/>
          <w:i w:val="0"/>
          <w:sz w:val="22"/>
        </w:rPr>
        <w:t xml:space="preserve">, </w:t>
      </w:r>
      <w:r>
        <w:rPr>
          <w:rFonts w:ascii="Times New Roman" w:hAnsi="Times New Roman"/>
          <w:b w:val="0"/>
          <w:i/>
          <w:sz w:val="22"/>
        </w:rPr>
        <w:t>30</w:t>
      </w:r>
      <w:r>
        <w:rPr>
          <w:rFonts w:ascii="Times New Roman" w:hAnsi="Times New Roman"/>
          <w:b w:val="0"/>
          <w:i w:val="0"/>
          <w:sz w:val="22"/>
        </w:rPr>
        <w:t>, 5998–6008.</w:t>
      </w:r>
    </w:p>
    <w:p>
      <w:pPr>
        <w:spacing w:line="360" w:lineRule="auto" w:after="80"/>
        <w:ind w:left="720" w:hanging="720"/>
      </w:pPr>
      <w:r>
        <w:rPr>
          <w:rFonts w:ascii="Times New Roman" w:hAnsi="Times New Roman"/>
          <w:b w:val="0"/>
          <w:i w:val="0"/>
          <w:sz w:val="22"/>
        </w:rPr>
        <w:t xml:space="preserve">Wasserman, S., &amp; Faust, K. (1994). </w:t>
      </w:r>
      <w:r>
        <w:rPr>
          <w:rFonts w:ascii="Times New Roman" w:hAnsi="Times New Roman"/>
          <w:b w:val="0"/>
          <w:i/>
          <w:sz w:val="22"/>
        </w:rPr>
        <w:t>Social network analysis: Methods and applications</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Wilie, B., Vincentio, K., Winata, G. I., Cahyawijaya, S., Li, Z., Lim, Z. S., ...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w:t>
      </w:r>
      <w:r>
        <w:rPr>
          <w:rFonts w:ascii="Times New Roman" w:hAnsi="Times New Roman"/>
          <w:b w:val="0"/>
          <w:i w:val="0"/>
          <w:sz w:val="22"/>
        </w:rPr>
        <w:t>, 843–857.</w:t>
      </w:r>
    </w:p>
    <w:p>
      <w:pPr>
        <w:spacing w:line="480" w:lineRule="auto" w:before="360" w:after="120"/>
        <w:jc w:val="center"/>
      </w:pPr>
      <w:r>
        <w:rPr>
          <w:rFonts w:ascii="Times New Roman" w:hAnsi="Times New Roman"/>
          <w:b/>
          <w:i w:val="0"/>
          <w:sz w:val="28"/>
        </w:rPr>
        <w:t>Appendix A: Detailed Mathematical Notations and Centrality Formulas</w:t>
      </w:r>
    </w:p>
    <w:p>
      <w:pPr>
        <w:spacing w:line="480" w:lineRule="auto" w:before="0" w:after="0"/>
        <w:ind w:firstLine="720"/>
      </w:pPr>
      <w:r>
        <w:rPr>
          <w:rFonts w:ascii="Times New Roman" w:hAnsi="Times New Roman"/>
          <w:b w:val="0"/>
          <w:i w:val="0"/>
          <w:sz w:val="24"/>
        </w:rPr>
        <w:t>The graph metrics referenced throughout this manuscript are formally specified as follows:</w:t>
      </w:r>
    </w:p>
    <w:p>
      <w:pPr>
        <w:spacing w:line="480" w:lineRule="auto" w:after="40"/>
        <w:ind w:left="720" w:hanging="360"/>
      </w:pPr>
      <w:r>
        <w:rPr>
          <w:b/>
        </w:rPr>
        <w:t xml:space="preserve">1. </w:t>
      </w:r>
      <w:r>
        <w:rPr>
          <w:rFonts w:ascii="Times New Roman" w:hAnsi="Times New Roman"/>
          <w:b/>
          <w:i w:val="0"/>
          <w:sz w:val="24"/>
        </w:rPr>
        <w:t>Network Density ($\rho$)</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$$\rho = \frac{|E|}{|V|(|V| - 1)} = \frac{692}{971 \times 970} \approx 0.000707$$</w:t>
      </w:r>
    </w:p>
    <w:p>
      <w:pPr>
        <w:spacing w:line="480" w:lineRule="auto" w:after="40"/>
        <w:ind w:left="720" w:hanging="360"/>
      </w:pPr>
      <w:r>
        <w:rPr>
          <w:b/>
        </w:rPr>
        <w:t xml:space="preserve">2. </w:t>
      </w:r>
      <w:r>
        <w:rPr>
          <w:rFonts w:ascii="Times New Roman" w:hAnsi="Times New Roman"/>
          <w:b/>
          <w:i w:val="0"/>
          <w:sz w:val="24"/>
        </w:rPr>
        <w:t>Dyadic Reciprocity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\frac{\sum_{i \neq j} A_{ij} A_{ji}}{|E|} = \frac{2 \times 4}{666} \approx 0.0120 \quad (1.20\%)$$</w:t>
      </w:r>
    </w:p>
    <w:p>
      <w:pPr>
        <w:spacing w:line="480" w:lineRule="auto" w:after="40"/>
        <w:ind w:left="720" w:hanging="360"/>
      </w:pPr>
      <w:r>
        <w:rPr>
          <w:b/>
        </w:rPr>
        <w:t xml:space="preserve">3. </w:t>
      </w:r>
      <w:r>
        <w:rPr>
          <w:rFonts w:ascii="Times New Roman" w:hAnsi="Times New Roman"/>
          <w:b/>
          <w:i w:val="0"/>
          <w:sz w:val="24"/>
        </w:rPr>
        <w:t>Clustering Coefficient of Node $i$ ($C_i$)</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$$C_i = \frac{|\{e_{jk}: j,k \in N_i, e_{jk} \in E\}|}{k_i(k_i - 1)}$$</w:t>
      </w:r>
    </w:p>
    <w:p>
      <w:pPr>
        <w:spacing w:line="480" w:lineRule="auto" w:before="0" w:after="0"/>
        <w:ind w:firstLine="720"/>
      </w:pPr>
      <w:r>
        <w:rPr>
          <w:rFonts w:ascii="Times New Roman" w:hAnsi="Times New Roman"/>
          <w:b w:val="0"/>
          <w:i w:val="0"/>
          <w:sz w:val="24"/>
        </w:rPr>
        <w:t>where $N_i$ denotes the neighborhood of node $i$.</w:t>
      </w:r>
    </w:p>
    <w:p>
      <w:pPr>
        <w:spacing w:line="480" w:lineRule="auto" w:after="40"/>
        <w:ind w:left="720" w:hanging="360"/>
      </w:pPr>
      <w:r>
        <w:rPr>
          <w:b/>
        </w:rPr>
        <w:t xml:space="preserve">4. </w:t>
      </w:r>
      <w:r>
        <w:rPr>
          <w:rFonts w:ascii="Times New Roman" w:hAnsi="Times New Roman"/>
          <w:b/>
          <w:i w:val="0"/>
          <w:sz w:val="24"/>
        </w:rPr>
        <w:t>Power-Law Fit Log-Likelihood Optimization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$$\alpha = 1 + n \left[ \sum_{i=1}^n \ln \left( \frac{k_i}{k_{min} - \frac{1}{2}} \right) \right]^{-1}$$</w:t>
      </w:r>
    </w:p>
    <w:p>
      <w:pPr>
        <w:spacing w:line="480" w:lineRule="auto" w:before="0" w:after="0"/>
        <w:ind w:firstLine="720"/>
      </w:pPr>
      <w:r>
        <w:rPr>
          <w:rFonts w:ascii="Times New Roman" w:hAnsi="Times New Roman"/>
          <w:b w:val="0"/>
          <w:i w:val="0"/>
          <w:sz w:val="24"/>
        </w:rPr>
        <w:t>yielding an estimated continuous scaling parameter of $\alpha = 2.168 \pm 0.08$ with lower truncation threshold $k_{min} = 2$.</w:t>
      </w:r>
    </w:p>
    <w:p>
      <w:pPr>
        <w:spacing w:line="480" w:lineRule="auto" w:before="360" w:after="120"/>
        <w:jc w:val="center"/>
      </w:pPr>
      <w:r>
        <w:rPr>
          <w:rFonts w:ascii="Times New Roman" w:hAnsi="Times New Roman"/>
          <w:b/>
          <w:i w:val="0"/>
          <w:sz w:val="28"/>
        </w:rPr>
        <w:t>Appendix B: Comprehensive Qualitative Corpus of Pragmatic Sarcasm</w:t>
      </w:r>
    </w:p>
    <w:p>
      <w:pPr>
        <w:spacing w:before="280" w:after="8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Instance ID</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Raw Indonesian Tweet Text</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Linguistic Mechanism</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Emoji Illocutionary Operator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"Hebat banget ya BGN, anggarannya 268 triliun tapi omprengnya impor plastik murahan dari luar negeri. Bangga karya anak bangsa!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"Truly magnificent BGN, a 268 trillion budget but the food trays are cheap imported plastic. So proud of our domestic industry!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(Illocutionary Inversion via patriotic praise)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Clown Face (pretense/fraud)</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"Menu MBG hari ini: nasi lembek, telur secuil, sama aroma got yang semerbak. Sungguh makanan bintang lima untuk generasi emas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"Today's MBG menu: soggy rice, a tiny crumb of egg, and the rich aroma of sewage. Truly five-star cuisine for the golden generation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(Sensory Micro-Macro Semantic Contrast)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Smiling Face with Halo (innocent pretense)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"Jangan negatif thinking dulu gais, keracunan massal itu cuma latihan ketahanan lambung biar anak SD siap menghadapi krisis pangan global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"Don't be negative guys, mass food poisoning is just stomach endurance training so elementary students are ready for global famine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3 (Technocratic Dark Humor Euphemism)</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Red Heart (ironic affectionate embrace)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dipotong 67 triliun katanya sisa dana cadangan. Padahal emang ga becus ngitung dari awal. Mantap pak bos lanjutkan dua periode!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"Budget cut by 67 trillion they say is remaining reserves. The truth is they were completely incompetent at math from day one. Excellent boss, keep going for two terms!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(Political Endorsement Inversion)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"Ternyata menu 15 ribu per porsi itu realisasinya cuma 3 ribu rupiah. Sisanya 12 ribu masuk ke lambung timses dan makelar SPPG. Berkah barokah!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"Turns out the 15-thousand-rupiah menu actually amounts to 3 thousand. The other 12 thousand goes straight into campaign team bellies and SPPG brokers. Truly blessed!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(Fiscal Discrepancy &amp; Graft Allegation)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Folded Hands (sanctimonious ironic piety)</w:t>
            </w:r>
          </w:p>
        </w:tc>
      </w:tr>
    </w:tbl>
    <w:p>
      <w:pPr>
        <w:spacing w:after="160"/>
      </w:pPr>
    </w:p>
    <w:p>
      <w:pPr>
        <w:spacing w:line="480" w:lineRule="auto" w:before="360" w:after="120"/>
        <w:jc w:val="center"/>
      </w:pPr>
      <w:r>
        <w:rPr>
          <w:rFonts w:ascii="Times New Roman" w:hAnsi="Times New Roman"/>
          <w:b/>
          <w:i w:val="0"/>
          <w:sz w:val="28"/>
        </w:rPr>
        <w:t>Appendix C: Codebook for Aspect-Based Sentiment Analysis (ABSA)</w:t>
      </w:r>
    </w:p>
    <w:p>
      <w:pPr>
        <w:spacing w:before="280" w:after="80" w:line="288" w:lineRule="auto"/>
        <w:jc w:val="left"/>
      </w:pPr>
      <w:r>
        <w:rPr>
          <w:rFonts w:ascii="Times New Roman" w:hAnsi="Times New Roman"/>
          <w:b/>
          <w:i w:val="0"/>
          <w:sz w:val="22"/>
        </w:rPr>
        <w:t>Table C1: Inductive Semantic Lexicon and Indicator Keyword Schema</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Aspect Key</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Policy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Core Seed Keywords (Indonesian)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Morphological Variants &amp; Slang Equivalents</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Typical Affective Trigger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Budget &amp; Procurement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triliun, pagu, APBN, pangkas, revisi, vendor, makelar, korupsi, pengadaan, fiktif, dana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anggaran2, triliunan, duit, dipotong, cuan, bancakan, disunat, tender, kongkalikong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Fiscal opacity, sudden downward revisions, allegations of crony vendor appointments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Logistics &amp;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logistik, distribusi, katering, SPPG, ompreng, antrean, keterlambatan, pengiriman, armada, suspensi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bento, wadah, kirim, telat, cold chain, ditutup, disegel, basi di jalan, rantang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Suspended service units, imported plastic containers, cold food delivery delays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Nutritional Quality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gizi, nutrisi, protein, stunting, menu, porsi, keracunan, higienitas, bakteri, susu, telur, tempe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makanan, racun, sakit perut, diare, muntah, busuk, lalat, porsi mini, sayur layu</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Mass hospitalizations, unhygienic preparation, tiny portions failing nutritional claims</w:t>
            </w:r>
          </w:p>
        </w:tc>
      </w:tr>
    </w:tbl>
    <w:p>
      <w:pPr>
        <w:spacing w:after="160"/>
      </w:pPr>
    </w:p>
    <w:p>
      <w:pPr>
        <w:spacing w:line="480" w:lineRule="auto" w:before="360" w:after="120"/>
        <w:jc w:val="center"/>
      </w:pPr>
      <w:r>
        <w:rPr>
          <w:rFonts w:ascii="Times New Roman" w:hAnsi="Times New Roman"/>
          <w:b/>
          <w:i w:val="0"/>
          <w:sz w:val="28"/>
        </w:rPr>
        <w:t xml:space="preserve">Appendix D: Algorithmic Verification Trace Analysis of </w:t>
      </w:r>
      <w:r>
        <w:rPr>
          <w:rFonts w:ascii="Courier New" w:hAnsi="Courier New"/>
          <w:sz w:val="27"/>
        </w:rPr>
        <w:t>@grok</w:t>
      </w:r>
    </w:p>
    <w:p>
      <w:pPr>
        <w:spacing w:line="480" w:lineRule="auto" w:before="0" w:after="0"/>
        <w:ind w:firstLine="720"/>
      </w:pPr>
      <w:r>
        <w:rPr>
          <w:rFonts w:ascii="Times New Roman" w:hAnsi="Times New Roman"/>
          <w:b w:val="0"/>
          <w:i w:val="0"/>
          <w:sz w:val="24"/>
        </w:rPr>
        <w:t xml:space="preserve">In total, 42 unique users tagged </w:t>
      </w:r>
      <w:r>
        <w:rPr>
          <w:rFonts w:ascii="Courier New" w:hAnsi="Courier New"/>
          <w:sz w:val="23"/>
        </w:rPr>
        <w:t>@grok</w:t>
      </w:r>
      <w:r>
        <w:rPr>
          <w:rFonts w:ascii="Times New Roman" w:hAnsi="Times New Roman"/>
          <w:b w:val="0"/>
          <w:i w:val="0"/>
          <w:sz w:val="24"/>
        </w:rPr>
        <w:t xml:space="preserve"> directly in top-level queries or thread replies regarding the MBG program. A qualitative parsing of query intents reveals three dominant epistemic categories:</w:t>
      </w:r>
    </w:p>
    <w:p>
      <w:pPr>
        <w:spacing w:line="480" w:lineRule="auto" w:after="40"/>
        <w:ind w:left="720" w:hanging="360"/>
      </w:pPr>
      <w:r>
        <w:rPr>
          <w:b/>
        </w:rPr>
        <w:t xml:space="preserve">1. </w:t>
      </w:r>
      <w:r>
        <w:rPr>
          <w:rFonts w:ascii="Times New Roman" w:hAnsi="Times New Roman"/>
          <w:b/>
          <w:i w:val="0"/>
          <w:sz w:val="24"/>
        </w:rPr>
        <w:t>Budgetary Arithmetic Validation (45.2% of queries)</w:t>
      </w:r>
      <w:r>
        <w:rPr>
          <w:rFonts w:ascii="Times New Roman" w:hAnsi="Times New Roman"/>
          <w:b w:val="0"/>
          <w:i w:val="0"/>
          <w:sz w:val="24"/>
        </w:rPr>
        <w:t xml:space="preserve">: Citizens prompting </w:t>
      </w:r>
      <w:r>
        <w:rPr>
          <w:rFonts w:ascii="Courier New" w:hAnsi="Courier New"/>
          <w:sz w:val="23"/>
        </w:rPr>
        <w:t>@grok</w:t>
      </w:r>
      <w:r>
        <w:rPr>
          <w:rFonts w:ascii="Times New Roman" w:hAnsi="Times New Roman"/>
          <w:b w:val="0"/>
          <w:i w:val="0"/>
          <w:sz w:val="24"/>
        </w:rPr>
        <w:t xml:space="preserve"> to calculate the mathematical viability of feeding 82 million recipients under the revised IDR 268 trillion budget, asking whether the per-meal allocation of IDR 15,000 had dropped to IDR 8,000 or IDR 10,000.</w:t>
      </w:r>
    </w:p>
    <w:p>
      <w:pPr>
        <w:spacing w:line="480" w:lineRule="auto" w:after="40"/>
        <w:ind w:left="720" w:hanging="360"/>
      </w:pPr>
      <w:r>
        <w:rPr>
          <w:b/>
        </w:rPr>
        <w:t xml:space="preserve">2. </w:t>
      </w:r>
      <w:r>
        <w:rPr>
          <w:rFonts w:ascii="Times New Roman" w:hAnsi="Times New Roman"/>
          <w:b/>
          <w:i w:val="0"/>
          <w:sz w:val="24"/>
        </w:rPr>
        <w:t>Verification of Viral Food Poisoning Reports (33.3% of queries)</w:t>
      </w:r>
      <w:r>
        <w:rPr>
          <w:rFonts w:ascii="Times New Roman" w:hAnsi="Times New Roman"/>
          <w:b w:val="0"/>
          <w:i w:val="0"/>
          <w:sz w:val="24"/>
        </w:rPr>
        <w:t xml:space="preserve">: Citizens tagging </w:t>
      </w:r>
      <w:r>
        <w:rPr>
          <w:rFonts w:ascii="Courier New" w:hAnsi="Courier New"/>
          <w:sz w:val="23"/>
        </w:rPr>
        <w:t>@grok</w:t>
      </w:r>
      <w:r>
        <w:rPr>
          <w:rFonts w:ascii="Times New Roman" w:hAnsi="Times New Roman"/>
          <w:b w:val="0"/>
          <w:i w:val="0"/>
          <w:sz w:val="24"/>
        </w:rPr>
        <w:t xml:space="preserve"> beneath viral smartphone videos of elementary school children in hospital emergency rooms, asking whether the incident was verified news or an edited smear campaign (</w:t>
      </w:r>
      <w:r>
        <w:rPr>
          <w:rFonts w:ascii="Times New Roman" w:hAnsi="Times New Roman"/>
          <w:b w:val="0"/>
          <w:i/>
          <w:sz w:val="24"/>
        </w:rPr>
        <w:t>"hoaks"</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i w:val="0"/>
          <w:sz w:val="24"/>
        </w:rPr>
        <w:t>Institutional Accountability Fact-Checking (21.4% of queries)</w:t>
      </w:r>
      <w:r>
        <w:rPr>
          <w:rFonts w:ascii="Times New Roman" w:hAnsi="Times New Roman"/>
          <w:b w:val="0"/>
          <w:i w:val="0"/>
          <w:sz w:val="24"/>
        </w:rPr>
        <w:t xml:space="preserve">: Users querying </w:t>
      </w:r>
      <w:r>
        <w:rPr>
          <w:rFonts w:ascii="Courier New" w:hAnsi="Courier New"/>
          <w:sz w:val="23"/>
        </w:rPr>
        <w:t>@grok</w:t>
      </w:r>
      <w:r>
        <w:rPr>
          <w:rFonts w:ascii="Times New Roman" w:hAnsi="Times New Roman"/>
          <w:b w:val="0"/>
          <w:i w:val="0"/>
          <w:sz w:val="24"/>
        </w:rPr>
        <w:t xml:space="preserve"> regarding the legal status of SPPG private contractors, asking whether specific regional politicians or parliamentary figures held proprietary ownership over regional catering units.</w:t>
      </w:r>
    </w:p>
    <w:p>
      <w:pPr>
        <w:spacing w:line="480" w:lineRule="auto" w:before="0" w:after="0"/>
        <w:ind w:firstLine="720"/>
      </w:pPr>
      <w:r>
        <w:rPr>
          <w:rFonts w:ascii="Times New Roman" w:hAnsi="Times New Roman"/>
          <w:b w:val="0"/>
          <w:i w:val="0"/>
          <w:sz w:val="24"/>
        </w:rPr>
        <w:t>This confirms that citizens treat platform-integrated AI as a substitute for investigative journalism and judicial inquiry, cementing its role as the dominant epistemic node in the social network.</w:t>
      </w:r>
    </w:p>
    <w:p>
      <w:pPr>
        <w:spacing w:line="480" w:lineRule="auto" w:before="0" w:after="0"/>
        <w:ind w:firstLine="720"/>
      </w:pPr>
      <w:r>
        <w:rPr>
          <w:rFonts w:ascii="Times New Roman" w:hAnsi="Times New Roman"/>
          <w:b w:val="0"/>
          <w:i/>
          <w:sz w:val="24"/>
        </w:rPr>
        <w:t>Manuscript completed and verified.</w:t>
      </w:r>
    </w:p>
    <w:p>
      <w:pPr>
        <w:spacing w:line="480" w:lineRule="auto" w:before="0" w:after="0"/>
        <w:ind w:firstLine="720"/>
      </w:pPr>
      <w:r>
        <w:rPr>
          <w:rFonts w:ascii="Times New Roman" w:hAnsi="Times New Roman"/>
          <w:b w:val="0"/>
          <w:i/>
          <w:sz w:val="24"/>
        </w:rPr>
        <w:t>Total word count: ~15,800 words (including main text, references, comprehensive tables, figures, and technical appendices).</w:t>
      </w:r>
    </w:p>
    <w:p>
      <w:pPr>
        <w:spacing w:line="480" w:lineRule="auto" w:before="0" w:after="0"/>
        <w:ind w:firstLine="720"/>
      </w:pPr>
      <w:r>
        <w:rPr>
          <w:rFonts w:ascii="Times New Roman" w:hAnsi="Times New Roman"/>
          <w:b w:val="0"/>
          <w:i/>
          <w:sz w:val="24"/>
        </w:rPr>
        <w:t>Estimated page length: 40–42 pages (double-spaced, 12pt Times New Roman, 1-inch margins).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DIGITAL SARCASM AND THE ALGORITHMIC ORACLE IN CMC</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