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1E3A8A"/>
          <w:sz w:val="36"/>
        </w:rPr>
        <w:t>Mapping the 'Phygital Gap' in Public Policy Crisis: A Tri-Layer Computational Communication Study of Indonesia's Free Nutritious Meal (MBG) Program on Platform X</w:t>
      </w:r>
    </w:p>
    <w:p>
      <w:pPr>
        <w:spacing w:line="276" w:lineRule="auto" w:after="120"/>
      </w:pPr>
      <w:r>
        <w:t>Authors: Indri Anjar Kartika Sari¹* (ORCID: 0009-0002-8419-7231), Catur Suratnoaji¹ (ORCID: 0000-0002-8596-3914), Agus Widiyarta¹ (ORCID: 0000-0002-7104-5820)</w:t>
      </w:r>
    </w:p>
    <w:p>
      <w:pPr>
        <w:spacing w:line="276" w:lineRule="auto" w:after="120"/>
      </w:pPr>
      <w:r>
        <w:t>Affiliation: ¹ Department of Communication Science, Faculty of Social and Political Sciences, Universitas Pembangunan Nasional "Veteran" Jawa Timur, Surabaya, Indonesia</w:t>
      </w:r>
    </w:p>
    <w:p>
      <w:pPr>
        <w:spacing w:line="276" w:lineRule="auto" w:after="120"/>
      </w:pPr>
      <w:r>
        <w:t>Correspondence: indrianjar@gmail.com | Scopus ASJC Codes: 3315 (Communication), 1702 (Artificial Intelligence), 3312 (Sociology &amp; Political Science)</w:t>
      </w:r>
    </w:p>
    <w:p>
      <w:pPr>
        <w:spacing w:line="276" w:lineRule="auto" w:after="120"/>
      </w:pPr>
      <w:r>
        <w:t>Target Publication: Social Network Analysis and Mining (Springer Nature Switzerland, Scopus Q1, SJR 0.76)</w:t>
      </w:r>
    </w:p>
    <w:p>
      <w:pPr>
        <w:spacing w:line="276" w:lineRule="auto" w:after="120"/>
      </w:pPr>
      <w:r>
        <w:rPr>
          <w:sz w:val="23"/>
        </w:rPr>
        <w:t>---</w:t>
      </w:r>
    </w:p>
    <w:p>
      <w:pPr>
        <w:spacing w:before="160" w:after="80"/>
      </w:pPr>
      <w:r>
        <w:rPr>
          <w:b/>
          <w:color w:val="111827"/>
          <w:sz w:val="24"/>
        </w:rPr>
        <w:t>ABSTRACT</w:t>
      </w:r>
    </w:p>
    <w:p>
      <w:pPr>
        <w:spacing w:line="276" w:lineRule="auto" w:after="12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t>Keywords: Phygital Gap, Marketing 6.0, Computational Communication, IndoBERT, Communication Network Analysis, Social Network Analysis, Sarcasm Detection, Algorithmic Oracle, Public Policy Crisis.</w:t>
      </w:r>
    </w:p>
    <w:p>
      <w:pPr>
        <w:spacing w:line="276" w:lineRule="auto" w:after="120"/>
      </w:pPr>
      <w:r>
        <w:rPr>
          <w:sz w:val="23"/>
        </w:rPr>
        <w:t>---</w:t>
      </w:r>
    </w:p>
    <w:p>
      <w:pPr>
        <w:spacing w:before="240" w:after="120"/>
      </w:pPr>
      <w:r>
        <w:rPr>
          <w:b/>
          <w:color w:val="1E3A8A"/>
          <w:sz w:val="28"/>
        </w:rPr>
        <w:t>1. INTRODUCTION</w:t>
      </w:r>
    </w:p>
    <w:p>
      <w:pPr>
        <w:spacing w:line="276" w:lineRule="auto" w:after="120"/>
      </w:pPr>
      <w:r>
        <w:rPr>
          <w:sz w:val="23"/>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rPr>
          <w:sz w:val="23"/>
        </w:rP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rPr>
          <w:sz w:val="23"/>
        </w:rP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160" w:after="80"/>
      </w:pPr>
      <w:r>
        <w:rPr>
          <w:b/>
          <w:color w:val="111827"/>
          <w:sz w:val="24"/>
        </w:rPr>
        <w:t>1.1 The Epistemological Problem and Scopus Q1 Research Gaps</w:t>
      </w:r>
    </w:p>
    <w:p>
      <w:pPr>
        <w:spacing w:line="276" w:lineRule="auto" w:after="120"/>
      </w:pPr>
      <w:r>
        <w:rPr>
          <w:sz w:val="23"/>
        </w:rPr>
        <w:t>While digital policy evaluation has proliferated across computational social science, contemporary scholarship remains constrained by four fundamental theoretical, methodological, and empirical limitations:</w:t>
      </w:r>
    </w:p>
    <w:p>
      <w:pPr>
        <w:pStyle w:val="ListNumber"/>
        <w:spacing w:after="60"/>
      </w:pPr>
      <w:r>
        <w:rPr>
          <w:sz w:val="22"/>
        </w:rPr>
        <w:t>The Theoretical Domain Gap (From Commercial Marketing to State Legitimacy Crisis):</w:t>
      </w:r>
    </w:p>
    <w:p>
      <w:pPr>
        <w:spacing w:line="276" w:lineRule="auto" w:after="120"/>
      </w:pPr>
      <w:r>
        <w:rPr>
          <w:sz w:val="23"/>
        </w:rP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pStyle w:val="ListNumber"/>
        <w:spacing w:after="60"/>
      </w:pPr>
      <w:r>
        <w:rPr>
          <w:sz w:val="22"/>
        </w:rPr>
        <w:t>The Methodological Silo Gap (Tri-Layer Synthesis vs. Disconnected Strands):</w:t>
      </w:r>
    </w:p>
    <w:p>
      <w:pPr>
        <w:spacing w:line="276" w:lineRule="auto" w:after="120"/>
      </w:pPr>
      <w:r>
        <w:rPr>
          <w:sz w:val="23"/>
        </w:rP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pStyle w:val="ListNumber"/>
        <w:spacing w:after="60"/>
      </w:pPr>
      <w:r>
        <w:rPr>
          <w:sz w:val="22"/>
        </w:rPr>
        <w:t>The Pragmatic Subversion Gap (Digital Sarcasm vs. Classical NLP Fallacy):</w:t>
      </w:r>
    </w:p>
    <w:p>
      <w:pPr>
        <w:spacing w:line="276" w:lineRule="auto" w:after="120"/>
      </w:pPr>
      <w:r>
        <w:rPr>
          <w:sz w:val="23"/>
        </w:rP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spacing w:after="60"/>
      </w:pPr>
      <w:r>
        <w:rPr>
          <w:sz w:val="22"/>
        </w:rPr>
        <w:t>The Emergent Algorithmic Governance Gap (The 'Algorithmic Oracle' vs. Institutional Silence):</w:t>
      </w:r>
    </w:p>
    <w:p>
      <w:pPr>
        <w:spacing w:line="276" w:lineRule="auto" w:after="120"/>
      </w:pPr>
      <w:r>
        <w:rPr>
          <w:sz w:val="23"/>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spacing w:before="160" w:after="80"/>
      </w:pPr>
      <w:r>
        <w:rPr>
          <w:b/>
          <w:color w:val="111827"/>
          <w:sz w:val="24"/>
        </w:rPr>
        <w:t>1.2 Theoretical, Methodological, and Empirical Novelty Statement</w:t>
      </w:r>
    </w:p>
    <w:p>
      <w:pPr>
        <w:spacing w:line="276" w:lineRule="auto" w:after="120"/>
      </w:pPr>
      <w:r>
        <w:rPr>
          <w:sz w:val="23"/>
        </w:rPr>
        <w:t>To bridge these four critical gaps, this study presents a landmark tri-layer computational communication investigation that provides three seminal contributions to the international scientific literature:</w:t>
      </w:r>
    </w:p>
    <w:p>
      <w:pPr>
        <w:pStyle w:val="ListBullet"/>
        <w:spacing w:after="60"/>
      </w:pPr>
      <w:r>
        <w:rPr>
          <w:sz w:val="22"/>
        </w:rP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spacing w:after="60"/>
      </w:pPr>
      <w:r>
        <w:rPr>
          <w:sz w:val="22"/>
        </w:rP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spacing w:after="60"/>
      </w:pPr>
      <w:r>
        <w:rPr>
          <w:sz w:val="22"/>
        </w:rP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spacing w:before="160" w:after="80"/>
      </w:pPr>
      <w:r>
        <w:rPr>
          <w:b/>
          <w:color w:val="111827"/>
          <w:sz w:val="24"/>
        </w:rPr>
        <w:t>1.3 Research Questions</w:t>
      </w:r>
    </w:p>
    <w:p>
      <w:pPr>
        <w:spacing w:line="276" w:lineRule="auto" w:after="120"/>
      </w:pPr>
      <w:r>
        <w:rPr>
          <w:sz w:val="23"/>
        </w:rPr>
        <w:t>This investigation is guided by six hierarchical research questions (RQs):</w:t>
      </w:r>
    </w:p>
    <w:p>
      <w:pPr>
        <w:pStyle w:val="ListBullet"/>
        <w:spacing w:after="60"/>
      </w:pPr>
      <w:r>
        <w:rPr>
          <w:sz w:val="22"/>
        </w:rPr>
        <w:t>RQ1: How are public granular emotions distributed in the MBG discourse on Platform X when evaluated using a fine-tuned 9-class IndoBERT transformer?</w:t>
      </w:r>
    </w:p>
    <w:p>
      <w:pPr>
        <w:pStyle w:val="ListBullet"/>
        <w:spacing w:after="60"/>
      </w:pPr>
      <w:r>
        <w:rPr>
          <w:sz w:val="22"/>
        </w:rPr>
        <w:t>RQ2: How does digital sarcasm manifest pragmatically through lexical oppositions and emoji semiotic subversions in public critique?</w:t>
      </w:r>
    </w:p>
    <w:p>
      <w:pPr>
        <w:pStyle w:val="ListBullet"/>
        <w:spacing w:after="60"/>
      </w:pPr>
      <w:r>
        <w:rPr>
          <w:sz w:val="22"/>
        </w:rPr>
        <w:t>RQ3: What is the macro-topological structure of the interaction network, and does discourse polarize into binary camps or fracture into hyper-fragmented echo chambers?</w:t>
      </w:r>
    </w:p>
    <w:p>
      <w:pPr>
        <w:pStyle w:val="ListBullet"/>
        <w:spacing w:after="60"/>
      </w:pPr>
      <w:r>
        <w:rPr>
          <w:sz w:val="22"/>
        </w:rPr>
        <w:t>RQ4: Which actors occupy dominant structural centrality, and does an influence asymmetry exist between institutional policy authorities and alternative epistemic actors?</w:t>
      </w:r>
    </w:p>
    <w:p>
      <w:pPr>
        <w:pStyle w:val="ListBullet"/>
        <w:spacing w:after="60"/>
      </w:pPr>
      <w:r>
        <w:rPr>
          <w:sz w:val="22"/>
        </w:rPr>
        <w:t>RQ5: How does the fine-tuned IndoBERT model perform across imbalanced social media classes, and what linguistic factors govern classification boundaries?</w:t>
      </w:r>
    </w:p>
    <w:p>
      <w:pPr>
        <w:pStyle w:val="ListBullet"/>
        <w:spacing w:after="60"/>
      </w:pPr>
      <w:r>
        <w:rPr>
          <w:sz w:val="22"/>
        </w:rPr>
        <w:t>RQ6: How does aspect-based affective distribution across logistics, budgeting, and food nutrition empirically substantiate the *Phygital Gap* thesis?</w:t>
      </w:r>
    </w:p>
    <w:p>
      <w:pPr>
        <w:spacing w:line="276" w:lineRule="auto" w:after="120"/>
      </w:pPr>
      <w:r>
        <w:rPr>
          <w:sz w:val="23"/>
        </w:rPr>
        <w:t>---</w:t>
      </w:r>
    </w:p>
    <w:p>
      <w:pPr>
        <w:spacing w:before="240" w:after="120"/>
      </w:pPr>
      <w:r>
        <w:rPr>
          <w:b/>
          <w:color w:val="1E3A8A"/>
          <w:sz w:val="28"/>
        </w:rPr>
        <w:t>2. THEORETICAL FRAMEWORK AND LITERATURE REVIEW</w:t>
      </w:r>
    </w:p>
    <w:p>
      <w:pPr>
        <w:spacing w:before="160" w:after="80"/>
      </w:pPr>
      <w:r>
        <w:rPr>
          <w:b/>
          <w:color w:val="111827"/>
          <w:sz w:val="24"/>
        </w:rPr>
        <w:t>2.1 Situational Crisis Communication Theory (SCCT) and Networked Crises</w:t>
      </w:r>
    </w:p>
    <w:p>
      <w:pPr>
        <w:spacing w:line="276" w:lineRule="auto" w:after="120"/>
      </w:pPr>
      <w:r>
        <w:rPr>
          <w:sz w:val="23"/>
        </w:rP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160" w:after="80"/>
      </w:pPr>
      <w:r>
        <w:rPr>
          <w:b/>
          <w:color w:val="111827"/>
          <w:sz w:val="24"/>
        </w:rPr>
        <w:t>2.2 The Structural Transformation of the Digital Public Sphere</w:t>
      </w:r>
    </w:p>
    <w:p>
      <w:pPr>
        <w:spacing w:line="276" w:lineRule="auto" w:after="120"/>
      </w:pPr>
      <w:r>
        <w:rPr>
          <w:sz w:val="23"/>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160" w:after="80"/>
      </w:pPr>
      <w:r>
        <w:rPr>
          <w:b/>
          <w:color w:val="111827"/>
          <w:sz w:val="24"/>
        </w:rPr>
        <w:t>2.3 Pretense Theory and Semiotic Subversion in Sarcasm</w:t>
      </w:r>
    </w:p>
    <w:p>
      <w:pPr>
        <w:spacing w:line="276" w:lineRule="auto" w:after="120"/>
      </w:pPr>
      <w:r>
        <w:rPr>
          <w:sz w:val="23"/>
        </w:rP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160" w:after="80"/>
      </w:pPr>
      <w:r>
        <w:rPr>
          <w:b/>
          <w:color w:val="111827"/>
          <w:sz w:val="24"/>
        </w:rPr>
        <w:t>2.4 Marketing 6.0 and the 'Phygital Gap' in Public Governance</w:t>
      </w:r>
    </w:p>
    <w:p>
      <w:pPr>
        <w:spacing w:line="276" w:lineRule="auto" w:after="120"/>
      </w:pPr>
      <w:r>
        <w:rPr>
          <w:sz w:val="23"/>
        </w:rP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spacing w:before="160" w:after="80"/>
      </w:pPr>
      <w:r>
        <w:rPr>
          <w:b/>
          <w:color w:val="111827"/>
          <w:sz w:val="24"/>
        </w:rPr>
        <w:t>2.5 Transformer Language Models and IndoBERT</w:t>
      </w:r>
    </w:p>
    <w:p>
      <w:pPr>
        <w:spacing w:line="276" w:lineRule="auto" w:after="120"/>
      </w:pPr>
      <w:r>
        <w:rPr>
          <w:sz w:val="23"/>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rPr>
          <w:sz w:val="23"/>
        </w:rPr>
        <w:t>---</w:t>
      </w:r>
    </w:p>
    <w:p>
      <w:pPr>
        <w:spacing w:before="240" w:after="120"/>
      </w:pPr>
      <w:r>
        <w:rPr>
          <w:b/>
          <w:color w:val="1E3A8A"/>
          <w:sz w:val="28"/>
        </w:rPr>
        <w:t>3. METHODOLOGY AND RESEARCH DESIGN</w:t>
      </w:r>
    </w:p>
    <w:p>
      <w:pPr>
        <w:spacing w:before="160" w:after="80"/>
      </w:pPr>
      <w:r>
        <w:rPr>
          <w:b/>
          <w:color w:val="111827"/>
          <w:sz w:val="24"/>
        </w:rPr>
        <w:t>3.1 Research Design</w:t>
      </w:r>
    </w:p>
    <w:p>
      <w:pPr>
        <w:spacing w:line="276" w:lineRule="auto" w:after="120"/>
      </w:pPr>
      <w:r>
        <w:rPr>
          <w:sz w:val="23"/>
        </w:rPr>
        <w:t>This study employs a quantitative computational social science (CSS) design combined with qualitative rhetorical deconstruction. The research pipeline progresses through four synchronized analytical stages:</w:t>
      </w:r>
    </w:p>
    <w:p>
      <w:pPr>
        <w:pStyle w:val="ListNumber"/>
        <w:spacing w:after="60"/>
      </w:pPr>
      <w:r>
        <w:rPr>
          <w:sz w:val="22"/>
        </w:rPr>
        <w:t>Natural Language Processing via transformer fine-tuning for 9-class emotion modeling (`indobert_9_emosi_fixed.csv`, $N = 5,263$).</w:t>
      </w:r>
    </w:p>
    <w:p>
      <w:pPr>
        <w:pStyle w:val="ListNumber"/>
        <w:spacing w:after="60"/>
      </w:pPr>
      <w:r>
        <w:rPr>
          <w:sz w:val="22"/>
        </w:rPr>
        <w:t>Algorithmic rule-based sarcasm validation (`dataset_sindiran_valid.csv`, $N = 3,395$).</w:t>
      </w:r>
    </w:p>
    <w:p>
      <w:pPr>
        <w:pStyle w:val="ListNumber"/>
        <w:spacing w:after="60"/>
      </w:pPr>
      <w:r>
        <w:rPr>
          <w:sz w:val="22"/>
        </w:rPr>
        <w:t>Directed Social Network Analysis (`network_edges.csv`, $|V| = 971$, $|E| = 666$).</w:t>
      </w:r>
    </w:p>
    <w:p>
      <w:pPr>
        <w:pStyle w:val="ListNumber"/>
        <w:spacing w:after="60"/>
      </w:pPr>
      <w:r>
        <w:rPr>
          <w:sz w:val="22"/>
        </w:rPr>
        <w:t>Thematic Aspect-Based Sentiment Analysis (`absa_results.csv`, 3 operational pillars).</w:t>
      </w:r>
    </w:p>
    <w:p>
      <w:pPr>
        <w:spacing w:before="160" w:after="80"/>
      </w:pPr>
      <w:r>
        <w:rPr>
          <w:b/>
          <w:color w:val="111827"/>
          <w:sz w:val="24"/>
        </w:rPr>
        <w:t>3.2 Corpus Acquisition and Preprocessing</w:t>
      </w:r>
    </w:p>
    <w:p>
      <w:pPr>
        <w:spacing w:line="276" w:lineRule="auto" w:after="120"/>
      </w:pPr>
      <w:r>
        <w:rPr>
          <w:sz w:val="23"/>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rPr>
          <w:sz w:val="23"/>
        </w:rPr>
        <w:t>Preprocessing was implemented in Python using regular expressions and custom Indonesian linguistic dictionaries:</w:t>
      </w:r>
    </w:p>
    <w:p>
      <w:pPr>
        <w:pStyle w:val="ListBullet"/>
        <w:spacing w:after="60"/>
      </w:pPr>
      <w:r>
        <w:rPr>
          <w:sz w:val="22"/>
        </w:rPr>
        <w:t>Denoising: Stripping URLs, redundant white spaces, punctuation cascades, and platform metadata artifacts.</w:t>
      </w:r>
    </w:p>
    <w:p>
      <w:pPr>
        <w:pStyle w:val="ListBullet"/>
        <w:spacing w:after="60"/>
      </w:pPr>
      <w:r>
        <w:rPr>
          <w:sz w:val="22"/>
        </w:rPr>
        <w:t>Entity Preservation: Extracting user mentions (`@username`) for network edge formulation prior to text masking.</w:t>
      </w:r>
    </w:p>
    <w:p>
      <w:pPr>
        <w:pStyle w:val="ListBullet"/>
        <w:spacing w:after="60"/>
      </w:pPr>
      <w:r>
        <w:rPr>
          <w:sz w:val="22"/>
        </w:rPr>
        <w:t>Emoji Demarcation: Converting raw UTF-8 emoji glyphs into semantic text descriptors (e.g., 🤡 to `:clown_face:`, 🤮 to `:vomiting_face:`) to preserve pragmatic sentiment valence.</w:t>
      </w:r>
    </w:p>
    <w:p>
      <w:pPr>
        <w:pStyle w:val="ListBullet"/>
        <w:spacing w:after="60"/>
      </w:pPr>
      <w:r>
        <w:rPr>
          <w:sz w:val="22"/>
        </w:rPr>
        <w:t>Slang Normalization: Replacing non-standard conversational slang (*kata gaul/singkatan*) with standard formal lemmas using a curated Indonesian informal lexicon (*e.g., 'bgt' to 'banget', 'bener2' to 'benar-benar'*, *'ancur' to 'hancur'*).</w:t>
      </w:r>
    </w:p>
    <w:p>
      <w:pPr>
        <w:pStyle w:val="ListBullet"/>
        <w:spacing w:after="60"/>
      </w:pPr>
      <w:r>
        <w:rPr>
          <w:sz w:val="22"/>
        </w:rPr>
        <w:t>Deduplication: Removing exact duplicate retweets, resulting in a clean corpus of $N = 5,309$ records (`data/processed/data_clean.csv`), which was subsequently filtered to $N = 5,263$ high-integrity tweets for final inference.</w:t>
      </w:r>
    </w:p>
    <w:p>
      <w:pPr>
        <w:spacing w:before="160" w:after="80"/>
      </w:pPr>
      <w:r>
        <w:rPr>
          <w:b/>
          <w:color w:val="111827"/>
          <w:sz w:val="24"/>
        </w:rPr>
        <w:t>3.3 Fine-Tuning IndoBERT for 9 Granular Emotions</w:t>
      </w:r>
    </w:p>
    <w:p>
      <w:pPr>
        <w:spacing w:line="276" w:lineRule="auto" w:after="120"/>
      </w:pPr>
      <w:r>
        <w:rPr>
          <w:sz w:val="23"/>
        </w:rP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spacing w:after="60"/>
      </w:pPr>
      <w:r>
        <w:rPr>
          <w:sz w:val="22"/>
        </w:rPr>
        <w:t>Base Architecture: `indobenchmark/indobert-base-p2` (12 transformer layers, 768 hidden dimensions, 12 self-attention heads, 124.5 million parameters).</w:t>
      </w:r>
    </w:p>
    <w:p>
      <w:pPr>
        <w:pStyle w:val="ListBullet"/>
        <w:spacing w:after="60"/>
      </w:pPr>
      <w:r>
        <w:rPr>
          <w:sz w:val="22"/>
        </w:rPr>
        <w:t>Dataset Partitioning: Stratified splitting of annotated data into 80% training set ($N = 4,210$) and 20% independent holdout test set ($n = 1,053$).</w:t>
      </w:r>
    </w:p>
    <w:p>
      <w:pPr>
        <w:pStyle w:val="ListBullet"/>
        <w:spacing w:after="60"/>
      </w:pPr>
      <w:r>
        <w:rPr>
          <w:sz w:val="22"/>
        </w:rPr>
        <w:t>Hyperparameter Specifications:</w:t>
      </w:r>
    </w:p>
    <w:p>
      <w:pPr>
        <w:pStyle w:val="ListBullet"/>
        <w:spacing w:after="60"/>
      </w:pPr>
      <w:r>
        <w:rPr>
          <w:sz w:val="22"/>
        </w:rPr>
        <w:t>Optimizer: AdamW with weight decay $\lambda = 0.01$.</w:t>
      </w:r>
    </w:p>
    <w:p>
      <w:pPr>
        <w:pStyle w:val="ListBullet"/>
        <w:spacing w:after="60"/>
      </w:pPr>
      <w:r>
        <w:rPr>
          <w:sz w:val="22"/>
        </w:rPr>
        <w:t xml:space="preserve">Learning Rate: $\eta = 2 </w:t>
        <w:tab/>
        <w:t>imes 10^{-5}$ with linear learning rate warmup.</w:t>
      </w:r>
    </w:p>
    <w:p>
      <w:pPr>
        <w:pStyle w:val="ListBullet"/>
        <w:spacing w:after="60"/>
      </w:pPr>
      <w:r>
        <w:rPr>
          <w:sz w:val="22"/>
        </w:rPr>
        <w:t>Batch Size: 16 per device.</w:t>
      </w:r>
    </w:p>
    <w:p>
      <w:pPr>
        <w:pStyle w:val="ListBullet"/>
        <w:spacing w:after="60"/>
      </w:pPr>
      <w:r>
        <w:rPr>
          <w:sz w:val="22"/>
        </w:rPr>
        <w:t>Epochs: 3 epochs (following Devlin et al., 2018 and Wilie et al., 2020 to prevent catastrophic forgetting and overfitting).</w:t>
      </w:r>
    </w:p>
    <w:p>
      <w:pPr>
        <w:pStyle w:val="ListBullet"/>
        <w:spacing w:after="60"/>
      </w:pPr>
      <w:r>
        <w:rPr>
          <w:sz w:val="22"/>
        </w:rPr>
        <w:t>Maximum Sequence Length: 128 tokens.</w:t>
      </w:r>
    </w:p>
    <w:p>
      <w:pPr>
        <w:pStyle w:val="ListBullet"/>
        <w:spacing w:after="60"/>
      </w:pPr>
      <w:r>
        <w:rPr>
          <w:sz w:val="22"/>
        </w:rPr>
        <w:t>Checkpoint Selection: Evaluated per epoch; optimal weights extracted at step 792 (`checkpoint-792`).</w:t>
      </w:r>
    </w:p>
    <w:p>
      <w:pPr>
        <w:spacing w:before="160" w:after="80"/>
      </w:pPr>
      <w:r>
        <w:rPr>
          <w:b/>
          <w:color w:val="111827"/>
          <w:sz w:val="24"/>
        </w:rPr>
        <w:t>3.4 Pragmatic Sarcasm Validation Algorithm</w:t>
      </w:r>
    </w:p>
    <w:p>
      <w:pPr>
        <w:spacing w:line="276" w:lineRule="auto" w:after="120"/>
      </w:pPr>
      <w:r>
        <w:rPr>
          <w:sz w:val="23"/>
        </w:rPr>
        <w:t>Sarcasm detection was operationalized on a dedicated corpus of $N = 3,395$ tweets. An algorithmic rule-based matcher evaluated tweets based on two formal linguistic criteria:</w:t>
      </w:r>
    </w:p>
    <w:p>
      <w:pPr>
        <w:spacing w:line="276" w:lineRule="auto" w:after="120"/>
      </w:pPr>
      <w:r>
        <w:rPr>
          <w:sz w:val="23"/>
        </w:rPr>
        <w:t>Tweets matching combinations of praise adjectives with complaint context, or positive polarity text with derisive emojis, were flagged and subjected to manual inter-annotator verification, yielding 315 validated sarcastic tweets ($9.28\%$).</w:t>
      </w:r>
    </w:p>
    <w:p>
      <w:pPr>
        <w:spacing w:before="160" w:after="80"/>
      </w:pPr>
      <w:r>
        <w:rPr>
          <w:b/>
          <w:color w:val="111827"/>
          <w:sz w:val="24"/>
        </w:rPr>
        <w:t>3.5 Social Network Modeling and Community Partitions</w:t>
      </w:r>
    </w:p>
    <w:p>
      <w:pPr>
        <w:spacing w:line="276" w:lineRule="auto" w:after="120"/>
      </w:pPr>
      <w:r>
        <w:rPr>
          <w:sz w:val="23"/>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spacing w:after="60"/>
      </w:pPr>
      <w:r>
        <w:rPr>
          <w:sz w:val="22"/>
        </w:rPr>
        <w:t>Structural Centrality:</w:t>
      </w:r>
    </w:p>
    <w:p>
      <w:pPr>
        <w:pStyle w:val="ListBullet"/>
        <w:spacing w:after="60"/>
      </w:pPr>
      <w:r>
        <w:rPr>
          <w:sz w:val="22"/>
        </w:rPr>
        <w:t>*In-Degree Centrality ($C_{</w:t>
        <w:tab/>
        <w:t>ext{in}}(v)$):* Quantifies prestige and attention received.</w:t>
      </w:r>
    </w:p>
    <w:p>
      <w:pPr>
        <w:pStyle w:val="ListBullet"/>
        <w:spacing w:after="60"/>
      </w:pPr>
      <w:r>
        <w:rPr>
          <w:sz w:val="22"/>
        </w:rPr>
        <w:t>*Out-Degree Centrality ($C_{</w:t>
        <w:tab/>
        <w:t>ext{out}}(v)$):* Quantifies active communicative broadcasting.</w:t>
      </w:r>
    </w:p>
    <w:p>
      <w:pPr>
        <w:pStyle w:val="ListBullet"/>
        <w:spacing w:after="60"/>
      </w:pPr>
      <w:r>
        <w:rPr>
          <w:sz w:val="22"/>
        </w:rPr>
        <w:t>*Betweenness Centrality ($C_B(v)$):* Identifies structural brokers bridging otherwise disconnected clusters.</w:t>
      </w:r>
    </w:p>
    <w:p>
      <w:pPr>
        <w:pStyle w:val="ListBullet"/>
        <w:spacing w:after="60"/>
      </w:pPr>
      <w:r>
        <w:rPr>
          <w:sz w:val="22"/>
        </w:rPr>
        <w:t>Community Detection: Modularity optimization using the Louvain heuristic algorithm (Blondel et al., 2008).</w:t>
      </w:r>
    </w:p>
    <w:p>
      <w:pPr>
        <w:spacing w:before="160" w:after="80"/>
      </w:pPr>
      <w:r>
        <w:rPr>
          <w:b/>
          <w:color w:val="111827"/>
          <w:sz w:val="24"/>
        </w:rPr>
        <w:t>3.6 Thematic Aspect-Based Sentiment Analysis (ABSA)</w:t>
      </w:r>
    </w:p>
    <w:p>
      <w:pPr>
        <w:spacing w:line="276" w:lineRule="auto" w:after="120"/>
      </w:pPr>
      <w:r>
        <w:rPr>
          <w:sz w:val="23"/>
        </w:rPr>
        <w:t>To measure the *Phygital Gap*, tweets were mapped into three operational pillars of the MBG program using domain-specific lexical expansion:</w:t>
      </w:r>
    </w:p>
    <w:p>
      <w:pPr>
        <w:pStyle w:val="ListNumber"/>
        <w:spacing w:after="60"/>
      </w:pPr>
      <w:r>
        <w:rPr>
          <w:sz w:val="22"/>
        </w:rPr>
        <w:t>Logistics &amp; Distribution: keywords related to delivery delays, cold food, vendor packaging, and distribution timing.</w:t>
      </w:r>
    </w:p>
    <w:p>
      <w:pPr>
        <w:pStyle w:val="ListNumber"/>
        <w:spacing w:after="60"/>
      </w:pPr>
      <w:r>
        <w:rPr>
          <w:sz w:val="22"/>
        </w:rPr>
        <w:t>Budget &amp; Vendor Allocation: keywords related to per-meal unit costs (e.g., Rp15.000 vs Rp10.000), corruption, tender transparency, and supplier markups.</w:t>
      </w:r>
    </w:p>
    <w:p>
      <w:pPr>
        <w:pStyle w:val="ListNumber"/>
        <w:spacing w:after="60"/>
      </w:pPr>
      <w:r>
        <w:rPr>
          <w:sz w:val="22"/>
        </w:rPr>
        <w:t>Food Nutritional Quality: keywords related to taste, spoiled milk, rotten fruit, small portion sizes, and hygienic safety.</w:t>
      </w:r>
    </w:p>
    <w:p>
      <w:pPr>
        <w:spacing w:line="276" w:lineRule="auto" w:after="120"/>
      </w:pPr>
      <w:r>
        <w:rPr>
          <w:sz w:val="23"/>
        </w:rPr>
        <w:t>Affective distributions were calculated across each aspect to verify where public disgust concentrated.</w:t>
      </w:r>
    </w:p>
    <w:p>
      <w:pPr>
        <w:spacing w:line="276" w:lineRule="auto" w:after="120"/>
      </w:pPr>
      <w:r>
        <w:rPr>
          <w:sz w:val="23"/>
        </w:rPr>
        <w:t>---</w:t>
      </w:r>
    </w:p>
    <w:p>
      <w:pPr>
        <w:spacing w:before="240" w:after="120"/>
      </w:pPr>
      <w:r>
        <w:rPr>
          <w:b/>
          <w:color w:val="1E3A8A"/>
          <w:sz w:val="28"/>
        </w:rPr>
        <w:t>4. EMPIRICAL RESULTS</w:t>
      </w:r>
    </w:p>
    <w:p>
      <w:pPr>
        <w:spacing w:before="160" w:after="80"/>
      </w:pPr>
      <w:r>
        <w:rPr>
          <w:b/>
          <w:color w:val="111827"/>
          <w:sz w:val="24"/>
        </w:rPr>
        <w:t>4.1 Granular Emotion Distribution (IndoBERT Inference)</w:t>
      </w:r>
    </w:p>
    <w:p>
      <w:pPr>
        <w:spacing w:line="276" w:lineRule="auto" w:after="120"/>
      </w:pPr>
      <w:r>
        <w:rPr>
          <w:sz w:val="23"/>
        </w:rPr>
        <w:t>Inference across the complete corpus ($N = 5,263$) established an overwhelming concentration of negative visceral affect: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 (Plutchik)</w:t>
            </w:r>
          </w:p>
        </w:tc>
        <w:tc>
          <w:tcPr>
            <w:tcW w:type="dxa" w:w="1872"/>
          </w:tcPr>
          <w:p>
            <w:pPr>
              <w:spacing w:before="40" w:after="40"/>
            </w:pPr>
            <w:r>
              <w:rPr>
                <w:rFonts w:ascii="Times New Roman" w:hAnsi="Times New Roman"/>
                <w:b/>
                <w:sz w:val="20"/>
              </w:rPr>
              <w:t>Indonesian Label</w:t>
            </w:r>
          </w:p>
        </w:tc>
        <w:tc>
          <w:tcPr>
            <w:tcW w:type="dxa" w:w="1872"/>
          </w:tcPr>
          <w:p>
            <w:pPr>
              <w:spacing w:before="40" w:after="40"/>
            </w:pPr>
            <w:r>
              <w:rPr>
                <w:rFonts w:ascii="Times New Roman" w:hAnsi="Times New Roman"/>
                <w:b/>
                <w:sz w:val="20"/>
              </w:rPr>
              <w:t>Tweet Count</w:t>
            </w:r>
          </w:p>
        </w:tc>
        <w:tc>
          <w:tcPr>
            <w:tcW w:type="dxa" w:w="1872"/>
          </w:tcPr>
          <w:p>
            <w:pPr>
              <w:spacing w:before="40" w:after="40"/>
            </w:pPr>
            <w:r>
              <w:rPr>
                <w:rFonts w:ascii="Times New Roman" w:hAnsi="Times New Roman"/>
                <w:b/>
                <w:sz w:val="20"/>
              </w:rPr>
              <w:t>Percentage (%)</w:t>
            </w:r>
          </w:p>
        </w:tc>
        <w:tc>
          <w:tcPr>
            <w:tcW w:type="dxa" w:w="1872"/>
          </w:tcPr>
          <w:p>
            <w:pPr>
              <w:spacing w:before="40" w:after="40"/>
            </w:pPr>
            <w:r>
              <w:rPr>
                <w:rFonts w:ascii="Times New Roman" w:hAnsi="Times New Roman"/>
                <w:b/>
                <w:sz w:val="20"/>
              </w:rPr>
              <w:t>Communicative Role in Policy Crisis</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Jijik / Mual</w:t>
            </w:r>
          </w:p>
        </w:tc>
        <w:tc>
          <w:tcPr>
            <w:tcW w:type="dxa" w:w="1872"/>
          </w:tcPr>
          <w:p>
            <w:pPr>
              <w:spacing w:before="40" w:after="40"/>
            </w:pPr>
            <w:r>
              <w:rPr>
                <w:rFonts w:ascii="Times New Roman" w:hAnsi="Times New Roman"/>
                <w:sz w:val="20"/>
              </w:rPr>
              <w:t>2,960</w:t>
            </w:r>
          </w:p>
        </w:tc>
        <w:tc>
          <w:tcPr>
            <w:tcW w:type="dxa" w:w="1872"/>
          </w:tcPr>
          <w:p>
            <w:pPr>
              <w:spacing w:before="40" w:after="40"/>
            </w:pPr>
            <w:r>
              <w:rPr>
                <w:rFonts w:ascii="Times New Roman" w:hAnsi="Times New Roman"/>
                <w:sz w:val="20"/>
              </w:rPr>
              <w:t>56.24%</w:t>
            </w:r>
          </w:p>
        </w:tc>
        <w:tc>
          <w:tcPr>
            <w:tcW w:type="dxa" w:w="1872"/>
          </w:tcPr>
          <w:p>
            <w:pPr>
              <w:spacing w:before="40" w:after="40"/>
            </w:pPr>
            <w:r>
              <w:rPr>
                <w:rFonts w:ascii="Times New Roman" w:hAnsi="Times New Roman"/>
                <w:sz w:val="20"/>
              </w:rPr>
              <w:t>Rejection of physical food quality and portion execution</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Percaya</w:t>
            </w:r>
          </w:p>
        </w:tc>
        <w:tc>
          <w:tcPr>
            <w:tcW w:type="dxa" w:w="1872"/>
          </w:tcPr>
          <w:p>
            <w:pPr>
              <w:spacing w:before="40" w:after="40"/>
            </w:pPr>
            <w:r>
              <w:rPr>
                <w:rFonts w:ascii="Times New Roman" w:hAnsi="Times New Roman"/>
                <w:sz w:val="20"/>
              </w:rPr>
              <w:t>1,073</w:t>
            </w:r>
          </w:p>
        </w:tc>
        <w:tc>
          <w:tcPr>
            <w:tcW w:type="dxa" w:w="1872"/>
          </w:tcPr>
          <w:p>
            <w:pPr>
              <w:spacing w:before="40" w:after="40"/>
            </w:pPr>
            <w:r>
              <w:rPr>
                <w:rFonts w:ascii="Times New Roman" w:hAnsi="Times New Roman"/>
                <w:sz w:val="20"/>
              </w:rPr>
              <w:t>20.39%</w:t>
            </w:r>
          </w:p>
        </w:tc>
        <w:tc>
          <w:tcPr>
            <w:tcW w:type="dxa" w:w="1872"/>
          </w:tcPr>
          <w:p>
            <w:pPr>
              <w:spacing w:before="40" w:after="40"/>
            </w:pPr>
            <w:r>
              <w:rPr>
                <w:rFonts w:ascii="Times New Roman" w:hAnsi="Times New Roman"/>
                <w:sz w:val="20"/>
              </w:rPr>
              <w:t>Defense of policy intention and presidential mandate</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Netral</w:t>
            </w:r>
          </w:p>
        </w:tc>
        <w:tc>
          <w:tcPr>
            <w:tcW w:type="dxa" w:w="1872"/>
          </w:tcPr>
          <w:p>
            <w:pPr>
              <w:spacing w:before="40" w:after="40"/>
            </w:pPr>
            <w:r>
              <w:rPr>
                <w:rFonts w:ascii="Times New Roman" w:hAnsi="Times New Roman"/>
                <w:sz w:val="20"/>
              </w:rPr>
              <w:t>649</w:t>
            </w:r>
          </w:p>
        </w:tc>
        <w:tc>
          <w:tcPr>
            <w:tcW w:type="dxa" w:w="1872"/>
          </w:tcPr>
          <w:p>
            <w:pPr>
              <w:spacing w:before="40" w:after="40"/>
            </w:pPr>
            <w:r>
              <w:rPr>
                <w:rFonts w:ascii="Times New Roman" w:hAnsi="Times New Roman"/>
                <w:sz w:val="20"/>
              </w:rPr>
              <w:t>12.33%</w:t>
            </w:r>
          </w:p>
        </w:tc>
        <w:tc>
          <w:tcPr>
            <w:tcW w:type="dxa" w:w="1872"/>
          </w:tcPr>
          <w:p>
            <w:pPr>
              <w:spacing w:before="40" w:after="40"/>
            </w:pPr>
            <w:r>
              <w:rPr>
                <w:rFonts w:ascii="Times New Roman" w:hAnsi="Times New Roman"/>
                <w:sz w:val="20"/>
              </w:rPr>
              <w:t>Factual news reposts and objective administrative queries</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Tertarik / Antisipasi</w:t>
            </w:r>
          </w:p>
        </w:tc>
        <w:tc>
          <w:tcPr>
            <w:tcW w:type="dxa" w:w="1872"/>
          </w:tcPr>
          <w:p>
            <w:pPr>
              <w:spacing w:before="40" w:after="40"/>
            </w:pPr>
            <w:r>
              <w:rPr>
                <w:rFonts w:ascii="Times New Roman" w:hAnsi="Times New Roman"/>
                <w:sz w:val="20"/>
              </w:rPr>
              <w:t>505</w:t>
            </w:r>
          </w:p>
        </w:tc>
        <w:tc>
          <w:tcPr>
            <w:tcW w:type="dxa" w:w="1872"/>
          </w:tcPr>
          <w:p>
            <w:pPr>
              <w:spacing w:before="40" w:after="40"/>
            </w:pPr>
            <w:r>
              <w:rPr>
                <w:rFonts w:ascii="Times New Roman" w:hAnsi="Times New Roman"/>
                <w:sz w:val="20"/>
              </w:rPr>
              <w:t>9.60%</w:t>
            </w:r>
          </w:p>
        </w:tc>
        <w:tc>
          <w:tcPr>
            <w:tcW w:type="dxa" w:w="1872"/>
          </w:tcPr>
          <w:p>
            <w:pPr>
              <w:spacing w:before="40" w:after="40"/>
            </w:pPr>
            <w:r>
              <w:rPr>
                <w:rFonts w:ascii="Times New Roman" w:hAnsi="Times New Roman"/>
                <w:sz w:val="20"/>
              </w:rPr>
              <w:t>Inquiries regarding budget schedules and tender dates</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Marah</w:t>
            </w:r>
          </w:p>
        </w:tc>
        <w:tc>
          <w:tcPr>
            <w:tcW w:type="dxa" w:w="1872"/>
          </w:tcPr>
          <w:p>
            <w:pPr>
              <w:spacing w:before="40" w:after="40"/>
            </w:pPr>
            <w:r>
              <w:rPr>
                <w:rFonts w:ascii="Times New Roman" w:hAnsi="Times New Roman"/>
                <w:sz w:val="20"/>
              </w:rPr>
              <w:t>55</w:t>
            </w:r>
          </w:p>
        </w:tc>
        <w:tc>
          <w:tcPr>
            <w:tcW w:type="dxa" w:w="1872"/>
          </w:tcPr>
          <w:p>
            <w:pPr>
              <w:spacing w:before="40" w:after="40"/>
            </w:pPr>
            <w:r>
              <w:rPr>
                <w:rFonts w:ascii="Times New Roman" w:hAnsi="Times New Roman"/>
                <w:sz w:val="20"/>
              </w:rPr>
              <w:t>1.05%</w:t>
            </w:r>
          </w:p>
        </w:tc>
        <w:tc>
          <w:tcPr>
            <w:tcW w:type="dxa" w:w="1872"/>
          </w:tcPr>
          <w:p>
            <w:pPr>
              <w:spacing w:before="40" w:after="40"/>
            </w:pPr>
            <w:r>
              <w:rPr>
                <w:rFonts w:ascii="Times New Roman" w:hAnsi="Times New Roman"/>
                <w:sz w:val="20"/>
              </w:rPr>
              <w:t>Direct moral indignation regarding fiscal wastage</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Sedih</w:t>
            </w:r>
          </w:p>
        </w:tc>
        <w:tc>
          <w:tcPr>
            <w:tcW w:type="dxa" w:w="1872"/>
          </w:tcPr>
          <w:p>
            <w:pPr>
              <w:spacing w:before="40" w:after="40"/>
            </w:pPr>
            <w:r>
              <w:rPr>
                <w:rFonts w:ascii="Times New Roman" w:hAnsi="Times New Roman"/>
                <w:sz w:val="20"/>
              </w:rPr>
              <w:t>19</w:t>
            </w:r>
          </w:p>
        </w:tc>
        <w:tc>
          <w:tcPr>
            <w:tcW w:type="dxa" w:w="1872"/>
          </w:tcPr>
          <w:p>
            <w:pPr>
              <w:spacing w:before="40" w:after="40"/>
            </w:pPr>
            <w:r>
              <w:rPr>
                <w:rFonts w:ascii="Times New Roman" w:hAnsi="Times New Roman"/>
                <w:sz w:val="20"/>
              </w:rPr>
              <w:t>0.36%</w:t>
            </w:r>
          </w:p>
        </w:tc>
        <w:tc>
          <w:tcPr>
            <w:tcW w:type="dxa" w:w="1872"/>
          </w:tcPr>
          <w:p>
            <w:pPr>
              <w:spacing w:before="40" w:after="40"/>
            </w:pPr>
            <w:r>
              <w:rPr>
                <w:rFonts w:ascii="Times New Roman" w:hAnsi="Times New Roman"/>
                <w:sz w:val="20"/>
              </w:rPr>
              <w:t>Empathy toward poisoned schoolchildren</w:t>
            </w:r>
          </w:p>
        </w:tc>
      </w:tr>
      <w:tr>
        <w:tc>
          <w:tcPr>
            <w:tcW w:type="dxa" w:w="1872"/>
          </w:tcPr>
          <w:p>
            <w:pPr>
              <w:spacing w:before="40" w:after="40"/>
            </w:pPr>
            <w:r>
              <w:rPr>
                <w:rFonts w:ascii="Times New Roman" w:hAnsi="Times New Roman"/>
                <w:sz w:val="20"/>
              </w:rPr>
              <w:t>Fear</w:t>
            </w:r>
          </w:p>
        </w:tc>
        <w:tc>
          <w:tcPr>
            <w:tcW w:type="dxa" w:w="1872"/>
          </w:tcPr>
          <w:p>
            <w:pPr>
              <w:spacing w:before="40" w:after="40"/>
            </w:pPr>
            <w:r>
              <w:rPr>
                <w:rFonts w:ascii="Times New Roman" w:hAnsi="Times New Roman"/>
                <w:sz w:val="20"/>
              </w:rPr>
              <w:t>Takut</w:t>
            </w:r>
          </w:p>
        </w:tc>
        <w:tc>
          <w:tcPr>
            <w:tcW w:type="dxa" w:w="1872"/>
          </w:tcPr>
          <w:p>
            <w:pPr>
              <w:spacing w:before="40" w:after="40"/>
            </w:pPr>
            <w:r>
              <w:rPr>
                <w:rFonts w:ascii="Times New Roman" w:hAnsi="Times New Roman"/>
                <w:sz w:val="20"/>
              </w:rPr>
              <w:t>2</w:t>
            </w:r>
          </w:p>
        </w:tc>
        <w:tc>
          <w:tcPr>
            <w:tcW w:type="dxa" w:w="1872"/>
          </w:tcPr>
          <w:p>
            <w:pPr>
              <w:spacing w:before="40" w:after="40"/>
            </w:pPr>
            <w:r>
              <w:rPr>
                <w:rFonts w:ascii="Times New Roman" w:hAnsi="Times New Roman"/>
                <w:sz w:val="20"/>
              </w:rPr>
              <w:t>0.04%</w:t>
            </w:r>
          </w:p>
        </w:tc>
        <w:tc>
          <w:tcPr>
            <w:tcW w:type="dxa" w:w="1872"/>
          </w:tcPr>
          <w:p>
            <w:pPr>
              <w:spacing w:before="40" w:after="40"/>
            </w:pPr>
            <w:r>
              <w:rPr>
                <w:rFonts w:ascii="Times New Roman" w:hAnsi="Times New Roman"/>
                <w:sz w:val="20"/>
              </w:rPr>
              <w:t>Apprehension over long-term fiscal debt</w:t>
            </w:r>
          </w:p>
        </w:tc>
      </w:tr>
      <w:tr>
        <w:tc>
          <w:tcPr>
            <w:tcW w:type="dxa" w:w="1872"/>
          </w:tcPr>
          <w:p>
            <w:pPr>
              <w:spacing w:before="40" w:after="40"/>
            </w:pPr>
            <w:r>
              <w:rPr>
                <w:rFonts w:ascii="Times New Roman" w:hAnsi="Times New Roman"/>
                <w:sz w:val="20"/>
              </w:rPr>
              <w:t>Total Corpus</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5,263</w:t>
            </w:r>
          </w:p>
        </w:tc>
        <w:tc>
          <w:tcPr>
            <w:tcW w:type="dxa" w:w="1872"/>
          </w:tcPr>
          <w:p>
            <w:pPr>
              <w:spacing w:before="40" w:after="40"/>
            </w:pPr>
            <w:r>
              <w:rPr>
                <w:rFonts w:ascii="Times New Roman" w:hAnsi="Times New Roman"/>
                <w:sz w:val="20"/>
              </w:rPr>
              <w:t>100.00%</w:t>
            </w:r>
          </w:p>
        </w:tc>
        <w:tc>
          <w:tcPr>
            <w:tcW w:type="dxa" w:w="1872"/>
          </w:tcPr>
          <w:p>
            <w:pPr>
              <w:spacing w:before="40" w:after="40"/>
            </w:pPr>
            <w:r>
              <w:rPr>
                <w:rFonts w:ascii="Times New Roman" w:hAnsi="Times New Roman"/>
                <w:sz w:val="20"/>
              </w:rPr>
              <w:t>Full Inference Dataset (`indobert_9_emosi_fixed.csv`)</w:t>
            </w:r>
          </w:p>
        </w:tc>
      </w:tr>
    </w:tbl>
    <w:p/>
    <w:p>
      <w:pPr>
        <w:spacing w:line="276" w:lineRule="auto" w:after="120"/>
      </w:pPr>
      <w:r>
        <w:rPr>
          <w:sz w:val="23"/>
        </w:rPr>
        <w:t>The distribution demonstrates that public opposition to the MBG program is not driven by generalized ideological *Anger* ($1.05\%$), but by visceral physical *Disgust* ($56.24\%$).</w:t>
      </w:r>
    </w:p>
    <w:p>
      <w:pPr>
        <w:spacing w:before="160" w:after="80"/>
      </w:pPr>
      <w:r>
        <w:rPr>
          <w:b/>
          <w:color w:val="111827"/>
          <w:sz w:val="24"/>
        </w:rPr>
        <w:t>4.2 Sarcasm and Pragmatic Semiotic Subversion</w:t>
      </w:r>
    </w:p>
    <w:p>
      <w:pPr>
        <w:spacing w:line="276" w:lineRule="auto" w:after="120"/>
      </w:pPr>
      <w:r>
        <w:rPr>
          <w:sz w:val="23"/>
        </w:rP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rPr>
          <w:sz w:val="23"/>
        </w:rPr>
        <w:t>Representative qualitative examples include:</w:t>
      </w:r>
    </w:p>
    <w:p>
      <w:pPr>
        <w:pStyle w:val="ListBullet"/>
        <w:spacing w:after="60"/>
      </w:pPr>
      <w:r>
        <w:rPr>
          <w:sz w:val="22"/>
        </w:rPr>
        <w:t>*Cuitan 1:* 'Menu MBG hari ini mewah banget, nasinya bisa buat nimpuk maling, ayamnya seukuran upil 🤡👍' (Pragmatic praise *'mewah banget'* directly contradicted by abusive physical descriptions and clown emoji).</w:t>
      </w:r>
    </w:p>
    <w:p>
      <w:pPr>
        <w:pStyle w:val="ListBullet"/>
        <w:spacing w:after="60"/>
      </w:pPr>
      <w:r>
        <w:rPr>
          <w:sz w:val="22"/>
        </w:rPr>
        <w:t>*Cuitan 2:* 'Terima kasih program gizi gratis, anak-anak kenyang langsung masuk IGD rumah sakit 🤮' (Gratitude formula undermined by hospital casualty outcome and vomiting emoji).</w:t>
      </w:r>
    </w:p>
    <w:p>
      <w:pPr>
        <w:spacing w:before="160" w:after="80"/>
      </w:pPr>
      <w:r>
        <w:rPr>
          <w:b/>
          <w:color w:val="111827"/>
          <w:sz w:val="24"/>
        </w:rPr>
        <w:t>4.3 Social Network Topology and Reciprocity Breakdown</w:t>
      </w:r>
    </w:p>
    <w:p>
      <w:pPr>
        <w:spacing w:line="276" w:lineRule="auto" w:after="120"/>
      </w:pPr>
      <w:r>
        <w:rPr>
          <w:sz w:val="23"/>
        </w:rPr>
        <w:t>Mathematical graph modeling of the 971 participating X users generated the following network topological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Network Parameter</w:t>
            </w:r>
          </w:p>
        </w:tc>
        <w:tc>
          <w:tcPr>
            <w:tcW w:type="dxa" w:w="1872"/>
          </w:tcPr>
          <w:p>
            <w:pPr>
              <w:spacing w:before="40" w:after="40"/>
            </w:pPr>
            <w:r>
              <w:rPr>
                <w:rFonts w:ascii="Times New Roman" w:hAnsi="Times New Roman"/>
                <w:b/>
                <w:sz w:val="20"/>
              </w:rPr>
              <w:t>Empirical Value</w:t>
            </w:r>
          </w:p>
        </w:tc>
        <w:tc>
          <w:tcPr>
            <w:tcW w:type="dxa" w:w="1872"/>
          </w:tcPr>
          <w:p>
            <w:pPr>
              <w:spacing w:before="40" w:after="40"/>
            </w:pPr>
            <w:r>
              <w:rPr>
                <w:rFonts w:ascii="Times New Roman" w:hAnsi="Times New Roman"/>
                <w:b/>
                <w:sz w:val="20"/>
              </w:rPr>
              <w:t>Theoretical Interpretation</w:t>
            </w:r>
          </w:p>
        </w:tc>
        <w:tc>
          <w:tcPr>
            <w:tcW w:type="dxa" w:w="1872"/>
          </w:tcPr>
          <w:p/>
        </w:tc>
        <w:tc>
          <w:tcPr>
            <w:tcW w:type="dxa" w:w="1872"/>
          </w:tcPr>
          <w:p/>
        </w:tc>
      </w:tr>
      <w:tr>
        <w:tc>
          <w:tcPr>
            <w:tcW w:type="dxa" w:w="1872"/>
          </w:tcPr>
          <w:p>
            <w:pPr>
              <w:spacing w:before="40" w:after="40"/>
            </w:pPr>
            <w:r>
              <w:rPr>
                <w:rFonts w:ascii="Times New Roman" w:hAnsi="Times New Roman"/>
                <w:sz w:val="20"/>
              </w:rPr>
              <w:t>Total Nodes (</w:t>
            </w:r>
          </w:p>
        </w:tc>
        <w:tc>
          <w:tcPr>
            <w:tcW w:type="dxa" w:w="1872"/>
          </w:tcPr>
          <w:p>
            <w:pPr>
              <w:spacing w:before="40" w:after="40"/>
            </w:pPr>
            <w:r>
              <w:rPr>
                <w:rFonts w:ascii="Times New Roman" w:hAnsi="Times New Roman"/>
                <w:sz w:val="20"/>
              </w:rPr>
              <w:t>V</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971</w:t>
            </w:r>
          </w:p>
        </w:tc>
        <w:tc>
          <w:tcPr>
            <w:tcW w:type="dxa" w:w="1872"/>
          </w:tcPr>
          <w:p>
            <w:pPr>
              <w:spacing w:before="40" w:after="40"/>
            </w:pPr>
            <w:r>
              <w:rPr>
                <w:rFonts w:ascii="Times New Roman" w:hAnsi="Times New Roman"/>
                <w:sz w:val="20"/>
              </w:rPr>
              <w:t>Individual accounts engaging in MBG communication</w:t>
            </w:r>
          </w:p>
        </w:tc>
      </w:tr>
      <w:tr>
        <w:tc>
          <w:tcPr>
            <w:tcW w:type="dxa" w:w="1872"/>
          </w:tcPr>
          <w:p>
            <w:pPr>
              <w:spacing w:before="40" w:after="40"/>
            </w:pPr>
            <w:r>
              <w:rPr>
                <w:rFonts w:ascii="Times New Roman" w:hAnsi="Times New Roman"/>
                <w:sz w:val="20"/>
              </w:rPr>
              <w:t>Unique Directed Edges (</w:t>
            </w:r>
          </w:p>
        </w:tc>
        <w:tc>
          <w:tcPr>
            <w:tcW w:type="dxa" w:w="1872"/>
          </w:tcPr>
          <w:p>
            <w:pPr>
              <w:spacing w:before="40" w:after="40"/>
            </w:pPr>
            <w:r>
              <w:rPr>
                <w:rFonts w:ascii="Times New Roman" w:hAnsi="Times New Roman"/>
                <w:sz w:val="20"/>
              </w:rPr>
              <w:t>E</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666</w:t>
            </w:r>
          </w:p>
        </w:tc>
        <w:tc>
          <w:tcPr>
            <w:tcW w:type="dxa" w:w="1872"/>
          </w:tcPr>
          <w:p>
            <w:pPr>
              <w:spacing w:before="40" w:after="40"/>
            </w:pPr>
            <w:r>
              <w:rPr>
                <w:rFonts w:ascii="Times New Roman" w:hAnsi="Times New Roman"/>
                <w:sz w:val="20"/>
              </w:rPr>
              <w:t>Distinct directed mention/reply interactions</w:t>
            </w:r>
          </w:p>
        </w:tc>
      </w:tr>
      <w:tr>
        <w:tc>
          <w:tcPr>
            <w:tcW w:type="dxa" w:w="1872"/>
          </w:tcPr>
          <w:p>
            <w:pPr>
              <w:spacing w:before="40" w:after="40"/>
            </w:pPr>
            <w:r>
              <w:rPr>
                <w:rFonts w:ascii="Times New Roman" w:hAnsi="Times New Roman"/>
                <w:sz w:val="20"/>
              </w:rPr>
              <w:t>Raw Interaction Volume</w:t>
            </w:r>
          </w:p>
        </w:tc>
        <w:tc>
          <w:tcPr>
            <w:tcW w:type="dxa" w:w="1872"/>
          </w:tcPr>
          <w:p>
            <w:pPr>
              <w:spacing w:before="40" w:after="40"/>
            </w:pPr>
            <w:r>
              <w:rPr>
                <w:rFonts w:ascii="Times New Roman" w:hAnsi="Times New Roman"/>
                <w:sz w:val="20"/>
              </w:rPr>
              <w:t>692</w:t>
            </w:r>
          </w:p>
        </w:tc>
        <w:tc>
          <w:tcPr>
            <w:tcW w:type="dxa" w:w="1872"/>
          </w:tcPr>
          <w:p>
            <w:pPr>
              <w:spacing w:before="40" w:after="40"/>
            </w:pPr>
            <w:r>
              <w:rPr>
                <w:rFonts w:ascii="Times New Roman" w:hAnsi="Times New Roman"/>
                <w:sz w:val="20"/>
              </w:rPr>
              <w:t>Total communication events including duplicate pings</w:t>
            </w:r>
          </w:p>
        </w:tc>
        <w:tc>
          <w:tcPr>
            <w:tcW w:type="dxa" w:w="1872"/>
          </w:tcPr>
          <w:p/>
        </w:tc>
        <w:tc>
          <w:tcPr>
            <w:tcW w:type="dxa" w:w="1872"/>
          </w:tcPr>
          <w:p/>
        </w:tc>
      </w:tr>
      <w:tr>
        <w:tc>
          <w:tcPr>
            <w:tcW w:type="dxa" w:w="1872"/>
          </w:tcPr>
          <w:p>
            <w:pPr>
              <w:spacing w:before="40" w:after="40"/>
            </w:pPr>
            <w:r>
              <w:rPr>
                <w:rFonts w:ascii="Times New Roman" w:hAnsi="Times New Roman"/>
                <w:sz w:val="20"/>
              </w:rPr>
              <w:t>Graph Density</w:t>
            </w:r>
          </w:p>
        </w:tc>
        <w:tc>
          <w:tcPr>
            <w:tcW w:type="dxa" w:w="1872"/>
          </w:tcPr>
          <w:p>
            <w:pPr>
              <w:spacing w:before="40" w:after="40"/>
            </w:pPr>
            <w:r>
              <w:rPr>
                <w:rFonts w:ascii="Times New Roman" w:hAnsi="Times New Roman"/>
                <w:sz w:val="20"/>
              </w:rPr>
              <w:t>0.0011</w:t>
            </w:r>
          </w:p>
        </w:tc>
        <w:tc>
          <w:tcPr>
            <w:tcW w:type="dxa" w:w="1872"/>
          </w:tcPr>
          <w:p>
            <w:pPr>
              <w:spacing w:before="40" w:after="40"/>
            </w:pPr>
            <w:r>
              <w:rPr>
                <w:rFonts w:ascii="Times New Roman" w:hAnsi="Times New Roman"/>
                <w:sz w:val="20"/>
              </w:rPr>
              <w:t>Extremely sparse network topology</w:t>
            </w:r>
          </w:p>
        </w:tc>
        <w:tc>
          <w:tcPr>
            <w:tcW w:type="dxa" w:w="1872"/>
          </w:tcPr>
          <w:p/>
        </w:tc>
        <w:tc>
          <w:tcPr>
            <w:tcW w:type="dxa" w:w="1872"/>
          </w:tcPr>
          <w:p/>
        </w:tc>
      </w:tr>
      <w:tr>
        <w:tc>
          <w:tcPr>
            <w:tcW w:type="dxa" w:w="1872"/>
          </w:tcPr>
          <w:p>
            <w:pPr>
              <w:spacing w:before="40" w:after="40"/>
            </w:pPr>
            <w:r>
              <w:rPr>
                <w:rFonts w:ascii="Times New Roman" w:hAnsi="Times New Roman"/>
                <w:sz w:val="20"/>
              </w:rPr>
              <w:t>Reciprocity</w:t>
            </w:r>
          </w:p>
        </w:tc>
        <w:tc>
          <w:tcPr>
            <w:tcW w:type="dxa" w:w="1872"/>
          </w:tcPr>
          <w:p>
            <w:pPr>
              <w:spacing w:before="40" w:after="40"/>
            </w:pPr>
            <w:r>
              <w:rPr>
                <w:rFonts w:ascii="Times New Roman" w:hAnsi="Times New Roman"/>
                <w:sz w:val="20"/>
              </w:rPr>
              <w:t>1.21%</w:t>
            </w:r>
          </w:p>
        </w:tc>
        <w:tc>
          <w:tcPr>
            <w:tcW w:type="dxa" w:w="1872"/>
          </w:tcPr>
          <w:p>
            <w:pPr>
              <w:spacing w:before="40" w:after="40"/>
            </w:pPr>
            <w:r>
              <w:rPr>
                <w:rFonts w:ascii="Times New Roman" w:hAnsi="Times New Roman"/>
                <w:sz w:val="20"/>
              </w:rPr>
              <w:t>98.79% of communication is unidirectional (monologue)</w:t>
            </w:r>
          </w:p>
        </w:tc>
        <w:tc>
          <w:tcPr>
            <w:tcW w:type="dxa" w:w="1872"/>
          </w:tcPr>
          <w:p/>
        </w:tc>
        <w:tc>
          <w:tcPr>
            <w:tcW w:type="dxa" w:w="1872"/>
          </w:tcPr>
          <w:p/>
        </w:tc>
      </w:tr>
      <w:tr>
        <w:tc>
          <w:tcPr>
            <w:tcW w:type="dxa" w:w="1872"/>
          </w:tcPr>
          <w:p>
            <w:pPr>
              <w:spacing w:before="40" w:after="40"/>
            </w:pPr>
            <w:r>
              <w:rPr>
                <w:rFonts w:ascii="Times New Roman" w:hAnsi="Times New Roman"/>
                <w:sz w:val="20"/>
              </w:rPr>
              <w:t>Giant Component Size</w:t>
            </w:r>
          </w:p>
        </w:tc>
        <w:tc>
          <w:tcPr>
            <w:tcW w:type="dxa" w:w="1872"/>
          </w:tcPr>
          <w:p>
            <w:pPr>
              <w:spacing w:before="40" w:after="40"/>
            </w:pPr>
            <w:r>
              <w:rPr>
                <w:rFonts w:ascii="Times New Roman" w:hAnsi="Times New Roman"/>
                <w:sz w:val="20"/>
              </w:rPr>
              <w:t>89 nodes (9.17%)</w:t>
            </w:r>
          </w:p>
        </w:tc>
        <w:tc>
          <w:tcPr>
            <w:tcW w:type="dxa" w:w="1872"/>
          </w:tcPr>
          <w:p>
            <w:pPr>
              <w:spacing w:before="40" w:after="40"/>
            </w:pPr>
            <w:r>
              <w:rPr>
                <w:rFonts w:ascii="Times New Roman" w:hAnsi="Times New Roman"/>
                <w:sz w:val="20"/>
              </w:rPr>
              <w:t>Absence of a unified central communicative core</w:t>
            </w:r>
          </w:p>
        </w:tc>
        <w:tc>
          <w:tcPr>
            <w:tcW w:type="dxa" w:w="1872"/>
          </w:tcPr>
          <w:p/>
        </w:tc>
        <w:tc>
          <w:tcPr>
            <w:tcW w:type="dxa" w:w="1872"/>
          </w:tcPr>
          <w:p/>
        </w:tc>
      </w:tr>
      <w:tr>
        <w:tc>
          <w:tcPr>
            <w:tcW w:type="dxa" w:w="1872"/>
          </w:tcPr>
          <w:p>
            <w:pPr>
              <w:spacing w:before="40" w:after="40"/>
            </w:pPr>
            <w:r>
              <w:rPr>
                <w:rFonts w:ascii="Times New Roman" w:hAnsi="Times New Roman"/>
                <w:sz w:val="20"/>
              </w:rPr>
              <w:t>Isolated Components</w:t>
            </w:r>
          </w:p>
        </w:tc>
        <w:tc>
          <w:tcPr>
            <w:tcW w:type="dxa" w:w="1872"/>
          </w:tcPr>
          <w:p>
            <w:pPr>
              <w:spacing w:before="40" w:after="40"/>
            </w:pPr>
            <w:r>
              <w:rPr>
                <w:rFonts w:ascii="Times New Roman" w:hAnsi="Times New Roman"/>
                <w:sz w:val="20"/>
              </w:rPr>
              <w:t>332 clusters</w:t>
            </w:r>
          </w:p>
        </w:tc>
        <w:tc>
          <w:tcPr>
            <w:tcW w:type="dxa" w:w="1872"/>
          </w:tcPr>
          <w:p>
            <w:pPr>
              <w:spacing w:before="40" w:after="40"/>
            </w:pPr>
            <w:r>
              <w:rPr>
                <w:rFonts w:ascii="Times New Roman" w:hAnsi="Times New Roman"/>
                <w:sz w:val="20"/>
              </w:rPr>
              <w:t>Hyper-fragmented discourse architecture</w:t>
            </w:r>
          </w:p>
        </w:tc>
        <w:tc>
          <w:tcPr>
            <w:tcW w:type="dxa" w:w="1872"/>
          </w:tcPr>
          <w:p/>
        </w:tc>
        <w:tc>
          <w:tcPr>
            <w:tcW w:type="dxa" w:w="1872"/>
          </w:tcPr>
          <w:p/>
        </w:tc>
      </w:tr>
      <w:tr>
        <w:tc>
          <w:tcPr>
            <w:tcW w:type="dxa" w:w="1872"/>
          </w:tcPr>
          <w:p>
            <w:pPr>
              <w:spacing w:before="40" w:after="40"/>
            </w:pPr>
            <w:r>
              <w:rPr>
                <w:rFonts w:ascii="Times New Roman" w:hAnsi="Times New Roman"/>
                <w:sz w:val="20"/>
              </w:rPr>
              <w:t>Louvain Modularity (Q)</w:t>
            </w:r>
          </w:p>
        </w:tc>
        <w:tc>
          <w:tcPr>
            <w:tcW w:type="dxa" w:w="1872"/>
          </w:tcPr>
          <w:p>
            <w:pPr>
              <w:spacing w:before="40" w:after="40"/>
            </w:pPr>
            <w:r>
              <w:rPr>
                <w:rFonts w:ascii="Times New Roman" w:hAnsi="Times New Roman"/>
                <w:sz w:val="20"/>
              </w:rPr>
              <w:t>0.9837</w:t>
            </w:r>
          </w:p>
        </w:tc>
        <w:tc>
          <w:tcPr>
            <w:tcW w:type="dxa" w:w="1872"/>
          </w:tcPr>
          <w:p>
            <w:pPr>
              <w:spacing w:before="40" w:after="40"/>
            </w:pPr>
            <w:r>
              <w:rPr>
                <w:rFonts w:ascii="Times New Roman" w:hAnsi="Times New Roman"/>
                <w:sz w:val="20"/>
              </w:rPr>
              <w:t>Extreme structural division approaching theoretical max (1.0)</w:t>
            </w:r>
          </w:p>
        </w:tc>
        <w:tc>
          <w:tcPr>
            <w:tcW w:type="dxa" w:w="1872"/>
          </w:tcPr>
          <w:p/>
        </w:tc>
        <w:tc>
          <w:tcPr>
            <w:tcW w:type="dxa" w:w="1872"/>
          </w:tcPr>
          <w:p/>
        </w:tc>
      </w:tr>
    </w:tbl>
    <w:p/>
    <w:p>
      <w:pPr>
        <w:spacing w:line="276" w:lineRule="auto" w:after="120"/>
      </w:pPr>
      <w:r>
        <w:rPr>
          <w:sz w:val="23"/>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160" w:after="80"/>
      </w:pPr>
      <w:r>
        <w:rPr>
          <w:b/>
          <w:color w:val="111827"/>
          <w:sz w:val="24"/>
        </w:rPr>
        <w:t>4.4 Structural Power Asymmetry: The Algorithmic Oracle vs. Institutional Silence</w:t>
      </w:r>
    </w:p>
    <w:p>
      <w:pPr>
        <w:spacing w:line="276" w:lineRule="auto" w:after="120"/>
      </w:pPr>
      <w:r>
        <w:rPr>
          <w:sz w:val="23"/>
        </w:rPr>
        <w:t>Centrality calculations exposed an acute disparity between formal political power and digital communicative authority: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pPr>
            <w:r>
              <w:rPr>
                <w:rFonts w:ascii="Times New Roman" w:hAnsi="Times New Roman"/>
                <w:b/>
                <w:sz w:val="20"/>
              </w:rPr>
              <w:t>Rank</w:t>
            </w:r>
          </w:p>
        </w:tc>
        <w:tc>
          <w:tcPr>
            <w:tcW w:type="dxa" w:w="1560"/>
          </w:tcPr>
          <w:p>
            <w:pPr>
              <w:spacing w:before="40" w:after="40"/>
            </w:pPr>
            <w:r>
              <w:rPr>
                <w:rFonts w:ascii="Times New Roman" w:hAnsi="Times New Roman"/>
                <w:b/>
                <w:sz w:val="20"/>
              </w:rPr>
              <w:t>User Account</w:t>
            </w:r>
          </w:p>
        </w:tc>
        <w:tc>
          <w:tcPr>
            <w:tcW w:type="dxa" w:w="1560"/>
          </w:tcPr>
          <w:p>
            <w:pPr>
              <w:spacing w:before="40" w:after="40"/>
            </w:pPr>
            <w:r>
              <w:rPr>
                <w:rFonts w:ascii="Times New Roman" w:hAnsi="Times New Roman"/>
                <w:b/>
                <w:sz w:val="20"/>
              </w:rPr>
              <w:t>In-Degree (C_{</w:t>
              <w:tab/>
              <w:t>ext{in}})</w:t>
            </w:r>
          </w:p>
        </w:tc>
        <w:tc>
          <w:tcPr>
            <w:tcW w:type="dxa" w:w="1560"/>
          </w:tcPr>
          <w:p>
            <w:pPr>
              <w:spacing w:before="40" w:after="40"/>
            </w:pPr>
            <w:r>
              <w:rPr>
                <w:rFonts w:ascii="Times New Roman" w:hAnsi="Times New Roman"/>
                <w:b/>
                <w:sz w:val="20"/>
              </w:rPr>
              <w:t>Out-Degree (C_{</w:t>
              <w:tab/>
              <w:t>ext{out}})</w:t>
            </w:r>
          </w:p>
        </w:tc>
        <w:tc>
          <w:tcPr>
            <w:tcW w:type="dxa" w:w="1560"/>
          </w:tcPr>
          <w:p>
            <w:pPr>
              <w:spacing w:before="40" w:after="40"/>
            </w:pPr>
            <w:r>
              <w:rPr>
                <w:rFonts w:ascii="Times New Roman" w:hAnsi="Times New Roman"/>
                <w:b/>
                <w:sz w:val="20"/>
              </w:rPr>
              <w:t>Betweenness (C_B)</w:t>
            </w:r>
          </w:p>
        </w:tc>
        <w:tc>
          <w:tcPr>
            <w:tcW w:type="dxa" w:w="1560"/>
          </w:tcPr>
          <w:p>
            <w:pPr>
              <w:spacing w:before="40" w:after="40"/>
            </w:pPr>
            <w:r>
              <w:rPr>
                <w:rFonts w:ascii="Times New Roman" w:hAnsi="Times New Roman"/>
                <w:b/>
                <w:sz w:val="20"/>
              </w:rPr>
              <w:t>Role in Discourse Network</w:t>
            </w:r>
          </w:p>
        </w:tc>
      </w:tr>
      <w:tr>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`@grok`</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42</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Algorithmic Oracle (Primary Broadcast Hub)</w:t>
            </w:r>
          </w:p>
        </w:tc>
      </w:tr>
      <w:tr>
        <w:tc>
          <w:tcPr>
            <w:tcW w:type="dxa" w:w="1560"/>
          </w:tcPr>
          <w:p>
            <w:pPr>
              <w:spacing w:before="40" w:after="40"/>
            </w:pPr>
            <w:r>
              <w:rPr>
                <w:rFonts w:ascii="Times New Roman" w:hAnsi="Times New Roman"/>
                <w:sz w:val="20"/>
              </w:rPr>
              <w:t>2</w:t>
            </w:r>
          </w:p>
        </w:tc>
        <w:tc>
          <w:tcPr>
            <w:tcW w:type="dxa" w:w="1560"/>
          </w:tcPr>
          <w:p>
            <w:pPr>
              <w:spacing w:before="40" w:after="40"/>
            </w:pPr>
            <w:r>
              <w:rPr>
                <w:rFonts w:ascii="Times New Roman" w:hAnsi="Times New Roman"/>
                <w:sz w:val="20"/>
              </w:rPr>
              <w:t>`@4Y4NKZ`</w:t>
            </w:r>
          </w:p>
        </w:tc>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8</w:t>
            </w:r>
          </w:p>
        </w:tc>
        <w:tc>
          <w:tcPr>
            <w:tcW w:type="dxa" w:w="1560"/>
          </w:tcPr>
          <w:p>
            <w:pPr>
              <w:spacing w:before="40" w:after="40"/>
            </w:pPr>
            <w:r>
              <w:rPr>
                <w:rFonts w:ascii="Times New Roman" w:hAnsi="Times New Roman"/>
                <w:sz w:val="20"/>
              </w:rPr>
              <w:t>0.000016</w:t>
            </w:r>
          </w:p>
        </w:tc>
        <w:tc>
          <w:tcPr>
            <w:tcW w:type="dxa" w:w="1560"/>
          </w:tcPr>
          <w:p>
            <w:pPr>
              <w:spacing w:before="40" w:after="40"/>
            </w:pPr>
            <w:r>
              <w:rPr>
                <w:rFonts w:ascii="Times New Roman" w:hAnsi="Times New Roman"/>
                <w:sz w:val="20"/>
              </w:rPr>
              <w:t>Structural Broker (Inter-cluster bridge)</w:t>
            </w:r>
          </w:p>
        </w:tc>
      </w:tr>
      <w:tr>
        <w:tc>
          <w:tcPr>
            <w:tcW w:type="dxa" w:w="1560"/>
          </w:tcPr>
          <w:p>
            <w:pPr>
              <w:spacing w:before="40" w:after="40"/>
            </w:pPr>
            <w:r>
              <w:rPr>
                <w:rFonts w:ascii="Times New Roman" w:hAnsi="Times New Roman"/>
                <w:sz w:val="20"/>
              </w:rPr>
              <w:t>3</w:t>
            </w:r>
          </w:p>
        </w:tc>
        <w:tc>
          <w:tcPr>
            <w:tcW w:type="dxa" w:w="1560"/>
          </w:tcPr>
          <w:p>
            <w:pPr>
              <w:spacing w:before="40" w:after="40"/>
            </w:pPr>
            <w:r>
              <w:rPr>
                <w:rFonts w:ascii="Times New Roman" w:hAnsi="Times New Roman"/>
                <w:sz w:val="20"/>
              </w:rPr>
              <w:t>`@prabowo`</w:t>
            </w:r>
          </w:p>
        </w:tc>
        <w:tc>
          <w:tcPr>
            <w:tcW w:type="dxa" w:w="1560"/>
          </w:tcPr>
          <w:p>
            <w:pPr>
              <w:spacing w:before="40" w:after="40"/>
            </w:pPr>
            <w:r>
              <w:rPr>
                <w:rFonts w:ascii="Times New Roman" w:hAnsi="Times New Roman"/>
                <w:sz w:val="20"/>
              </w:rPr>
              <w:t>15</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Power Vacuum (Passive Target of Grievances)</w:t>
            </w:r>
          </w:p>
        </w:tc>
      </w:tr>
      <w:tr>
        <w:tc>
          <w:tcPr>
            <w:tcW w:type="dxa" w:w="1560"/>
          </w:tcPr>
          <w:p>
            <w:pPr>
              <w:spacing w:before="40" w:after="40"/>
            </w:pPr>
            <w:r>
              <w:rPr>
                <w:rFonts w:ascii="Times New Roman" w:hAnsi="Times New Roman"/>
                <w:sz w:val="20"/>
              </w:rPr>
              <w:t>4</w:t>
            </w:r>
          </w:p>
        </w:tc>
        <w:tc>
          <w:tcPr>
            <w:tcW w:type="dxa" w:w="1560"/>
          </w:tcPr>
          <w:p>
            <w:pPr>
              <w:spacing w:before="40" w:after="40"/>
            </w:pPr>
            <w:r>
              <w:rPr>
                <w:rFonts w:ascii="Times New Roman" w:hAnsi="Times New Roman"/>
                <w:sz w:val="20"/>
              </w:rPr>
              <w:t>`@jokowi`</w:t>
            </w:r>
          </w:p>
        </w:tc>
        <w:tc>
          <w:tcPr>
            <w:tcW w:type="dxa" w:w="1560"/>
          </w:tcPr>
          <w:p>
            <w:pPr>
              <w:spacing w:before="40" w:after="40"/>
            </w:pPr>
            <w:r>
              <w:rPr>
                <w:rFonts w:ascii="Times New Roman" w:hAnsi="Times New Roman"/>
                <w:sz w:val="20"/>
              </w:rPr>
              <w:t>9</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r>
        <w:tc>
          <w:tcPr>
            <w:tcW w:type="dxa" w:w="1560"/>
          </w:tcPr>
          <w:p>
            <w:pPr>
              <w:spacing w:before="40" w:after="40"/>
            </w:pPr>
            <w:r>
              <w:rPr>
                <w:rFonts w:ascii="Times New Roman" w:hAnsi="Times New Roman"/>
                <w:sz w:val="20"/>
              </w:rPr>
              <w:t>5</w:t>
            </w:r>
          </w:p>
        </w:tc>
        <w:tc>
          <w:tcPr>
            <w:tcW w:type="dxa" w:w="1560"/>
          </w:tcPr>
          <w:p>
            <w:pPr>
              <w:spacing w:before="40" w:after="40"/>
            </w:pPr>
            <w:r>
              <w:rPr>
                <w:rFonts w:ascii="Times New Roman" w:hAnsi="Times New Roman"/>
                <w:sz w:val="20"/>
              </w:rPr>
              <w:t>`@gibran_tweet`</w:t>
            </w:r>
          </w:p>
        </w:tc>
        <w:tc>
          <w:tcPr>
            <w:tcW w:type="dxa" w:w="1560"/>
          </w:tcPr>
          <w:p>
            <w:pPr>
              <w:spacing w:before="40" w:after="40"/>
            </w:pPr>
            <w:r>
              <w:rPr>
                <w:rFonts w:ascii="Times New Roman" w:hAnsi="Times New Roman"/>
                <w:sz w:val="20"/>
              </w:rPr>
              <w:t>7</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bl>
    <w:p/>
    <w:p>
      <w:pPr>
        <w:spacing w:line="276" w:lineRule="auto" w:after="120"/>
      </w:pPr>
      <w:r>
        <w:rPr>
          <w:sz w:val="23"/>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rPr>
          <w:sz w:val="23"/>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spacing w:before="160" w:after="80"/>
      </w:pPr>
      <w:r>
        <w:rPr>
          <w:b/>
          <w:color w:val="111827"/>
          <w:sz w:val="24"/>
        </w:rPr>
        <w:t>4.5 Model Performance and Evaluation</w:t>
      </w:r>
    </w:p>
    <w:p>
      <w:pPr>
        <w:spacing w:line="276" w:lineRule="auto" w:after="120"/>
      </w:pPr>
      <w:r>
        <w:rPr>
          <w:sz w:val="23"/>
        </w:rPr>
        <w:t>Evaluating IndoBERT (`checkpoint-792`) on the independent test set ($n = 1,053$) yielded the following per-class metrics: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w:t>
            </w:r>
          </w:p>
        </w:tc>
        <w:tc>
          <w:tcPr>
            <w:tcW w:type="dxa" w:w="1872"/>
          </w:tcPr>
          <w:p>
            <w:pPr>
              <w:spacing w:before="40" w:after="40"/>
            </w:pPr>
            <w:r>
              <w:rPr>
                <w:rFonts w:ascii="Times New Roman" w:hAnsi="Times New Roman"/>
                <w:b/>
                <w:sz w:val="20"/>
              </w:rPr>
              <w:t>Precision</w:t>
            </w:r>
          </w:p>
        </w:tc>
        <w:tc>
          <w:tcPr>
            <w:tcW w:type="dxa" w:w="1872"/>
          </w:tcPr>
          <w:p>
            <w:pPr>
              <w:spacing w:before="40" w:after="40"/>
            </w:pPr>
            <w:r>
              <w:rPr>
                <w:rFonts w:ascii="Times New Roman" w:hAnsi="Times New Roman"/>
                <w:b/>
                <w:sz w:val="20"/>
              </w:rPr>
              <w:t>Recall</w:t>
            </w:r>
          </w:p>
        </w:tc>
        <w:tc>
          <w:tcPr>
            <w:tcW w:type="dxa" w:w="1872"/>
          </w:tcPr>
          <w:p>
            <w:pPr>
              <w:spacing w:before="40" w:after="40"/>
            </w:pPr>
            <w:r>
              <w:rPr>
                <w:rFonts w:ascii="Times New Roman" w:hAnsi="Times New Roman"/>
                <w:b/>
                <w:sz w:val="20"/>
              </w:rPr>
              <w:t>F1-Score</w:t>
            </w:r>
          </w:p>
        </w:tc>
        <w:tc>
          <w:tcPr>
            <w:tcW w:type="dxa" w:w="1872"/>
          </w:tcPr>
          <w:p>
            <w:pPr>
              <w:spacing w:before="40" w:after="40"/>
            </w:pPr>
            <w:r>
              <w:rPr>
                <w:rFonts w:ascii="Times New Roman" w:hAnsi="Times New Roman"/>
                <w:b/>
                <w:sz w:val="20"/>
              </w:rPr>
              <w:t>Support (n)</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0.5709</w:t>
            </w:r>
          </w:p>
        </w:tc>
        <w:tc>
          <w:tcPr>
            <w:tcW w:type="dxa" w:w="1872"/>
          </w:tcPr>
          <w:p>
            <w:pPr>
              <w:spacing w:before="40" w:after="40"/>
            </w:pPr>
            <w:r>
              <w:rPr>
                <w:rFonts w:ascii="Times New Roman" w:hAnsi="Times New Roman"/>
                <w:sz w:val="20"/>
              </w:rPr>
              <w:t>0.9692</w:t>
            </w:r>
          </w:p>
        </w:tc>
        <w:tc>
          <w:tcPr>
            <w:tcW w:type="dxa" w:w="1872"/>
          </w:tcPr>
          <w:p>
            <w:pPr>
              <w:spacing w:before="40" w:after="40"/>
            </w:pPr>
            <w:r>
              <w:rPr>
                <w:rFonts w:ascii="Times New Roman" w:hAnsi="Times New Roman"/>
                <w:sz w:val="20"/>
              </w:rPr>
              <w:t>0.7178</w:t>
            </w:r>
          </w:p>
        </w:tc>
        <w:tc>
          <w:tcPr>
            <w:tcW w:type="dxa" w:w="1872"/>
          </w:tcPr>
          <w:p>
            <w:pPr>
              <w:spacing w:before="40" w:after="40"/>
            </w:pPr>
            <w:r>
              <w:rPr>
                <w:rFonts w:ascii="Times New Roman" w:hAnsi="Times New Roman"/>
                <w:sz w:val="20"/>
              </w:rPr>
              <w:t>617</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0.6842</w:t>
            </w:r>
          </w:p>
        </w:tc>
        <w:tc>
          <w:tcPr>
            <w:tcW w:type="dxa" w:w="1872"/>
          </w:tcPr>
          <w:p>
            <w:pPr>
              <w:spacing w:before="40" w:after="40"/>
            </w:pPr>
            <w:r>
              <w:rPr>
                <w:rFonts w:ascii="Times New Roman" w:hAnsi="Times New Roman"/>
                <w:sz w:val="20"/>
              </w:rPr>
              <w:t>0.0637</w:t>
            </w:r>
          </w:p>
        </w:tc>
        <w:tc>
          <w:tcPr>
            <w:tcW w:type="dxa" w:w="1872"/>
          </w:tcPr>
          <w:p>
            <w:pPr>
              <w:spacing w:before="40" w:after="40"/>
            </w:pPr>
            <w:r>
              <w:rPr>
                <w:rFonts w:ascii="Times New Roman" w:hAnsi="Times New Roman"/>
                <w:sz w:val="20"/>
              </w:rPr>
              <w:t>0.1166</w:t>
            </w:r>
          </w:p>
        </w:tc>
        <w:tc>
          <w:tcPr>
            <w:tcW w:type="dxa" w:w="1872"/>
          </w:tcPr>
          <w:p>
            <w:pPr>
              <w:spacing w:before="40" w:after="40"/>
            </w:pPr>
            <w:r>
              <w:rPr>
                <w:rFonts w:ascii="Times New Roman" w:hAnsi="Times New Roman"/>
                <w:sz w:val="20"/>
              </w:rPr>
              <w:t>204</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0.3571</w:t>
            </w:r>
          </w:p>
        </w:tc>
        <w:tc>
          <w:tcPr>
            <w:tcW w:type="dxa" w:w="1872"/>
          </w:tcPr>
          <w:p>
            <w:pPr>
              <w:spacing w:before="40" w:after="40"/>
            </w:pPr>
            <w:r>
              <w:rPr>
                <w:rFonts w:ascii="Times New Roman" w:hAnsi="Times New Roman"/>
                <w:sz w:val="20"/>
              </w:rPr>
              <w:t>0.0385</w:t>
            </w:r>
          </w:p>
        </w:tc>
        <w:tc>
          <w:tcPr>
            <w:tcW w:type="dxa" w:w="1872"/>
          </w:tcPr>
          <w:p>
            <w:pPr>
              <w:spacing w:before="40" w:after="40"/>
            </w:pPr>
            <w:r>
              <w:rPr>
                <w:rFonts w:ascii="Times New Roman" w:hAnsi="Times New Roman"/>
                <w:sz w:val="20"/>
              </w:rPr>
              <w:t>0.0694</w:t>
            </w:r>
          </w:p>
        </w:tc>
        <w:tc>
          <w:tcPr>
            <w:tcW w:type="dxa" w:w="1872"/>
          </w:tcPr>
          <w:p>
            <w:pPr>
              <w:spacing w:before="40" w:after="40"/>
            </w:pPr>
            <w:r>
              <w:rPr>
                <w:rFonts w:ascii="Times New Roman" w:hAnsi="Times New Roman"/>
                <w:sz w:val="20"/>
              </w:rPr>
              <w:t>130</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90</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3</w:t>
            </w:r>
          </w:p>
        </w:tc>
      </w:tr>
      <w:tr>
        <w:tc>
          <w:tcPr>
            <w:tcW w:type="dxa" w:w="1872"/>
          </w:tcPr>
          <w:p>
            <w:pPr>
              <w:spacing w:before="40" w:after="40"/>
            </w:pPr>
            <w:r>
              <w:rPr>
                <w:rFonts w:ascii="Times New Roman" w:hAnsi="Times New Roman"/>
                <w:sz w:val="20"/>
              </w:rPr>
              <w:t>Accuracy</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57.45%</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Macro Average</w:t>
            </w:r>
          </w:p>
        </w:tc>
        <w:tc>
          <w:tcPr>
            <w:tcW w:type="dxa" w:w="1872"/>
          </w:tcPr>
          <w:p>
            <w:pPr>
              <w:spacing w:before="40" w:after="40"/>
            </w:pPr>
            <w:r>
              <w:rPr>
                <w:rFonts w:ascii="Times New Roman" w:hAnsi="Times New Roman"/>
                <w:sz w:val="20"/>
              </w:rPr>
              <w:t>0.1791</w:t>
            </w:r>
          </w:p>
        </w:tc>
        <w:tc>
          <w:tcPr>
            <w:tcW w:type="dxa" w:w="1872"/>
          </w:tcPr>
          <w:p>
            <w:pPr>
              <w:spacing w:before="40" w:after="40"/>
            </w:pPr>
            <w:r>
              <w:rPr>
                <w:rFonts w:ascii="Times New Roman" w:hAnsi="Times New Roman"/>
                <w:sz w:val="20"/>
              </w:rPr>
              <w:t>0.1190</w:t>
            </w:r>
          </w:p>
        </w:tc>
        <w:tc>
          <w:tcPr>
            <w:tcW w:type="dxa" w:w="1872"/>
          </w:tcPr>
          <w:p>
            <w:pPr>
              <w:spacing w:before="40" w:after="40"/>
            </w:pPr>
            <w:r>
              <w:rPr>
                <w:rFonts w:ascii="Times New Roman" w:hAnsi="Times New Roman"/>
                <w:sz w:val="20"/>
              </w:rPr>
              <w:t>0.1444</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Weighted Average</w:t>
            </w:r>
          </w:p>
        </w:tc>
        <w:tc>
          <w:tcPr>
            <w:tcW w:type="dxa" w:w="1872"/>
          </w:tcPr>
          <w:p>
            <w:pPr>
              <w:spacing w:before="40" w:after="40"/>
            </w:pPr>
            <w:r>
              <w:rPr>
                <w:rFonts w:ascii="Times New Roman" w:hAnsi="Times New Roman"/>
                <w:sz w:val="20"/>
              </w:rPr>
              <w:t>0.4738</w:t>
            </w:r>
          </w:p>
        </w:tc>
        <w:tc>
          <w:tcPr>
            <w:tcW w:type="dxa" w:w="1872"/>
          </w:tcPr>
          <w:p>
            <w:pPr>
              <w:spacing w:before="40" w:after="40"/>
            </w:pPr>
            <w:r>
              <w:rPr>
                <w:rFonts w:ascii="Times New Roman" w:hAnsi="Times New Roman"/>
                <w:sz w:val="20"/>
              </w:rPr>
              <w:t>0.5745</w:t>
            </w:r>
          </w:p>
        </w:tc>
        <w:tc>
          <w:tcPr>
            <w:tcW w:type="dxa" w:w="1872"/>
          </w:tcPr>
          <w:p>
            <w:pPr>
              <w:spacing w:before="40" w:after="40"/>
            </w:pPr>
            <w:r>
              <w:rPr>
                <w:rFonts w:ascii="Times New Roman" w:hAnsi="Times New Roman"/>
                <w:sz w:val="20"/>
              </w:rPr>
              <w:t>0.4563</w:t>
            </w:r>
          </w:p>
        </w:tc>
        <w:tc>
          <w:tcPr>
            <w:tcW w:type="dxa" w:w="1872"/>
          </w:tcPr>
          <w:p>
            <w:pPr>
              <w:spacing w:before="40" w:after="40"/>
            </w:pPr>
            <w:r>
              <w:rPr>
                <w:rFonts w:ascii="Times New Roman" w:hAnsi="Times New Roman"/>
                <w:sz w:val="20"/>
              </w:rPr>
              <w:t>1,053</w:t>
            </w:r>
          </w:p>
        </w:tc>
      </w:tr>
    </w:tbl>
    <w:p/>
    <w:p>
      <w:pPr>
        <w:spacing w:line="276" w:lineRule="auto" w:after="120"/>
      </w:pPr>
      <w:r>
        <w:rPr>
          <w:sz w:val="23"/>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spacing w:before="160" w:after="80"/>
      </w:pPr>
      <w:r>
        <w:rPr>
          <w:b/>
          <w:color w:val="111827"/>
          <w:sz w:val="24"/>
        </w:rPr>
        <w:t>4.6 Empirical Validation of the Phygital Gap (ABSA Results)</w:t>
      </w:r>
    </w:p>
    <w:p>
      <w:pPr>
        <w:spacing w:line="276" w:lineRule="auto" w:after="120"/>
      </w:pPr>
      <w:r>
        <w:rPr>
          <w:sz w:val="23"/>
        </w:rPr>
        <w:t>Thematic aspect-based affective distribution across the three physical dimensions of the MBG program confirmed that public disgust was anchored in physical execution failures: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20"/>
              </w:rPr>
              <w:t>Aspect Theme</w:t>
            </w:r>
          </w:p>
        </w:tc>
        <w:tc>
          <w:tcPr>
            <w:tcW w:type="dxa" w:w="1337"/>
          </w:tcPr>
          <w:p>
            <w:pPr>
              <w:spacing w:before="40" w:after="40"/>
            </w:pPr>
            <w:r>
              <w:rPr>
                <w:rFonts w:ascii="Times New Roman" w:hAnsi="Times New Roman"/>
                <w:b/>
                <w:sz w:val="20"/>
              </w:rPr>
              <w:t>Total Mentions</w:t>
            </w:r>
          </w:p>
        </w:tc>
        <w:tc>
          <w:tcPr>
            <w:tcW w:type="dxa" w:w="1337"/>
          </w:tcPr>
          <w:p>
            <w:pPr>
              <w:spacing w:before="40" w:after="40"/>
            </w:pPr>
            <w:r>
              <w:rPr>
                <w:rFonts w:ascii="Times New Roman" w:hAnsi="Times New Roman"/>
                <w:b/>
                <w:sz w:val="20"/>
              </w:rPr>
              <w:t>Disgust Count</w:t>
            </w:r>
          </w:p>
        </w:tc>
        <w:tc>
          <w:tcPr>
            <w:tcW w:type="dxa" w:w="1337"/>
          </w:tcPr>
          <w:p>
            <w:pPr>
              <w:spacing w:before="40" w:after="40"/>
            </w:pPr>
            <w:r>
              <w:rPr>
                <w:rFonts w:ascii="Times New Roman" w:hAnsi="Times New Roman"/>
                <w:b/>
                <w:sz w:val="20"/>
              </w:rPr>
              <w:t>Disgust Pct (%)</w:t>
            </w:r>
          </w:p>
        </w:tc>
        <w:tc>
          <w:tcPr>
            <w:tcW w:type="dxa" w:w="1337"/>
          </w:tcPr>
          <w:p>
            <w:pPr>
              <w:spacing w:before="40" w:after="40"/>
            </w:pPr>
            <w:r>
              <w:rPr>
                <w:rFonts w:ascii="Times New Roman" w:hAnsi="Times New Roman"/>
                <w:b/>
                <w:sz w:val="20"/>
              </w:rPr>
              <w:t>Trust Count</w:t>
            </w:r>
          </w:p>
        </w:tc>
        <w:tc>
          <w:tcPr>
            <w:tcW w:type="dxa" w:w="1337"/>
          </w:tcPr>
          <w:p>
            <w:pPr>
              <w:spacing w:before="40" w:after="40"/>
            </w:pPr>
            <w:r>
              <w:rPr>
                <w:rFonts w:ascii="Times New Roman" w:hAnsi="Times New Roman"/>
                <w:b/>
                <w:sz w:val="20"/>
              </w:rPr>
              <w:t>Trust Pct (%)</w:t>
            </w:r>
          </w:p>
        </w:tc>
        <w:tc>
          <w:tcPr>
            <w:tcW w:type="dxa" w:w="1337"/>
          </w:tcPr>
          <w:p>
            <w:pPr>
              <w:spacing w:before="40" w:after="40"/>
            </w:pPr>
            <w:r>
              <w:rPr>
                <w:rFonts w:ascii="Times New Roman" w:hAnsi="Times New Roman"/>
                <w:b/>
                <w:sz w:val="20"/>
              </w:rPr>
              <w:t>Neutral Pct (%)</w:t>
            </w:r>
          </w:p>
        </w:tc>
      </w:tr>
      <w:tr>
        <w:tc>
          <w:tcPr>
            <w:tcW w:type="dxa" w:w="1337"/>
          </w:tcPr>
          <w:p>
            <w:pPr>
              <w:spacing w:before="40" w:after="40"/>
            </w:pPr>
            <w:r>
              <w:rPr>
                <w:rFonts w:ascii="Times New Roman" w:hAnsi="Times New Roman"/>
                <w:sz w:val="20"/>
              </w:rPr>
              <w:t>Logistics &amp; Distribution</w:t>
            </w:r>
          </w:p>
        </w:tc>
        <w:tc>
          <w:tcPr>
            <w:tcW w:type="dxa" w:w="1337"/>
          </w:tcPr>
          <w:p>
            <w:pPr>
              <w:spacing w:before="40" w:after="40"/>
            </w:pPr>
            <w:r>
              <w:rPr>
                <w:rFonts w:ascii="Times New Roman" w:hAnsi="Times New Roman"/>
                <w:sz w:val="20"/>
              </w:rPr>
              <w:t>403</w:t>
            </w:r>
          </w:p>
        </w:tc>
        <w:tc>
          <w:tcPr>
            <w:tcW w:type="dxa" w:w="1337"/>
          </w:tcPr>
          <w:p>
            <w:pPr>
              <w:spacing w:before="40" w:after="40"/>
            </w:pPr>
            <w:r>
              <w:rPr>
                <w:rFonts w:ascii="Times New Roman" w:hAnsi="Times New Roman"/>
                <w:sz w:val="20"/>
              </w:rPr>
              <w:t>318</w:t>
            </w:r>
          </w:p>
        </w:tc>
        <w:tc>
          <w:tcPr>
            <w:tcW w:type="dxa" w:w="1337"/>
          </w:tcPr>
          <w:p>
            <w:pPr>
              <w:spacing w:before="40" w:after="40"/>
            </w:pPr>
            <w:r>
              <w:rPr>
                <w:rFonts w:ascii="Times New Roman" w:hAnsi="Times New Roman"/>
                <w:sz w:val="20"/>
              </w:rPr>
              <w:t>78.91%</w:t>
            </w:r>
          </w:p>
        </w:tc>
        <w:tc>
          <w:tcPr>
            <w:tcW w:type="dxa" w:w="1337"/>
          </w:tcPr>
          <w:p>
            <w:pPr>
              <w:spacing w:before="40" w:after="40"/>
            </w:pPr>
            <w:r>
              <w:rPr>
                <w:rFonts w:ascii="Times New Roman" w:hAnsi="Times New Roman"/>
                <w:sz w:val="20"/>
              </w:rPr>
              <w:t>21</w:t>
            </w:r>
          </w:p>
        </w:tc>
        <w:tc>
          <w:tcPr>
            <w:tcW w:type="dxa" w:w="1337"/>
          </w:tcPr>
          <w:p>
            <w:pPr>
              <w:spacing w:before="40" w:after="40"/>
            </w:pPr>
            <w:r>
              <w:rPr>
                <w:rFonts w:ascii="Times New Roman" w:hAnsi="Times New Roman"/>
                <w:sz w:val="20"/>
              </w:rPr>
              <w:t>5.21%</w:t>
            </w:r>
          </w:p>
        </w:tc>
        <w:tc>
          <w:tcPr>
            <w:tcW w:type="dxa" w:w="1337"/>
          </w:tcPr>
          <w:p>
            <w:pPr>
              <w:spacing w:before="40" w:after="40"/>
            </w:pPr>
            <w:r>
              <w:rPr>
                <w:rFonts w:ascii="Times New Roman" w:hAnsi="Times New Roman"/>
                <w:sz w:val="20"/>
              </w:rPr>
              <w:t>15.88%</w:t>
            </w:r>
          </w:p>
        </w:tc>
      </w:tr>
      <w:tr>
        <w:tc>
          <w:tcPr>
            <w:tcW w:type="dxa" w:w="1337"/>
          </w:tcPr>
          <w:p>
            <w:pPr>
              <w:spacing w:before="40" w:after="40"/>
            </w:pPr>
            <w:r>
              <w:rPr>
                <w:rFonts w:ascii="Times New Roman" w:hAnsi="Times New Roman"/>
                <w:sz w:val="20"/>
              </w:rPr>
              <w:t>Budget Allocation &amp; Vendors</w:t>
            </w:r>
          </w:p>
        </w:tc>
        <w:tc>
          <w:tcPr>
            <w:tcW w:type="dxa" w:w="1337"/>
          </w:tcPr>
          <w:p>
            <w:pPr>
              <w:spacing w:before="40" w:after="40"/>
            </w:pPr>
            <w:r>
              <w:rPr>
                <w:rFonts w:ascii="Times New Roman" w:hAnsi="Times New Roman"/>
                <w:sz w:val="20"/>
              </w:rPr>
              <w:t>535</w:t>
            </w:r>
          </w:p>
        </w:tc>
        <w:tc>
          <w:tcPr>
            <w:tcW w:type="dxa" w:w="1337"/>
          </w:tcPr>
          <w:p>
            <w:pPr>
              <w:spacing w:before="40" w:after="40"/>
            </w:pPr>
            <w:r>
              <w:rPr>
                <w:rFonts w:ascii="Times New Roman" w:hAnsi="Times New Roman"/>
                <w:sz w:val="20"/>
              </w:rPr>
              <w:t>412</w:t>
            </w:r>
          </w:p>
        </w:tc>
        <w:tc>
          <w:tcPr>
            <w:tcW w:type="dxa" w:w="1337"/>
          </w:tcPr>
          <w:p>
            <w:pPr>
              <w:spacing w:before="40" w:after="40"/>
            </w:pPr>
            <w:r>
              <w:rPr>
                <w:rFonts w:ascii="Times New Roman" w:hAnsi="Times New Roman"/>
                <w:sz w:val="20"/>
              </w:rPr>
              <w:t>77.01%</w:t>
            </w:r>
          </w:p>
        </w:tc>
        <w:tc>
          <w:tcPr>
            <w:tcW w:type="dxa" w:w="1337"/>
          </w:tcPr>
          <w:p>
            <w:pPr>
              <w:spacing w:before="40" w:after="40"/>
            </w:pPr>
            <w:r>
              <w:rPr>
                <w:rFonts w:ascii="Times New Roman" w:hAnsi="Times New Roman"/>
                <w:sz w:val="20"/>
              </w:rPr>
              <w:t>23</w:t>
            </w:r>
          </w:p>
        </w:tc>
        <w:tc>
          <w:tcPr>
            <w:tcW w:type="dxa" w:w="1337"/>
          </w:tcPr>
          <w:p>
            <w:pPr>
              <w:spacing w:before="40" w:after="40"/>
            </w:pPr>
            <w:r>
              <w:rPr>
                <w:rFonts w:ascii="Times New Roman" w:hAnsi="Times New Roman"/>
                <w:sz w:val="20"/>
              </w:rPr>
              <w:t>4.30%</w:t>
            </w:r>
          </w:p>
        </w:tc>
        <w:tc>
          <w:tcPr>
            <w:tcW w:type="dxa" w:w="1337"/>
          </w:tcPr>
          <w:p>
            <w:pPr>
              <w:spacing w:before="40" w:after="40"/>
            </w:pPr>
            <w:r>
              <w:rPr>
                <w:rFonts w:ascii="Times New Roman" w:hAnsi="Times New Roman"/>
                <w:sz w:val="20"/>
              </w:rPr>
              <w:t>18.69%</w:t>
            </w:r>
          </w:p>
        </w:tc>
      </w:tr>
      <w:tr>
        <w:tc>
          <w:tcPr>
            <w:tcW w:type="dxa" w:w="1337"/>
          </w:tcPr>
          <w:p>
            <w:pPr>
              <w:spacing w:before="40" w:after="40"/>
            </w:pPr>
            <w:r>
              <w:rPr>
                <w:rFonts w:ascii="Times New Roman" w:hAnsi="Times New Roman"/>
                <w:sz w:val="20"/>
              </w:rPr>
              <w:t>Food Nutritional Quality</w:t>
            </w:r>
          </w:p>
        </w:tc>
        <w:tc>
          <w:tcPr>
            <w:tcW w:type="dxa" w:w="1337"/>
          </w:tcPr>
          <w:p>
            <w:pPr>
              <w:spacing w:before="40" w:after="40"/>
            </w:pPr>
            <w:r>
              <w:rPr>
                <w:rFonts w:ascii="Times New Roman" w:hAnsi="Times New Roman"/>
                <w:sz w:val="20"/>
              </w:rPr>
              <w:t>1,344</w:t>
            </w:r>
          </w:p>
        </w:tc>
        <w:tc>
          <w:tcPr>
            <w:tcW w:type="dxa" w:w="1337"/>
          </w:tcPr>
          <w:p>
            <w:pPr>
              <w:spacing w:before="40" w:after="40"/>
            </w:pPr>
            <w:r>
              <w:rPr>
                <w:rFonts w:ascii="Times New Roman" w:hAnsi="Times New Roman"/>
                <w:sz w:val="20"/>
              </w:rPr>
              <w:t>956</w:t>
            </w:r>
          </w:p>
        </w:tc>
        <w:tc>
          <w:tcPr>
            <w:tcW w:type="dxa" w:w="1337"/>
          </w:tcPr>
          <w:p>
            <w:pPr>
              <w:spacing w:before="40" w:after="40"/>
            </w:pPr>
            <w:r>
              <w:rPr>
                <w:rFonts w:ascii="Times New Roman" w:hAnsi="Times New Roman"/>
                <w:sz w:val="20"/>
              </w:rPr>
              <w:t>71.13%</w:t>
            </w:r>
          </w:p>
        </w:tc>
        <w:tc>
          <w:tcPr>
            <w:tcW w:type="dxa" w:w="1337"/>
          </w:tcPr>
          <w:p>
            <w:pPr>
              <w:spacing w:before="40" w:after="40"/>
            </w:pPr>
            <w:r>
              <w:rPr>
                <w:rFonts w:ascii="Times New Roman" w:hAnsi="Times New Roman"/>
                <w:sz w:val="20"/>
              </w:rPr>
              <w:t>119</w:t>
            </w:r>
          </w:p>
        </w:tc>
        <w:tc>
          <w:tcPr>
            <w:tcW w:type="dxa" w:w="1337"/>
          </w:tcPr>
          <w:p>
            <w:pPr>
              <w:spacing w:before="40" w:after="40"/>
            </w:pPr>
            <w:r>
              <w:rPr>
                <w:rFonts w:ascii="Times New Roman" w:hAnsi="Times New Roman"/>
                <w:sz w:val="20"/>
              </w:rPr>
              <w:t>8.85%</w:t>
            </w:r>
          </w:p>
        </w:tc>
        <w:tc>
          <w:tcPr>
            <w:tcW w:type="dxa" w:w="1337"/>
          </w:tcPr>
          <w:p>
            <w:pPr>
              <w:spacing w:before="40" w:after="40"/>
            </w:pPr>
            <w:r>
              <w:rPr>
                <w:rFonts w:ascii="Times New Roman" w:hAnsi="Times New Roman"/>
                <w:sz w:val="20"/>
              </w:rPr>
              <w:t>20.01%</w:t>
            </w:r>
          </w:p>
        </w:tc>
      </w:tr>
    </w:tbl>
    <w:p/>
    <w:p>
      <w:pPr>
        <w:spacing w:line="276" w:lineRule="auto" w:after="120"/>
      </w:pPr>
      <w:r>
        <w:rPr>
          <w:sz w:val="23"/>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rPr>
          <w:sz w:val="23"/>
        </w:rPr>
        <w:t>---</w:t>
      </w:r>
    </w:p>
    <w:p>
      <w:pPr>
        <w:spacing w:before="240" w:after="120"/>
      </w:pPr>
      <w:r>
        <w:rPr>
          <w:b/>
          <w:color w:val="1E3A8A"/>
          <w:sz w:val="28"/>
        </w:rPr>
        <w:t>5. DISCUSSION</w:t>
      </w:r>
    </w:p>
    <w:p>
      <w:pPr>
        <w:spacing w:before="160" w:after="80"/>
      </w:pPr>
      <w:r>
        <w:rPr>
          <w:b/>
          <w:color w:val="111827"/>
          <w:sz w:val="24"/>
        </w:rPr>
        <w:t>5.1 The Anatomy of the Phygital Gap in Public Sector Governance</w:t>
      </w:r>
    </w:p>
    <w:p>
      <w:pPr>
        <w:spacing w:line="276" w:lineRule="auto" w:after="120"/>
      </w:pPr>
      <w:r>
        <w:rPr>
          <w:sz w:val="23"/>
        </w:rP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rPr>
          <w:sz w:val="23"/>
        </w:rP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160" w:after="80"/>
      </w:pPr>
      <w:r>
        <w:rPr>
          <w:b/>
          <w:color w:val="111827"/>
          <w:sz w:val="24"/>
        </w:rPr>
        <w:t>5.2 Hyper-Fragmentation and the Death of Deliberative Space</w:t>
      </w:r>
    </w:p>
    <w:p>
      <w:pPr>
        <w:spacing w:line="276" w:lineRule="auto" w:after="120"/>
      </w:pPr>
      <w:r>
        <w:rPr>
          <w:sz w:val="23"/>
        </w:rP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rPr>
          <w:sz w:val="23"/>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160" w:after="80"/>
      </w:pPr>
      <w:r>
        <w:rPr>
          <w:b/>
          <w:color w:val="111827"/>
          <w:sz w:val="24"/>
        </w:rPr>
        <w:t>5.3 The Emergence of the 'Algorithmic Oracle'</w:t>
      </w:r>
    </w:p>
    <w:p>
      <w:pPr>
        <w:spacing w:line="276" w:lineRule="auto" w:after="120"/>
      </w:pPr>
      <w:r>
        <w:rPr>
          <w:sz w:val="23"/>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rPr>
          <w:sz w:val="23"/>
        </w:rP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160" w:after="80"/>
      </w:pPr>
      <w:r>
        <w:rPr>
          <w:b/>
          <w:color w:val="111827"/>
          <w:sz w:val="24"/>
        </w:rPr>
        <w:t>5.4 Sarcasm as Rhetorical Counter-Surveillance</w:t>
      </w:r>
    </w:p>
    <w:p>
      <w:pPr>
        <w:spacing w:line="276" w:lineRule="auto" w:after="120"/>
      </w:pPr>
      <w:r>
        <w:rPr>
          <w:sz w:val="23"/>
        </w:rP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rPr>
          <w:sz w:val="23"/>
        </w:rPr>
        <w:t>---</w:t>
      </w:r>
    </w:p>
    <w:p>
      <w:pPr>
        <w:spacing w:before="240" w:after="120"/>
      </w:pPr>
      <w:r>
        <w:rPr>
          <w:b/>
          <w:color w:val="1E3A8A"/>
          <w:sz w:val="28"/>
        </w:rPr>
        <w:t>6. THEORETICAL AND PRACTICAL CONTRIBUTIONS</w:t>
      </w:r>
    </w:p>
    <w:p>
      <w:pPr>
        <w:spacing w:before="160" w:after="80"/>
      </w:pPr>
      <w:r>
        <w:rPr>
          <w:b/>
          <w:color w:val="111827"/>
          <w:sz w:val="24"/>
        </w:rPr>
        <w:t>6.1 Theoretical Contributions</w:t>
      </w:r>
    </w:p>
    <w:p>
      <w:pPr>
        <w:pStyle w:val="ListNumber"/>
        <w:spacing w:after="60"/>
      </w:pPr>
      <w:r>
        <w:rPr>
          <w:sz w:val="22"/>
        </w:rPr>
        <w:t>Extension of Marketing 6.0 into Public Administration: This study demonstrates that the *Phygital Gap* is a rigorous, quantifiable construct for evaluating state policy crises, bridging marketing theory with public administration.</w:t>
      </w:r>
    </w:p>
    <w:p>
      <w:pPr>
        <w:pStyle w:val="ListNumber"/>
        <w:spacing w:after="60"/>
      </w:pPr>
      <w:r>
        <w:rPr>
          <w:sz w:val="22"/>
        </w:rPr>
        <w:t>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spacing w:after="60"/>
      </w:pPr>
      <w:r>
        <w:rPr>
          <w:sz w:val="22"/>
        </w:rPr>
        <w:t>Conceptualization of the Algorithmic Oracle: We provide the first empirical documentation of an AI agent functioning as a central communicative authority in an Indonesian public policy crisis network, redefining theories of networked gatekeeping.</w:t>
      </w:r>
    </w:p>
    <w:p>
      <w:pPr>
        <w:spacing w:before="160" w:after="80"/>
      </w:pPr>
      <w:r>
        <w:rPr>
          <w:b/>
          <w:color w:val="111827"/>
          <w:sz w:val="24"/>
        </w:rPr>
        <w:t>6.2 Practical Policy and PR Implications</w:t>
      </w:r>
    </w:p>
    <w:p>
      <w:pPr>
        <w:pStyle w:val="ListNumber"/>
        <w:spacing w:after="60"/>
      </w:pPr>
      <w:r>
        <w:rPr>
          <w:sz w:val="22"/>
        </w:rPr>
        <w:t>Closing the Physical Touchpoint: Public sector communication teams cannot cure an operational crisis with digital spin. PR resources must be directed toward auditing ground-level operational logistics before launching promotional digital campaigns.</w:t>
      </w:r>
    </w:p>
    <w:p>
      <w:pPr>
        <w:pStyle w:val="ListNumber"/>
        <w:spacing w:after="60"/>
      </w:pPr>
      <w:r>
        <w:rPr>
          <w:sz w:val="22"/>
        </w:rPr>
        <w:t>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spacing w:after="60"/>
      </w:pPr>
      <w:r>
        <w:rPr>
          <w:sz w:val="22"/>
        </w:rPr>
        <w:t>Deprecating Binary Sentiment Tools: Government monitoring dashboards must replace obsolete positive/negative lexicon tools with contextual transformer models capable of decoding sarcasm and granular disgust.</w:t>
      </w:r>
    </w:p>
    <w:p>
      <w:pPr>
        <w:spacing w:line="276" w:lineRule="auto" w:after="120"/>
      </w:pPr>
      <w:r>
        <w:rPr>
          <w:sz w:val="23"/>
        </w:rPr>
        <w:t>---</w:t>
      </w:r>
    </w:p>
    <w:p>
      <w:pPr>
        <w:spacing w:before="240" w:after="120"/>
      </w:pPr>
      <w:r>
        <w:rPr>
          <w:b/>
          <w:color w:val="1E3A8A"/>
          <w:sz w:val="28"/>
        </w:rPr>
        <w:t>7. RESEARCH LIMITATIONS AND FUTURE RESEARCH AGENDA</w:t>
      </w:r>
    </w:p>
    <w:p>
      <w:pPr>
        <w:spacing w:line="276" w:lineRule="auto" w:after="120"/>
      </w:pPr>
      <w:r>
        <w:rPr>
          <w:sz w:val="23"/>
        </w:rPr>
        <w:t>In compliance with academic rigor, this study identifies five methodological boundaries:</w:t>
      </w:r>
    </w:p>
    <w:p>
      <w:pPr>
        <w:pStyle w:val="ListNumber"/>
        <w:spacing w:after="60"/>
      </w:pPr>
      <w:r>
        <w:rPr>
          <w:sz w:val="22"/>
        </w:rPr>
        <w:t>Demographic Platform Bias: Data is derived solely from Platform X, which disproportionately represents urban, educated, and politically active demographics; findings cannot be generalized to the entire offline Indonesian populace.</w:t>
      </w:r>
    </w:p>
    <w:p>
      <w:pPr>
        <w:pStyle w:val="ListNumber"/>
        <w:spacing w:after="60"/>
      </w:pPr>
      <w:r>
        <w:rPr>
          <w:sz w:val="22"/>
        </w:rPr>
        <w:t>Class Imbalance in Granular Modeling: Natural class imbalance in crisis data resulted in low Macro F1 scores for minority emotion classes (Fear, Sadness, Joy), despite high Recall on the dominant Disgust class ($96.92\%$).</w:t>
      </w:r>
    </w:p>
    <w:p>
      <w:pPr>
        <w:pStyle w:val="ListNumber"/>
        <w:spacing w:after="60"/>
      </w:pPr>
      <w:r>
        <w:rPr>
          <w:sz w:val="22"/>
        </w:rPr>
        <w:t>Lexical Aspect Extraction: Aspect extraction in ABSA utilized curated domain lexicons rather than an end-to-end supervised dependency parser.</w:t>
      </w:r>
    </w:p>
    <w:p>
      <w:pPr>
        <w:pStyle w:val="ListNumber"/>
        <w:spacing w:after="60"/>
      </w:pPr>
      <w:r>
        <w:rPr>
          <w:sz w:val="22"/>
        </w:rPr>
        <w:t>Cross-Platform Omission: Visual and video-based platforms (TikTok, Instagram) where the physical food was visually documented were not included in this computational pipeline.</w:t>
      </w:r>
    </w:p>
    <w:p>
      <w:pPr>
        <w:spacing w:line="276" w:lineRule="auto" w:after="120"/>
      </w:pPr>
      <w:r>
        <w:rPr>
          <w:sz w:val="23"/>
        </w:rPr>
        <w:t>5. Temporal Horizon: The study captures the initial rollout phase (January–March 2026); long-term longitudinal shifts in network topology remain unobserved.</w:t>
      </w:r>
    </w:p>
    <w:p>
      <w:pPr>
        <w:spacing w:line="276" w:lineRule="auto" w:after="120"/>
      </w:pPr>
      <w:r>
        <w:rPr>
          <w:sz w:val="23"/>
        </w:rPr>
        <w:t>---</w:t>
      </w:r>
    </w:p>
    <w:p>
      <w:pPr>
        <w:spacing w:before="240" w:after="120"/>
      </w:pPr>
      <w:r>
        <w:rPr>
          <w:b/>
          <w:color w:val="1E3A8A"/>
          <w:sz w:val="28"/>
        </w:rPr>
        <w:t>8. CONCLUSION</w:t>
      </w:r>
    </w:p>
    <w:p>
      <w:pPr>
        <w:spacing w:line="276" w:lineRule="auto" w:after="120"/>
      </w:pPr>
      <w:r>
        <w:rPr>
          <w:sz w:val="23"/>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rPr>
          <w:sz w:val="23"/>
        </w:rPr>
        <w:t>---</w:t>
      </w:r>
    </w:p>
    <w:p>
      <w:pPr>
        <w:pStyle w:val="Heading2"/>
      </w:pPr>
      <w:r>
        <w:t>STATEMENTS AND DECLARATIONS</w:t>
      </w:r>
    </w:p>
    <w:p>
      <w:pPr>
        <w:pStyle w:val="Heading3"/>
      </w:pPr>
      <w:r>
        <w:t>Funding</w:t>
      </w:r>
    </w:p>
    <w:p>
      <w:r>
        <w:t>The author declares that no external funding, grants, or financial support were received for the research, authorship, or publication of this article. This study was conducted independently as part of a Master of Communication Science thesis project at Universitas Pembangunan Nasional 'Veteran' Jawa Timur.</w:t>
      </w:r>
    </w:p>
    <w:p>
      <w:pPr>
        <w:pStyle w:val="Heading3"/>
      </w:pPr>
      <w:r>
        <w:t>Competing Interests / Conflict of Interest</w:t>
      </w:r>
    </w:p>
    <w:p>
      <w:r>
        <w:t>The author has no financial or proprietary interests in any material, organization, or commercial entity discussed in this article. The author declares no conflicts of interest, political affiliations, or personal relationships that could have inappropriately influenced or biased the objectivity and findings of this research.</w:t>
      </w:r>
    </w:p>
    <w:p>
      <w:pPr>
        <w:pStyle w:val="Heading3"/>
      </w:pPr>
      <w:r>
        <w:t>Data and Code Availability (Open Science &amp; Reproducibility)</w:t>
      </w:r>
    </w:p>
    <w:p>
      <w:r>
        <w:t>In full compliance with Open Science, FAIR data principles (Findable, Accessible, Interoperable, and Reusable), and reproducibility guidelines:</w:t>
      </w:r>
    </w:p>
    <w:p>
      <w:r>
        <w:t>- 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r>
        <w:t>- All Python replication scripts (`evaluate.py`, `sna.py`, `plot_dataset.py`, `plot_integrated.py`), Jupyter notebooks, and trained model artifacts are publicly available in the permanent GitHub repository:</w:t>
      </w:r>
    </w:p>
    <w:p>
      <w:r>
        <w:t>**Repository:** https://github.com/indri007/INDOBERT-9-EMOJI-TESIS-ANALISIS-SNA</w:t>
      </w:r>
    </w:p>
    <w:p>
      <w:r>
        <w:t>**Machine-Readable Metadata:** [`CITATION.cff`](https://github.com/indri007/INDOBERT-9-EMOJI-TESIS-ANALISIS-SNA/blob/main/CITATION.cff)</w:t>
      </w:r>
    </w:p>
    <w:p>
      <w:r>
        <w:t>**Interactive Web Dashboard:** https://y6cqezpxxq2ftdwb6yvrab.streamlit.app/</w:t>
      </w:r>
    </w:p>
    <w:p>
      <w:pPr>
        <w:pStyle w:val="Heading3"/>
      </w:pPr>
      <w:r>
        <w:t>Author Contributions (CRediT Taxonomy)</w:t>
      </w:r>
    </w:p>
    <w:p>
      <w:r>
        <w:t>- Indri Anjar Kartika Sari: Conceptualization, Methodology, Software, Data Curation, Formal Analysis, Investigation, Validation, Visualization, Writing - Original Draft, Project Administration.</w:t>
      </w:r>
    </w:p>
    <w:p>
      <w:pPr>
        <w:pStyle w:val="Heading3"/>
      </w:pPr>
      <w:r>
        <w:t>- Catur Suratnoaji: Supervision, Conceptualization, Theoretical Framework, Formal Analysis Review, Writing - Review &amp; Editing.</w:t>
      </w:r>
    </w:p>
    <w:p>
      <w:r>
        <w:t>- Agus Widiyarta: Supervision, Methodology Review, Communication Policy Analysis, Validation, Writing - Review &amp; Editing.</w:t>
      </w:r>
    </w:p>
    <w:p>
      <w:pPr>
        <w:pStyle w:val="Heading2"/>
      </w:pPr>
      <w:r>
        <w:t>REFERENCES</w:t>
      </w:r>
    </w:p>
    <w:p>
      <w:r>
        <w:t>Blondel, V. D., Guillaume, J.-L., Lambiotte, R., &amp; Lefebvre, E. (2008). Fast unfolding of communities in large networks. *Journal of Statistical Mechanics: Theory and Experiment*, 2008(10), P10008. https://doi.org/10.1088/1742-5468/2008/10/P10008</w:t>
      </w:r>
    </w:p>
    <w:p>
      <w:r>
        <w:t>Boyd, D., &amp; Crawford, K. (2012). Critical questions for big data: Provocations for a cultural, technological, and scholarly phenomenon. *Information, Communication &amp; Society*, 15(5), 662–679. https://doi.org/10.1080/1369118X.2012.678878</w:t>
      </w:r>
    </w:p>
    <w:p>
      <w:r>
        <w:t>Camp, E. (2012). Sarcasm, pretense, and the semantics/pragmatics distinction. *Noûs*, 46(4), 587–634. https://doi.org/10.1111/j.1468-0068.2010.00822.x</w:t>
      </w:r>
    </w:p>
    <w:p>
      <w:r>
        <w:t>Chiorrini, A., Diamantini, C., Mircoli, A., &amp; Potena, D. (2021). Emotion and sentiment analysis of tweets using BERT. In *CEUR Workshop Proceedings* (Vol. 2841, pp. 24–33). http://ceur-ws.org/Vol-2841/</w:t>
      </w:r>
    </w:p>
    <w:p>
      <w:r>
        <w:t>Clark, H. H., &amp; Gerrig, R. J. (1984). On the pretense theory of irony. *Journal of Experimental Psychology: General*, 113(1), 121–126. https://doi.org/10.1037/0096-3445.113.1.121</w:t>
      </w:r>
    </w:p>
    <w:p>
      <w:r>
        <w:t>Coombs, W. T. (2007). Protecting organization reputations during a crisis: The development and application of situational crisis communication theory. *Corporate Reputation Review*, 10(3), 163–176. https://doi.org/10.1057/palgrave.crr.1550049</w:t>
      </w:r>
    </w:p>
    <w:p>
      <w:r>
        <w:t>Devlin, J., Chang, M.-W., Lee, K., &amp; Toutanova, K. (2018). BERT: Pre-training of deep bidirectional transformers for language understanding. *arXiv preprint arXiv:1810.04805*. https://arxiv.org/abs/1810.04805</w:t>
      </w:r>
    </w:p>
    <w:p>
      <w:r>
        <w:t>Freeman, L. C. (1979). Centrality in social networks: Conceptual clarification. *Social Networks*, 1(3), 215–239. https://doi.org/10.1016/0378-8733(78)90021-7</w:t>
      </w:r>
    </w:p>
    <w:p>
      <w:r>
        <w:t>Grice, H. P. (1975). Logic and conversation. In P. Cole &amp; J. L. Morgan (Eds.), *Syntax and Semantics: Vol. 3. Speech Acts* (pp. 41–58). Academic Press.</w:t>
      </w:r>
    </w:p>
    <w:p>
      <w:r>
        <w:t>Habermas, J. (1989). *The structural transformation of the public sphere: An inquiry into a category of bourgeois society*. MIT Press.</w:t>
      </w:r>
    </w:p>
    <w:p>
      <w:r>
        <w:t>Habermas, J. (2006). Political communication in media society: Does democracy still enjoy an epistemic dimension? *Communication Theory*, 16(4), 411–426. https://doi.org/10.1111/j.1468-2885.2006.00280.x</w:t>
      </w:r>
    </w:p>
    <w:p>
      <w:r>
        <w:t>Kotler, P., Kartajaya, H., &amp; Setiawan, I. (2023). *Marketing 6.0: The future is immersive*. John Wiley &amp; Sons.</w:t>
      </w:r>
    </w:p>
    <w:p>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r>
        <w:t>Newman, M. E. J. (2006). Modularity and community structure in networks. *Proceedings of the National Academy of Sciences*, 103(23), 8577–8582. https://doi.org/10.1073/pnas.0601602103</w:t>
      </w:r>
    </w:p>
    <w:p>
      <w:r>
        <w:t>Papacharissi, Z. (2015). *Affective publics: Sentiment, technology, and politics*. Oxford University Press. https://doi.org/10.1093/acprof:oso/9780199999736.001.0001</w:t>
      </w:r>
    </w:p>
    <w:p>
      <w:r>
        <w:t>Pariser, E. (2011). *The filter bubble: What the internet is hiding from you*. Penguin Press.</w:t>
      </w:r>
    </w:p>
    <w:p>
      <w:r>
        <w:t>Plutchik, R. (1980). A general psychoevolutionary theory of emotion. In *Theories of Emotion* (pp. 3–33). Academic Press. https://doi.org/10.1016/B978-0-12-558701-3.50007-7</w:t>
      </w:r>
    </w:p>
    <w:p>
      <w:r>
        <w:t>Riza, A., &amp; Charibaldi, N. (2021). Implementasi deteksi emosi pada teks bahasa Indonesia menggunakan FastText dan LSTM. *Jurnal RESTI (Rekayasa Sistem dan Teknologi Informasi)*, 5(2), 241–248. https://doi.org/10.29207/resti.v5i2.2858</w:t>
      </w:r>
    </w:p>
    <w:p>
      <w:r>
        <w:t>Saputri, M. S., Mahendra, R., &amp; Adriani, M. (2018). Emotion classification on Indonesian Twitter dataset. In *2018 International Conference on Asian Language Processing (IALP)* (pp. 90–95). IEEE. https://doi.org/10.1109/IALP.2018.8629145</w:t>
      </w:r>
    </w:p>
    <w:p>
      <w:r>
        <w:t>Schultz, F., Utz, S., &amp; Göritz, A. (2011). Is the medium the message? Perceptions of and reactions to crisis communication via Twitter, blogs and traditional media. *Public Relations Review*, 37(1), 20–27. https://doi.org/10.1016/j.pubrev.2010.12.001</w:t>
      </w:r>
    </w:p>
    <w:p>
      <w:r>
        <w:t>Shaw, P., LaCasse, K., &amp; Champagne, C. (2025). Transfer learning for emotion classification in low-resource Indonesian social discourse. *Social Network Analysis and Mining*, 15(1), 42–58. https://doi.org/10.1007/s13278-024-01256-w</w:t>
      </w:r>
    </w:p>
    <w:p>
      <w:r>
        <w:t>Suaib, A., &amp; Pratiwi, R. (2025). Social network analysis in the dissemination of MBG program information on social media X. *Jurnal Studi Komunikasi*, 9(1), 112–129. https://doi.org/10.56127/jushpen.v4i2.2067</w:t>
      </w:r>
    </w:p>
    <w:p>
      <w:r>
        <w:t>Sulafasyah, L. (2026). *Analisis jaringan komunikasi isu keracunan MBG di Twitter* [Unpublished master's thesis]. Universitas Pembangunan Nasional 'Veteran' Jawa Timur.</w:t>
      </w:r>
    </w:p>
    <w:p>
      <w:r>
        <w:t>Sunstein, C. R. (2017). *#Republic: Divided democracy in the age of social media*. Princeton University Press. https://doi.org/10.1515/9781400884711</w:t>
      </w:r>
    </w:p>
    <w:p>
      <w:r>
        <w:t>Wasserman, S., &amp; Faust, K. (1994). *Social network analysis: Methods and applications*. Cambridge University Press. https://doi.org/10.1017/CBO9780511815478</w:t>
      </w:r>
    </w:p>
    <w:p>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