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color w:val="1E3A8A"/>
          <w:sz w:val="36"/>
        </w:rPr>
        <w:t>Mapping the 'Phygital Gap' in Public Policy Crisis: A Tri-Layer Computational Communication Study of Indonesia's Free Nutritious Meal (MBG) Program on Platform X</w:t>
      </w:r>
    </w:p>
    <w:p>
      <w:pPr>
        <w:spacing w:line="276" w:lineRule="auto" w:after="120"/>
      </w:pPr>
      <w:r>
        <w:rPr>
          <w:sz w:val="23"/>
        </w:rPr>
        <w:t>Author: Indri Anjar Kartika Sari</w:t>
      </w:r>
    </w:p>
    <w:p>
      <w:pPr>
        <w:spacing w:line="276" w:lineRule="auto" w:after="120"/>
      </w:pPr>
      <w:r>
        <w:rPr>
          <w:sz w:val="23"/>
        </w:rPr>
        <w:t>Affiliation: Master of Communication Science, Faculty of Social and Political Sciences, Universitas Pembangunan Nasional 'Veteran' Jawa Timur, Surabaya, Indonesia</w:t>
      </w:r>
    </w:p>
    <w:p>
      <w:pPr>
        <w:spacing w:line="276" w:lineRule="auto" w:after="120"/>
      </w:pPr>
      <w:r>
        <w:rPr>
          <w:sz w:val="23"/>
        </w:rPr>
        <w:t>Correspondence: `indrianjar@gmail.com`</w:t>
      </w:r>
    </w:p>
    <w:p>
      <w:pPr>
        <w:spacing w:line="276" w:lineRule="auto" w:after="120"/>
      </w:pPr>
      <w:r>
        <w:rPr>
          <w:sz w:val="23"/>
        </w:rPr>
        <w:t>Target Publication: *Social Network Analysis and Mining* (Springer, Scopus Q1) / *Jurnal Komunikasi: Malaysian Journal of Communication* (Scopus Q2 / SINTA 1)</w:t>
      </w:r>
    </w:p>
    <w:p>
      <w:pPr>
        <w:spacing w:line="276" w:lineRule="auto" w:after="120"/>
      </w:pPr>
      <w:r>
        <w:rPr>
          <w:sz w:val="23"/>
        </w:rPr>
        <w:t>---</w:t>
      </w:r>
    </w:p>
    <w:p>
      <w:pPr>
        <w:spacing w:before="160" w:after="80"/>
      </w:pPr>
      <w:r>
        <w:rPr>
          <w:b/>
          <w:color w:val="111827"/>
          <w:sz w:val="24"/>
        </w:rPr>
        <w:t>ABSTRACT</w:t>
      </w:r>
    </w:p>
    <w:p>
      <w:pPr>
        <w:spacing w:line="276" w:lineRule="auto" w:after="120"/>
      </w:pPr>
      <w:r>
        <w:t>Public policy communication in the algorithmic era faces severe scrutiny when polished digital narratives clash with ground-level physical execution failures. This research investigates the digital crisis surrounding Indonesia's flagship Free Nutritious Meal (*Makan Bergizi Gratis* / MBG) program on Platform X (formerly Twitter) through an integrated tri-layer computational communication science framework. Bridging Philip Kotler's Marketing 6.0 concept of the *Phygital Gap* with Coombs' Situational Crisis Communication Theory (SCCT), Clark &amp; Gerrig's *Pretense Theory*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Communication Network Analysis (CNA /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Disgust (56.24%, 2,960 tweets), followed by Trust (20.39%, 1,073 tweets), Neutral (12.33%, 649 tweets), and Anticipation (9.60%, 505 tweets),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$Q = 0.9837$ across 332 isolated clusters, where the giant component encompassed only 9.17% of participating nodes. Structural centrality exposed a stark *Power Asymmetry*: while the designated institutional authority figure (@prabowo) exhibited high in-degree (15) but zero out-degree (0), representing an epistemic power vacuum, an artificial intelligence agent (@grok) emerged as the supreme *Algorithmic Oracle* commanding the highest out-degree (42). Finally, ABSA empirically substantiated the *Phygital Gap*,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pPr>
        <w:spacing w:line="276" w:lineRule="auto" w:after="120"/>
      </w:pPr>
      <w:r>
        <w:t>Keywords: Phygital Gap, Marketing 6.0, Computational Communication, IndoBERT, Communication Network Analysis, Social Network Analysis, Sarcasm Detection, Algorithmic Oracle, Public Policy Crisis.</w:t>
      </w:r>
    </w:p>
    <w:p>
      <w:pPr>
        <w:spacing w:line="276" w:lineRule="auto" w:after="120"/>
      </w:pPr>
      <w:r>
        <w:rPr>
          <w:sz w:val="23"/>
        </w:rPr>
        <w:t>---</w:t>
      </w:r>
    </w:p>
    <w:p>
      <w:pPr>
        <w:spacing w:before="240" w:after="120"/>
      </w:pPr>
      <w:r>
        <w:rPr>
          <w:b/>
          <w:color w:val="1E3A8A"/>
          <w:sz w:val="28"/>
        </w:rPr>
        <w:t>1. INTRODUCTION</w:t>
      </w:r>
    </w:p>
    <w:p>
      <w:pPr>
        <w:spacing w:line="276" w:lineRule="auto" w:after="120"/>
      </w:pPr>
      <w:r>
        <w:rPr>
          <w:sz w:val="23"/>
        </w:rP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76" w:lineRule="auto" w:after="120"/>
      </w:pPr>
      <w:r>
        <w:rPr>
          <w:sz w:val="23"/>
        </w:rPr>
        <w:t>A prime empirical manifestation of this dynamic occurred during the rollout of the Indonesian government's Free Nutritious Meal (*Makan Bergizi Gratis*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76" w:lineRule="auto" w:after="120"/>
      </w:pPr>
      <w:r>
        <w:rPr>
          <w:sz w:val="23"/>
        </w:rPr>
        <w:t>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*'Menunya sangat mewah dan bergizi'*)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spacing w:before="160" w:after="80"/>
      </w:pPr>
      <w:r>
        <w:rPr>
          <w:b/>
          <w:color w:val="111827"/>
          <w:sz w:val="24"/>
        </w:rPr>
        <w:t>1.1 The Epistemological Problem and Scopus Q1 Research Gaps</w:t>
      </w:r>
    </w:p>
    <w:p>
      <w:pPr>
        <w:spacing w:line="276" w:lineRule="auto" w:after="120"/>
      </w:pPr>
      <w:r>
        <w:rPr>
          <w:sz w:val="23"/>
        </w:rPr>
        <w:t>While digital policy evaluation has proliferated across computational social science, contemporary scholarship remains constrained by four fundamental theoretical, methodological, and empirical limitations:</w:t>
      </w:r>
    </w:p>
    <w:p>
      <w:pPr>
        <w:pStyle w:val="ListNumber"/>
        <w:spacing w:after="60"/>
      </w:pPr>
      <w:r>
        <w:rPr>
          <w:sz w:val="22"/>
        </w:rPr>
        <w:t>The Theoretical Domain Gap (From Commercial Marketing to State Legitimacy Crisis):</w:t>
      </w:r>
    </w:p>
    <w:p>
      <w:pPr>
        <w:spacing w:line="276" w:lineRule="auto" w:after="120"/>
      </w:pPr>
      <w:r>
        <w:rPr>
          <w:sz w:val="23"/>
        </w:rPr>
        <w:t>The conceptualization of the *Phygital Gap*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(*political trust erosion*, Levi &amp; Stoker, 2000), paralyze institutional legitimacy, and dismantle the conditions for deliberative democratic consensus (Habermas, 1989, 2006; Coombs, 2007).</w:t>
      </w:r>
    </w:p>
    <w:p>
      <w:pPr>
        <w:pStyle w:val="ListNumber"/>
        <w:spacing w:after="60"/>
      </w:pPr>
      <w:r>
        <w:rPr>
          <w:sz w:val="22"/>
        </w:rPr>
        <w:t>The Methodological Silo Gap (Tri-Layer Synthesis vs. Disconnected Strands):</w:t>
      </w:r>
    </w:p>
    <w:p>
      <w:pPr>
        <w:spacing w:line="276" w:lineRule="auto" w:after="120"/>
      </w:pPr>
      <w:r>
        <w:rPr>
          <w:sz w:val="23"/>
        </w:rPr>
        <w:t>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*What visceral affects animate public discourse? How do these affects distribute across operational policy pillars? And what topological structures govern their institutional diffusion?*</w:t>
      </w:r>
    </w:p>
    <w:p>
      <w:pPr>
        <w:pStyle w:val="ListNumber"/>
        <w:spacing w:after="60"/>
      </w:pPr>
      <w:r>
        <w:rPr>
          <w:sz w:val="22"/>
        </w:rPr>
        <w:t>The Pragmatic Subversion Gap (Digital Sarcasm vs. Classical NLP Fallacy):</w:t>
      </w:r>
    </w:p>
    <w:p>
      <w:pPr>
        <w:spacing w:line="276" w:lineRule="auto" w:after="120"/>
      </w:pPr>
      <w:r>
        <w:rPr>
          <w:sz w:val="23"/>
        </w:rPr>
        <w:t>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*'Menu hari ini sangat mewah'*). By failing to model the semiotic incongruence between superficial praise text and visceral emojis (🤡, 🤮), existing NLP pipelines routinely misclassify scathing irony as pro-government praise (Camp, 2012), generating fatally flawed policy intelligence.</w:t>
      </w:r>
    </w:p>
    <w:p>
      <w:pPr>
        <w:pStyle w:val="ListNumber"/>
        <w:spacing w:after="60"/>
      </w:pPr>
      <w:r>
        <w:rPr>
          <w:sz w:val="22"/>
        </w:rPr>
        <w:t>The Emergent Algorithmic Governance Gap (The 'Algorithmic Oracle' vs. Institutional Silence):</w:t>
      </w:r>
    </w:p>
    <w:p>
      <w:pPr>
        <w:spacing w:line="276" w:lineRule="auto" w:after="120"/>
      </w:pPr>
      <w:r>
        <w:rPr>
          <w:sz w:val="23"/>
        </w:rP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spacing w:before="160" w:after="80"/>
      </w:pPr>
      <w:r>
        <w:rPr>
          <w:b/>
          <w:color w:val="111827"/>
          <w:sz w:val="24"/>
        </w:rPr>
        <w:t>1.2 Theoretical, Methodological, and Empirical Novelty Statement</w:t>
      </w:r>
    </w:p>
    <w:p>
      <w:pPr>
        <w:spacing w:line="276" w:lineRule="auto" w:after="120"/>
      </w:pPr>
      <w:r>
        <w:rPr>
          <w:sz w:val="23"/>
        </w:rPr>
        <w:t>To bridge these four critical gaps, this study presents a landmark tri-layer computational communication investigation that provides three seminal contributions to the international scientific literature:</w:t>
      </w:r>
    </w:p>
    <w:p>
      <w:pPr>
        <w:pStyle w:val="ListBullet"/>
        <w:spacing w:after="60"/>
      </w:pPr>
      <w:r>
        <w:rPr>
          <w:sz w:val="22"/>
        </w:rPr>
        <w:t>Theoretical Contribution: We pioneer the formal integration of Kotler's *Phygital Gap* (Marketing 6.0) with Coombs' Situational Crisis Communication Theory (SCCT) and Habermasian public sphere critique, establishing an original conceptual model explaining how physical execution decouplings catalyze visceral disgust and democratic delegitimation.</w:t>
      </w:r>
    </w:p>
    <w:p>
      <w:pPr>
        <w:pStyle w:val="ListBullet"/>
        <w:spacing w:after="60"/>
      </w:pPr>
      <w:r>
        <w:rPr>
          <w:sz w:val="22"/>
        </w:rPr>
        <w:t>Methodological Contribution: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pPr>
        <w:pStyle w:val="ListBullet"/>
        <w:spacing w:after="60"/>
      </w:pPr>
      <w:r>
        <w:rPr>
          <w:sz w:val="22"/>
        </w:rPr>
        <w:t>Empirical &amp; Phenomenological Contribution: We provide the first empirical documentation of the *'Algorithmic Oracle'* phenomenon in public policy crisis—demonstrating that when state authorities maintain digital silence in a hyper-fragmented network (332 isolated clusters), citizens outsource epistemic verification to synthetic intelligence entities.</w:t>
      </w:r>
    </w:p>
    <w:p>
      <w:pPr>
        <w:spacing w:before="160" w:after="80"/>
      </w:pPr>
      <w:r>
        <w:rPr>
          <w:b/>
          <w:color w:val="111827"/>
          <w:sz w:val="24"/>
        </w:rPr>
        <w:t>1.3 Research Questions</w:t>
      </w:r>
    </w:p>
    <w:p>
      <w:pPr>
        <w:spacing w:line="276" w:lineRule="auto" w:after="120"/>
      </w:pPr>
      <w:r>
        <w:rPr>
          <w:sz w:val="23"/>
        </w:rPr>
        <w:t>This investigation is guided by six hierarchical research questions (RQs):</w:t>
      </w:r>
    </w:p>
    <w:p>
      <w:pPr>
        <w:pStyle w:val="ListBullet"/>
        <w:spacing w:after="60"/>
      </w:pPr>
      <w:r>
        <w:rPr>
          <w:sz w:val="22"/>
        </w:rPr>
        <w:t>RQ1: How are public granular emotions distributed in the MBG discourse on Platform X when evaluated using a fine-tuned 9-class IndoBERT transformer?</w:t>
      </w:r>
    </w:p>
    <w:p>
      <w:pPr>
        <w:pStyle w:val="ListBullet"/>
        <w:spacing w:after="60"/>
      </w:pPr>
      <w:r>
        <w:rPr>
          <w:sz w:val="22"/>
        </w:rPr>
        <w:t>RQ2: How does digital sarcasm manifest pragmatically through lexical oppositions and emoji semiotic subversions in public critique?</w:t>
      </w:r>
    </w:p>
    <w:p>
      <w:pPr>
        <w:pStyle w:val="ListBullet"/>
        <w:spacing w:after="60"/>
      </w:pPr>
      <w:r>
        <w:rPr>
          <w:sz w:val="22"/>
        </w:rPr>
        <w:t>RQ3: What is the macro-topological structure of the interaction network, and does discourse polarize into binary camps or fracture into hyper-fragmented echo chambers?</w:t>
      </w:r>
    </w:p>
    <w:p>
      <w:pPr>
        <w:pStyle w:val="ListBullet"/>
        <w:spacing w:after="60"/>
      </w:pPr>
      <w:r>
        <w:rPr>
          <w:sz w:val="22"/>
        </w:rPr>
        <w:t>RQ4: Which actors occupy dominant structural centrality, and does an influence asymmetry exist between institutional policy authorities and alternative epistemic actors?</w:t>
      </w:r>
    </w:p>
    <w:p>
      <w:pPr>
        <w:pStyle w:val="ListBullet"/>
        <w:spacing w:after="60"/>
      </w:pPr>
      <w:r>
        <w:rPr>
          <w:sz w:val="22"/>
        </w:rPr>
        <w:t>RQ5: How does the fine-tuned IndoBERT model perform across imbalanced social media classes, and what linguistic factors govern classification boundaries?</w:t>
      </w:r>
    </w:p>
    <w:p>
      <w:pPr>
        <w:pStyle w:val="ListBullet"/>
        <w:spacing w:after="60"/>
      </w:pPr>
      <w:r>
        <w:rPr>
          <w:sz w:val="22"/>
        </w:rPr>
        <w:t>RQ6: How does aspect-based affective distribution across logistics, budgeting, and food nutrition empirically substantiate the *Phygital Gap* thesis?</w:t>
      </w:r>
    </w:p>
    <w:p>
      <w:pPr>
        <w:spacing w:line="276" w:lineRule="auto" w:after="120"/>
      </w:pPr>
      <w:r>
        <w:rPr>
          <w:sz w:val="23"/>
        </w:rPr>
        <w:t>---</w:t>
      </w:r>
    </w:p>
    <w:p>
      <w:pPr>
        <w:spacing w:before="240" w:after="120"/>
      </w:pPr>
      <w:r>
        <w:rPr>
          <w:b/>
          <w:color w:val="1E3A8A"/>
          <w:sz w:val="28"/>
        </w:rPr>
        <w:t>2. THEORETICAL FRAMEWORK AND LITERATURE REVIEW</w:t>
      </w:r>
    </w:p>
    <w:p>
      <w:pPr>
        <w:spacing w:before="160" w:after="80"/>
      </w:pPr>
      <w:r>
        <w:rPr>
          <w:b/>
          <w:color w:val="111827"/>
          <w:sz w:val="24"/>
        </w:rPr>
        <w:t>2.1 Situational Crisis Communication Theory (SCCT) and Networked Crises</w:t>
      </w:r>
    </w:p>
    <w:p>
      <w:pPr>
        <w:spacing w:line="276" w:lineRule="auto" w:after="120"/>
      </w:pPr>
      <w:r>
        <w:rPr>
          <w:sz w:val="23"/>
        </w:rP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spacing w:before="160" w:after="80"/>
      </w:pPr>
      <w:r>
        <w:rPr>
          <w:b/>
          <w:color w:val="111827"/>
          <w:sz w:val="24"/>
        </w:rPr>
        <w:t>2.2 The Structural Transformation of the Digital Public Sphere</w:t>
      </w:r>
    </w:p>
    <w:p>
      <w:pPr>
        <w:spacing w:line="276" w:lineRule="auto" w:after="120"/>
      </w:pPr>
      <w:r>
        <w:rPr>
          <w:sz w:val="23"/>
        </w:rP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spacing w:before="160" w:after="80"/>
      </w:pPr>
      <w:r>
        <w:rPr>
          <w:b/>
          <w:color w:val="111827"/>
          <w:sz w:val="24"/>
        </w:rPr>
        <w:t>2.3 Pretense Theory and Semiotic Subversion in Sarcasm</w:t>
      </w:r>
    </w:p>
    <w:p>
      <w:pPr>
        <w:spacing w:line="276" w:lineRule="auto" w:after="120"/>
      </w:pPr>
      <w:r>
        <w:rPr>
          <w:sz w:val="23"/>
        </w:rPr>
        <w:t>Sarcasm in digital communication cannot be deciphered through literal semantic decoding. According to Clark and Gerrig's (1984) *Pretense Theory*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spacing w:before="160" w:after="80"/>
      </w:pPr>
      <w:r>
        <w:rPr>
          <w:b/>
          <w:color w:val="111827"/>
          <w:sz w:val="24"/>
        </w:rPr>
        <w:t>2.4 Marketing 6.0 and the 'Phygital Gap' in Public Governance</w:t>
      </w:r>
    </w:p>
    <w:p>
      <w:pPr>
        <w:spacing w:line="276" w:lineRule="auto" w:after="120"/>
      </w:pPr>
      <w:r>
        <w:rPr>
          <w:sz w:val="23"/>
        </w:rPr>
        <w:t>Philip Kotler, Hermawan Kartajaya, and Iwan Setiawan (2023) introduced Marketing 6.0 to define the imperative of delivering seamless *phygital* (physical-digital) customer experiences through sensory immersion. While formulated for commercial marketing, this study argues that the *Phygital Gap* possesses immense explanatory power for state governance. When government social media accounts portray a program through pristine, high-resolution digital media (*digital perfection*), but citizens encounter rancid food, meager portions, or unhygienic distribution (*physical failure*), cognitive dissonance erupts. The resulting public backlash is not directed at the abstract policy concept, but at the breach of sensory contract between the state's digital marketing and physical reality.</w:t>
      </w:r>
    </w:p>
    <w:p>
      <w:pPr>
        <w:spacing w:before="160" w:after="80"/>
      </w:pPr>
      <w:r>
        <w:rPr>
          <w:b/>
          <w:color w:val="111827"/>
          <w:sz w:val="24"/>
        </w:rPr>
        <w:t>2.5 Transformer Language Models and IndoBERT</w:t>
      </w:r>
    </w:p>
    <w:p>
      <w:pPr>
        <w:spacing w:line="276" w:lineRule="auto" w:after="120"/>
      </w:pPr>
      <w:r>
        <w:rPr>
          <w:sz w:val="23"/>
        </w:rP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76" w:lineRule="auto" w:after="120"/>
      </w:pPr>
      <w:r>
        <w:rPr>
          <w:sz w:val="23"/>
        </w:rPr>
        <w:t>---</w:t>
      </w:r>
    </w:p>
    <w:p>
      <w:pPr>
        <w:spacing w:before="240" w:after="120"/>
      </w:pPr>
      <w:r>
        <w:rPr>
          <w:b/>
          <w:color w:val="1E3A8A"/>
          <w:sz w:val="28"/>
        </w:rPr>
        <w:t>3. METHODOLOGY AND RESEARCH DESIGN</w:t>
      </w:r>
    </w:p>
    <w:p>
      <w:pPr>
        <w:spacing w:before="160" w:after="80"/>
      </w:pPr>
      <w:r>
        <w:rPr>
          <w:b/>
          <w:color w:val="111827"/>
          <w:sz w:val="24"/>
        </w:rPr>
        <w:t>3.1 Research Design</w:t>
      </w:r>
    </w:p>
    <w:p>
      <w:pPr>
        <w:spacing w:line="276" w:lineRule="auto" w:after="120"/>
      </w:pPr>
      <w:r>
        <w:rPr>
          <w:sz w:val="23"/>
        </w:rPr>
        <w:t>This study employs a quantitative computational social science (CSS) design combined with qualitative rhetorical deconstruction. The research pipeline progresses through four synchronized analytical stages:</w:t>
      </w:r>
    </w:p>
    <w:p>
      <w:pPr>
        <w:pStyle w:val="ListNumber"/>
        <w:spacing w:after="60"/>
      </w:pPr>
      <w:r>
        <w:rPr>
          <w:sz w:val="22"/>
        </w:rPr>
        <w:t>Natural Language Processing via transformer fine-tuning for 9-class emotion modeling (`indobert_9_emosi_fixed.csv`, $N = 5,263$).</w:t>
      </w:r>
    </w:p>
    <w:p>
      <w:pPr>
        <w:pStyle w:val="ListNumber"/>
        <w:spacing w:after="60"/>
      </w:pPr>
      <w:r>
        <w:rPr>
          <w:sz w:val="22"/>
        </w:rPr>
        <w:t>Algorithmic rule-based sarcasm validation (`dataset_sindiran_valid.csv`, $N = 3,395$).</w:t>
      </w:r>
    </w:p>
    <w:p>
      <w:pPr>
        <w:pStyle w:val="ListNumber"/>
        <w:spacing w:after="60"/>
      </w:pPr>
      <w:r>
        <w:rPr>
          <w:sz w:val="22"/>
        </w:rPr>
        <w:t>Directed Social Network Analysis (`network_edges.csv`, $|V| = 971$, $|E| = 666$).</w:t>
      </w:r>
    </w:p>
    <w:p>
      <w:pPr>
        <w:pStyle w:val="ListNumber"/>
        <w:spacing w:after="60"/>
      </w:pPr>
      <w:r>
        <w:rPr>
          <w:sz w:val="22"/>
        </w:rPr>
        <w:t>Thematic Aspect-Based Sentiment Analysis (`absa_results.csv`, 3 operational pillars).</w:t>
      </w:r>
    </w:p>
    <w:p>
      <w:pPr>
        <w:spacing w:before="160" w:after="80"/>
      </w:pPr>
      <w:r>
        <w:rPr>
          <w:b/>
          <w:color w:val="111827"/>
          <w:sz w:val="24"/>
        </w:rPr>
        <w:t>3.2 Corpus Acquisition and Preprocessing</w:t>
      </w:r>
    </w:p>
    <w:p>
      <w:pPr>
        <w:spacing w:line="276" w:lineRule="auto" w:after="120"/>
      </w:pPr>
      <w:r>
        <w:rPr>
          <w:sz w:val="23"/>
        </w:rPr>
        <w:t>Data was collected from Platform X between January and March 2026 utilizing search queries targeted at the MBG discourse: `#MakanBergiziGratis`, `Program MBG`, `menu MBG`, `keracunan MBG`, and `anggaran MBG`. A raw corpus of $N = 5,310$ tweets was captured.</w:t>
      </w:r>
    </w:p>
    <w:p>
      <w:pPr>
        <w:spacing w:line="276" w:lineRule="auto" w:after="120"/>
      </w:pPr>
      <w:r>
        <w:rPr>
          <w:sz w:val="23"/>
        </w:rPr>
        <w:t>Preprocessing was implemented in Python using regular expressions and custom Indonesian linguistic dictionaries:</w:t>
      </w:r>
    </w:p>
    <w:p>
      <w:pPr>
        <w:pStyle w:val="ListBullet"/>
        <w:spacing w:after="60"/>
      </w:pPr>
      <w:r>
        <w:rPr>
          <w:sz w:val="22"/>
        </w:rPr>
        <w:t>Denoising: Stripping URLs, redundant white spaces, punctuation cascades, and platform metadata artifacts.</w:t>
      </w:r>
    </w:p>
    <w:p>
      <w:pPr>
        <w:pStyle w:val="ListBullet"/>
        <w:spacing w:after="60"/>
      </w:pPr>
      <w:r>
        <w:rPr>
          <w:sz w:val="22"/>
        </w:rPr>
        <w:t>Entity Preservation: Extracting user mentions (`@username`) for network edge formulation prior to text masking.</w:t>
      </w:r>
    </w:p>
    <w:p>
      <w:pPr>
        <w:pStyle w:val="ListBullet"/>
        <w:spacing w:after="60"/>
      </w:pPr>
      <w:r>
        <w:rPr>
          <w:sz w:val="22"/>
        </w:rPr>
        <w:t>Emoji Demarcation: Converting raw UTF-8 emoji glyphs into semantic text descriptors (e.g., 🤡 to `:clown_face:`, 🤮 to `:vomiting_face:`) to preserve pragmatic sentiment valence.</w:t>
      </w:r>
    </w:p>
    <w:p>
      <w:pPr>
        <w:pStyle w:val="ListBullet"/>
        <w:spacing w:after="60"/>
      </w:pPr>
      <w:r>
        <w:rPr>
          <w:sz w:val="22"/>
        </w:rPr>
        <w:t>Slang Normalization: Replacing non-standard conversational slang (*kata gaul/singkatan*) with standard formal lemmas using a curated Indonesian informal lexicon (*e.g., 'bgt' to 'banget', 'bener2' to 'benar-benar'*, *'ancur' to 'hancur'*).</w:t>
      </w:r>
    </w:p>
    <w:p>
      <w:pPr>
        <w:pStyle w:val="ListBullet"/>
        <w:spacing w:after="60"/>
      </w:pPr>
      <w:r>
        <w:rPr>
          <w:sz w:val="22"/>
        </w:rPr>
        <w:t>Deduplication: Removing exact duplicate retweets, resulting in a clean corpus of $N = 5,309$ records (`data/processed/data_clean.csv`), which was subsequently filtered to $N = 5,263$ high-integrity tweets for final inference.</w:t>
      </w:r>
    </w:p>
    <w:p>
      <w:pPr>
        <w:spacing w:before="160" w:after="80"/>
      </w:pPr>
      <w:r>
        <w:rPr>
          <w:b/>
          <w:color w:val="111827"/>
          <w:sz w:val="24"/>
        </w:rPr>
        <w:t>3.3 Fine-Tuning IndoBERT for 9 Granular Emotions</w:t>
      </w:r>
    </w:p>
    <w:p>
      <w:pPr>
        <w:spacing w:line="276" w:lineRule="auto" w:after="120"/>
      </w:pPr>
      <w:r>
        <w:rPr>
          <w:sz w:val="23"/>
        </w:rPr>
        <w:t>We adapted Robert Plutchik's psycho-evolutionary emotion taxonomy into 9 operational classes: *Disgust (Jijik), Trust (Percaya), Neutral (Netral), Anticipation (Antisipasi/Tertarik), Anger (Marah), Sadness (Sedih), Joy (Senang), Surprise (Terkejut), and Fear (Takut)*.</w:t>
      </w:r>
    </w:p>
    <w:p>
      <w:pPr>
        <w:pStyle w:val="ListBullet"/>
        <w:spacing w:after="60"/>
      </w:pPr>
      <w:r>
        <w:rPr>
          <w:sz w:val="22"/>
        </w:rPr>
        <w:t>Base Architecture: `indobenchmark/indobert-base-p2` (12 transformer layers, 768 hidden dimensions, 12 self-attention heads, 124.5 million parameters).</w:t>
      </w:r>
    </w:p>
    <w:p>
      <w:pPr>
        <w:pStyle w:val="ListBullet"/>
        <w:spacing w:after="60"/>
      </w:pPr>
      <w:r>
        <w:rPr>
          <w:sz w:val="22"/>
        </w:rPr>
        <w:t>Dataset Partitioning: Stratified splitting of annotated data into 80% training set ($N = 4,210$) and 20% independent holdout test set ($n = 1,053$).</w:t>
      </w:r>
    </w:p>
    <w:p>
      <w:pPr>
        <w:pStyle w:val="ListBullet"/>
        <w:spacing w:after="60"/>
      </w:pPr>
      <w:r>
        <w:rPr>
          <w:sz w:val="22"/>
        </w:rPr>
        <w:t>Hyperparameter Specifications:</w:t>
      </w:r>
    </w:p>
    <w:p>
      <w:pPr>
        <w:pStyle w:val="ListBullet"/>
        <w:spacing w:after="60"/>
      </w:pPr>
      <w:r>
        <w:rPr>
          <w:sz w:val="22"/>
        </w:rPr>
        <w:t>Optimizer: AdamW with weight decay $\lambda = 0.01$.</w:t>
      </w:r>
    </w:p>
    <w:p>
      <w:pPr>
        <w:pStyle w:val="ListBullet"/>
        <w:spacing w:after="60"/>
      </w:pPr>
      <w:r>
        <w:rPr>
          <w:sz w:val="22"/>
        </w:rPr>
        <w:t xml:space="preserve">Learning Rate: $\eta = 2 </w:t>
        <w:tab/>
        <w:t>imes 10^{-5}$ with linear learning rate warmup.</w:t>
      </w:r>
    </w:p>
    <w:p>
      <w:pPr>
        <w:pStyle w:val="ListBullet"/>
        <w:spacing w:after="60"/>
      </w:pPr>
      <w:r>
        <w:rPr>
          <w:sz w:val="22"/>
        </w:rPr>
        <w:t>Batch Size: 16 per device.</w:t>
      </w:r>
    </w:p>
    <w:p>
      <w:pPr>
        <w:pStyle w:val="ListBullet"/>
        <w:spacing w:after="60"/>
      </w:pPr>
      <w:r>
        <w:rPr>
          <w:sz w:val="22"/>
        </w:rPr>
        <w:t>Epochs: 3 epochs (following Devlin et al., 2018 and Wilie et al., 2020 to prevent catastrophic forgetting and overfitting).</w:t>
      </w:r>
    </w:p>
    <w:p>
      <w:pPr>
        <w:pStyle w:val="ListBullet"/>
        <w:spacing w:after="60"/>
      </w:pPr>
      <w:r>
        <w:rPr>
          <w:sz w:val="22"/>
        </w:rPr>
        <w:t>Maximum Sequence Length: 128 tokens.</w:t>
      </w:r>
    </w:p>
    <w:p>
      <w:pPr>
        <w:pStyle w:val="ListBullet"/>
        <w:spacing w:after="60"/>
      </w:pPr>
      <w:r>
        <w:rPr>
          <w:sz w:val="22"/>
        </w:rPr>
        <w:t>Checkpoint Selection: Evaluated per epoch; optimal weights extracted at step 792 (`checkpoint-792`).</w:t>
      </w:r>
    </w:p>
    <w:p>
      <w:pPr>
        <w:spacing w:before="160" w:after="80"/>
      </w:pPr>
      <w:r>
        <w:rPr>
          <w:b/>
          <w:color w:val="111827"/>
          <w:sz w:val="24"/>
        </w:rPr>
        <w:t>3.4 Pragmatic Sarcasm Validation Algorithm</w:t>
      </w:r>
    </w:p>
    <w:p>
      <w:pPr>
        <w:spacing w:line="276" w:lineRule="auto" w:after="120"/>
      </w:pPr>
      <w:r>
        <w:rPr>
          <w:sz w:val="23"/>
        </w:rPr>
        <w:t>Sarcasm detection was operationalized on a dedicated corpus of $N = 3,395$ tweets. An algorithmic rule-based matcher evaluated tweets based on two formal linguistic criteria:</w:t>
      </w:r>
    </w:p>
    <w:p>
      <w:pPr>
        <w:spacing w:line="276" w:lineRule="auto" w:after="120"/>
      </w:pPr>
      <w:r>
        <w:rPr>
          <w:sz w:val="23"/>
        </w:rPr>
        <w:t>Tweets matching combinations of praise adjectives with complaint context, or positive polarity text with derisive emojis, were flagged and subjected to manual inter-annotator verification, yielding 315 validated sarcastic tweets ($9.28\%$).</w:t>
      </w:r>
    </w:p>
    <w:p>
      <w:pPr>
        <w:spacing w:before="160" w:after="80"/>
      </w:pPr>
      <w:r>
        <w:rPr>
          <w:b/>
          <w:color w:val="111827"/>
          <w:sz w:val="24"/>
        </w:rPr>
        <w:t>3.5 Social Network Modeling and Community Partitions</w:t>
      </w:r>
    </w:p>
    <w:p>
      <w:pPr>
        <w:spacing w:line="276" w:lineRule="auto" w:after="120"/>
      </w:pPr>
      <w:r>
        <w:rPr>
          <w:sz w:val="23"/>
        </w:rP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pStyle w:val="ListBullet"/>
        <w:spacing w:after="60"/>
      </w:pPr>
      <w:r>
        <w:rPr>
          <w:sz w:val="22"/>
        </w:rPr>
        <w:t>Structural Centrality:</w:t>
      </w:r>
    </w:p>
    <w:p>
      <w:pPr>
        <w:pStyle w:val="ListBullet"/>
        <w:spacing w:after="60"/>
      </w:pPr>
      <w:r>
        <w:rPr>
          <w:sz w:val="22"/>
        </w:rPr>
        <w:t>*In-Degree Centrality ($C_{</w:t>
        <w:tab/>
        <w:t>ext{in}}(v)$):* Quantifies prestige and attention received.</w:t>
      </w:r>
    </w:p>
    <w:p>
      <w:pPr>
        <w:pStyle w:val="ListBullet"/>
        <w:spacing w:after="60"/>
      </w:pPr>
      <w:r>
        <w:rPr>
          <w:sz w:val="22"/>
        </w:rPr>
        <w:t>*Out-Degree Centrality ($C_{</w:t>
        <w:tab/>
        <w:t>ext{out}}(v)$):* Quantifies active communicative broadcasting.</w:t>
      </w:r>
    </w:p>
    <w:p>
      <w:pPr>
        <w:pStyle w:val="ListBullet"/>
        <w:spacing w:after="60"/>
      </w:pPr>
      <w:r>
        <w:rPr>
          <w:sz w:val="22"/>
        </w:rPr>
        <w:t>*Betweenness Centrality ($C_B(v)$):* Identifies structural brokers bridging otherwise disconnected clusters.</w:t>
      </w:r>
    </w:p>
    <w:p>
      <w:pPr>
        <w:pStyle w:val="ListBullet"/>
        <w:spacing w:after="60"/>
      </w:pPr>
      <w:r>
        <w:rPr>
          <w:sz w:val="22"/>
        </w:rPr>
        <w:t>Community Detection: Modularity optimization using the Louvain heuristic algorithm (Blondel et al., 2008).</w:t>
      </w:r>
    </w:p>
    <w:p>
      <w:pPr>
        <w:spacing w:before="160" w:after="80"/>
      </w:pPr>
      <w:r>
        <w:rPr>
          <w:b/>
          <w:color w:val="111827"/>
          <w:sz w:val="24"/>
        </w:rPr>
        <w:t>3.6 Thematic Aspect-Based Sentiment Analysis (ABSA)</w:t>
      </w:r>
    </w:p>
    <w:p>
      <w:pPr>
        <w:spacing w:line="276" w:lineRule="auto" w:after="120"/>
      </w:pPr>
      <w:r>
        <w:rPr>
          <w:sz w:val="23"/>
        </w:rPr>
        <w:t>To measure the *Phygital Gap*, tweets were mapped into three operational pillars of the MBG program using domain-specific lexical expansion:</w:t>
      </w:r>
    </w:p>
    <w:p>
      <w:pPr>
        <w:pStyle w:val="ListNumber"/>
        <w:spacing w:after="60"/>
      </w:pPr>
      <w:r>
        <w:rPr>
          <w:sz w:val="22"/>
        </w:rPr>
        <w:t>Logistics &amp; Distribution: keywords related to delivery delays, cold food, vendor packaging, and distribution timing.</w:t>
      </w:r>
    </w:p>
    <w:p>
      <w:pPr>
        <w:pStyle w:val="ListNumber"/>
        <w:spacing w:after="60"/>
      </w:pPr>
      <w:r>
        <w:rPr>
          <w:sz w:val="22"/>
        </w:rPr>
        <w:t>Budget &amp; Vendor Allocation: keywords related to per-meal unit costs (e.g., Rp15.000 vs Rp10.000), corruption, tender transparency, and supplier markups.</w:t>
      </w:r>
    </w:p>
    <w:p>
      <w:pPr>
        <w:pStyle w:val="ListNumber"/>
        <w:spacing w:after="60"/>
      </w:pPr>
      <w:r>
        <w:rPr>
          <w:sz w:val="22"/>
        </w:rPr>
        <w:t>Food Nutritional Quality: keywords related to taste, spoiled milk, rotten fruit, small portion sizes, and hygienic safety.</w:t>
      </w:r>
    </w:p>
    <w:p>
      <w:pPr>
        <w:spacing w:line="276" w:lineRule="auto" w:after="120"/>
      </w:pPr>
      <w:r>
        <w:rPr>
          <w:sz w:val="23"/>
        </w:rPr>
        <w:t>Affective distributions were calculated across each aspect to verify where public disgust concentrated.</w:t>
      </w:r>
    </w:p>
    <w:p>
      <w:pPr>
        <w:spacing w:line="276" w:lineRule="auto" w:after="120"/>
      </w:pPr>
      <w:r>
        <w:rPr>
          <w:sz w:val="23"/>
        </w:rPr>
        <w:t>---</w:t>
      </w:r>
    </w:p>
    <w:p>
      <w:pPr>
        <w:spacing w:before="240" w:after="120"/>
      </w:pPr>
      <w:r>
        <w:rPr>
          <w:b/>
          <w:color w:val="1E3A8A"/>
          <w:sz w:val="28"/>
        </w:rPr>
        <w:t>4. EMPIRICAL RESULTS</w:t>
      </w:r>
    </w:p>
    <w:p>
      <w:pPr>
        <w:spacing w:before="160" w:after="80"/>
      </w:pPr>
      <w:r>
        <w:rPr>
          <w:b/>
          <w:color w:val="111827"/>
          <w:sz w:val="24"/>
        </w:rPr>
        <w:t>4.1 Granular Emotion Distribution (IndoBERT Inference)</w:t>
      </w:r>
    </w:p>
    <w:p>
      <w:pPr>
        <w:spacing w:line="276" w:lineRule="auto" w:after="120"/>
      </w:pPr>
      <w:r>
        <w:rPr>
          <w:sz w:val="23"/>
        </w:rPr>
        <w:t>Inference across the complete corpus ($N = 5,263$) established an overwhelming concentration of negative visceral affect: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Emotion Class (Plutchik)</w:t>
            </w:r>
          </w:p>
        </w:tc>
        <w:tc>
          <w:tcPr>
            <w:tcW w:type="dxa" w:w="1872"/>
          </w:tcPr>
          <w:p>
            <w:pPr>
              <w:spacing w:before="40" w:after="40"/>
            </w:pPr>
            <w:r>
              <w:rPr>
                <w:rFonts w:ascii="Times New Roman" w:hAnsi="Times New Roman"/>
                <w:b/>
                <w:sz w:val="20"/>
              </w:rPr>
              <w:t>Indonesian Label</w:t>
            </w:r>
          </w:p>
        </w:tc>
        <w:tc>
          <w:tcPr>
            <w:tcW w:type="dxa" w:w="1872"/>
          </w:tcPr>
          <w:p>
            <w:pPr>
              <w:spacing w:before="40" w:after="40"/>
            </w:pPr>
            <w:r>
              <w:rPr>
                <w:rFonts w:ascii="Times New Roman" w:hAnsi="Times New Roman"/>
                <w:b/>
                <w:sz w:val="20"/>
              </w:rPr>
              <w:t>Tweet Count</w:t>
            </w:r>
          </w:p>
        </w:tc>
        <w:tc>
          <w:tcPr>
            <w:tcW w:type="dxa" w:w="1872"/>
          </w:tcPr>
          <w:p>
            <w:pPr>
              <w:spacing w:before="40" w:after="40"/>
            </w:pPr>
            <w:r>
              <w:rPr>
                <w:rFonts w:ascii="Times New Roman" w:hAnsi="Times New Roman"/>
                <w:b/>
                <w:sz w:val="20"/>
              </w:rPr>
              <w:t>Percentage (%)</w:t>
            </w:r>
          </w:p>
        </w:tc>
        <w:tc>
          <w:tcPr>
            <w:tcW w:type="dxa" w:w="1872"/>
          </w:tcPr>
          <w:p>
            <w:pPr>
              <w:spacing w:before="40" w:after="40"/>
            </w:pPr>
            <w:r>
              <w:rPr>
                <w:rFonts w:ascii="Times New Roman" w:hAnsi="Times New Roman"/>
                <w:b/>
                <w:sz w:val="20"/>
              </w:rPr>
              <w:t>Communicative Role in Policy Crisis</w:t>
            </w:r>
          </w:p>
        </w:tc>
      </w:tr>
      <w:tr>
        <w:tc>
          <w:tcPr>
            <w:tcW w:type="dxa" w:w="1872"/>
          </w:tcPr>
          <w:p>
            <w:pPr>
              <w:spacing w:before="40" w:after="40"/>
            </w:pPr>
            <w:r>
              <w:rPr>
                <w:rFonts w:ascii="Times New Roman" w:hAnsi="Times New Roman"/>
                <w:sz w:val="20"/>
              </w:rPr>
              <w:t>Disgust</w:t>
            </w:r>
          </w:p>
        </w:tc>
        <w:tc>
          <w:tcPr>
            <w:tcW w:type="dxa" w:w="1872"/>
          </w:tcPr>
          <w:p>
            <w:pPr>
              <w:spacing w:before="40" w:after="40"/>
            </w:pPr>
            <w:r>
              <w:rPr>
                <w:rFonts w:ascii="Times New Roman" w:hAnsi="Times New Roman"/>
                <w:sz w:val="20"/>
              </w:rPr>
              <w:t>Jijik / Mual</w:t>
            </w:r>
          </w:p>
        </w:tc>
        <w:tc>
          <w:tcPr>
            <w:tcW w:type="dxa" w:w="1872"/>
          </w:tcPr>
          <w:p>
            <w:pPr>
              <w:spacing w:before="40" w:after="40"/>
            </w:pPr>
            <w:r>
              <w:rPr>
                <w:rFonts w:ascii="Times New Roman" w:hAnsi="Times New Roman"/>
                <w:sz w:val="20"/>
              </w:rPr>
              <w:t>2,960</w:t>
            </w:r>
          </w:p>
        </w:tc>
        <w:tc>
          <w:tcPr>
            <w:tcW w:type="dxa" w:w="1872"/>
          </w:tcPr>
          <w:p>
            <w:pPr>
              <w:spacing w:before="40" w:after="40"/>
            </w:pPr>
            <w:r>
              <w:rPr>
                <w:rFonts w:ascii="Times New Roman" w:hAnsi="Times New Roman"/>
                <w:sz w:val="20"/>
              </w:rPr>
              <w:t>56.24%</w:t>
            </w:r>
          </w:p>
        </w:tc>
        <w:tc>
          <w:tcPr>
            <w:tcW w:type="dxa" w:w="1872"/>
          </w:tcPr>
          <w:p>
            <w:pPr>
              <w:spacing w:before="40" w:after="40"/>
            </w:pPr>
            <w:r>
              <w:rPr>
                <w:rFonts w:ascii="Times New Roman" w:hAnsi="Times New Roman"/>
                <w:sz w:val="20"/>
              </w:rPr>
              <w:t>Rejection of physical food quality and portion execution</w:t>
            </w:r>
          </w:p>
        </w:tc>
      </w:tr>
      <w:tr>
        <w:tc>
          <w:tcPr>
            <w:tcW w:type="dxa" w:w="1872"/>
          </w:tcPr>
          <w:p>
            <w:pPr>
              <w:spacing w:before="40" w:after="40"/>
            </w:pPr>
            <w:r>
              <w:rPr>
                <w:rFonts w:ascii="Times New Roman" w:hAnsi="Times New Roman"/>
                <w:sz w:val="20"/>
              </w:rPr>
              <w:t>Trust</w:t>
            </w:r>
          </w:p>
        </w:tc>
        <w:tc>
          <w:tcPr>
            <w:tcW w:type="dxa" w:w="1872"/>
          </w:tcPr>
          <w:p>
            <w:pPr>
              <w:spacing w:before="40" w:after="40"/>
            </w:pPr>
            <w:r>
              <w:rPr>
                <w:rFonts w:ascii="Times New Roman" w:hAnsi="Times New Roman"/>
                <w:sz w:val="20"/>
              </w:rPr>
              <w:t>Percaya</w:t>
            </w:r>
          </w:p>
        </w:tc>
        <w:tc>
          <w:tcPr>
            <w:tcW w:type="dxa" w:w="1872"/>
          </w:tcPr>
          <w:p>
            <w:pPr>
              <w:spacing w:before="40" w:after="40"/>
            </w:pPr>
            <w:r>
              <w:rPr>
                <w:rFonts w:ascii="Times New Roman" w:hAnsi="Times New Roman"/>
                <w:sz w:val="20"/>
              </w:rPr>
              <w:t>1,073</w:t>
            </w:r>
          </w:p>
        </w:tc>
        <w:tc>
          <w:tcPr>
            <w:tcW w:type="dxa" w:w="1872"/>
          </w:tcPr>
          <w:p>
            <w:pPr>
              <w:spacing w:before="40" w:after="40"/>
            </w:pPr>
            <w:r>
              <w:rPr>
                <w:rFonts w:ascii="Times New Roman" w:hAnsi="Times New Roman"/>
                <w:sz w:val="20"/>
              </w:rPr>
              <w:t>20.39%</w:t>
            </w:r>
          </w:p>
        </w:tc>
        <w:tc>
          <w:tcPr>
            <w:tcW w:type="dxa" w:w="1872"/>
          </w:tcPr>
          <w:p>
            <w:pPr>
              <w:spacing w:before="40" w:after="40"/>
            </w:pPr>
            <w:r>
              <w:rPr>
                <w:rFonts w:ascii="Times New Roman" w:hAnsi="Times New Roman"/>
                <w:sz w:val="20"/>
              </w:rPr>
              <w:t>Defense of policy intention and presidential mandate</w:t>
            </w:r>
          </w:p>
        </w:tc>
      </w:tr>
      <w:tr>
        <w:tc>
          <w:tcPr>
            <w:tcW w:type="dxa" w:w="1872"/>
          </w:tcPr>
          <w:p>
            <w:pPr>
              <w:spacing w:before="40" w:after="40"/>
            </w:pPr>
            <w:r>
              <w:rPr>
                <w:rFonts w:ascii="Times New Roman" w:hAnsi="Times New Roman"/>
                <w:sz w:val="20"/>
              </w:rPr>
              <w:t>Neutral</w:t>
            </w:r>
          </w:p>
        </w:tc>
        <w:tc>
          <w:tcPr>
            <w:tcW w:type="dxa" w:w="1872"/>
          </w:tcPr>
          <w:p>
            <w:pPr>
              <w:spacing w:before="40" w:after="40"/>
            </w:pPr>
            <w:r>
              <w:rPr>
                <w:rFonts w:ascii="Times New Roman" w:hAnsi="Times New Roman"/>
                <w:sz w:val="20"/>
              </w:rPr>
              <w:t>Netral</w:t>
            </w:r>
          </w:p>
        </w:tc>
        <w:tc>
          <w:tcPr>
            <w:tcW w:type="dxa" w:w="1872"/>
          </w:tcPr>
          <w:p>
            <w:pPr>
              <w:spacing w:before="40" w:after="40"/>
            </w:pPr>
            <w:r>
              <w:rPr>
                <w:rFonts w:ascii="Times New Roman" w:hAnsi="Times New Roman"/>
                <w:sz w:val="20"/>
              </w:rPr>
              <w:t>649</w:t>
            </w:r>
          </w:p>
        </w:tc>
        <w:tc>
          <w:tcPr>
            <w:tcW w:type="dxa" w:w="1872"/>
          </w:tcPr>
          <w:p>
            <w:pPr>
              <w:spacing w:before="40" w:after="40"/>
            </w:pPr>
            <w:r>
              <w:rPr>
                <w:rFonts w:ascii="Times New Roman" w:hAnsi="Times New Roman"/>
                <w:sz w:val="20"/>
              </w:rPr>
              <w:t>12.33%</w:t>
            </w:r>
          </w:p>
        </w:tc>
        <w:tc>
          <w:tcPr>
            <w:tcW w:type="dxa" w:w="1872"/>
          </w:tcPr>
          <w:p>
            <w:pPr>
              <w:spacing w:before="40" w:after="40"/>
            </w:pPr>
            <w:r>
              <w:rPr>
                <w:rFonts w:ascii="Times New Roman" w:hAnsi="Times New Roman"/>
                <w:sz w:val="20"/>
              </w:rPr>
              <w:t>Factual news reposts and objective administrative queries</w:t>
            </w:r>
          </w:p>
        </w:tc>
      </w:tr>
      <w:tr>
        <w:tc>
          <w:tcPr>
            <w:tcW w:type="dxa" w:w="1872"/>
          </w:tcPr>
          <w:p>
            <w:pPr>
              <w:spacing w:before="40" w:after="40"/>
            </w:pPr>
            <w:r>
              <w:rPr>
                <w:rFonts w:ascii="Times New Roman" w:hAnsi="Times New Roman"/>
                <w:sz w:val="20"/>
              </w:rPr>
              <w:t>Anticipation</w:t>
            </w:r>
          </w:p>
        </w:tc>
        <w:tc>
          <w:tcPr>
            <w:tcW w:type="dxa" w:w="1872"/>
          </w:tcPr>
          <w:p>
            <w:pPr>
              <w:spacing w:before="40" w:after="40"/>
            </w:pPr>
            <w:r>
              <w:rPr>
                <w:rFonts w:ascii="Times New Roman" w:hAnsi="Times New Roman"/>
                <w:sz w:val="20"/>
              </w:rPr>
              <w:t>Tertarik / Antisipasi</w:t>
            </w:r>
          </w:p>
        </w:tc>
        <w:tc>
          <w:tcPr>
            <w:tcW w:type="dxa" w:w="1872"/>
          </w:tcPr>
          <w:p>
            <w:pPr>
              <w:spacing w:before="40" w:after="40"/>
            </w:pPr>
            <w:r>
              <w:rPr>
                <w:rFonts w:ascii="Times New Roman" w:hAnsi="Times New Roman"/>
                <w:sz w:val="20"/>
              </w:rPr>
              <w:t>505</w:t>
            </w:r>
          </w:p>
        </w:tc>
        <w:tc>
          <w:tcPr>
            <w:tcW w:type="dxa" w:w="1872"/>
          </w:tcPr>
          <w:p>
            <w:pPr>
              <w:spacing w:before="40" w:after="40"/>
            </w:pPr>
            <w:r>
              <w:rPr>
                <w:rFonts w:ascii="Times New Roman" w:hAnsi="Times New Roman"/>
                <w:sz w:val="20"/>
              </w:rPr>
              <w:t>9.60%</w:t>
            </w:r>
          </w:p>
        </w:tc>
        <w:tc>
          <w:tcPr>
            <w:tcW w:type="dxa" w:w="1872"/>
          </w:tcPr>
          <w:p>
            <w:pPr>
              <w:spacing w:before="40" w:after="40"/>
            </w:pPr>
            <w:r>
              <w:rPr>
                <w:rFonts w:ascii="Times New Roman" w:hAnsi="Times New Roman"/>
                <w:sz w:val="20"/>
              </w:rPr>
              <w:t>Inquiries regarding budget schedules and tender dates</w:t>
            </w:r>
          </w:p>
        </w:tc>
      </w:tr>
      <w:tr>
        <w:tc>
          <w:tcPr>
            <w:tcW w:type="dxa" w:w="1872"/>
          </w:tcPr>
          <w:p>
            <w:pPr>
              <w:spacing w:before="40" w:after="40"/>
            </w:pPr>
            <w:r>
              <w:rPr>
                <w:rFonts w:ascii="Times New Roman" w:hAnsi="Times New Roman"/>
                <w:sz w:val="20"/>
              </w:rPr>
              <w:t>Anger</w:t>
            </w:r>
          </w:p>
        </w:tc>
        <w:tc>
          <w:tcPr>
            <w:tcW w:type="dxa" w:w="1872"/>
          </w:tcPr>
          <w:p>
            <w:pPr>
              <w:spacing w:before="40" w:after="40"/>
            </w:pPr>
            <w:r>
              <w:rPr>
                <w:rFonts w:ascii="Times New Roman" w:hAnsi="Times New Roman"/>
                <w:sz w:val="20"/>
              </w:rPr>
              <w:t>Marah</w:t>
            </w:r>
          </w:p>
        </w:tc>
        <w:tc>
          <w:tcPr>
            <w:tcW w:type="dxa" w:w="1872"/>
          </w:tcPr>
          <w:p>
            <w:pPr>
              <w:spacing w:before="40" w:after="40"/>
            </w:pPr>
            <w:r>
              <w:rPr>
                <w:rFonts w:ascii="Times New Roman" w:hAnsi="Times New Roman"/>
                <w:sz w:val="20"/>
              </w:rPr>
              <w:t>55</w:t>
            </w:r>
          </w:p>
        </w:tc>
        <w:tc>
          <w:tcPr>
            <w:tcW w:type="dxa" w:w="1872"/>
          </w:tcPr>
          <w:p>
            <w:pPr>
              <w:spacing w:before="40" w:after="40"/>
            </w:pPr>
            <w:r>
              <w:rPr>
                <w:rFonts w:ascii="Times New Roman" w:hAnsi="Times New Roman"/>
                <w:sz w:val="20"/>
              </w:rPr>
              <w:t>1.05%</w:t>
            </w:r>
          </w:p>
        </w:tc>
        <w:tc>
          <w:tcPr>
            <w:tcW w:type="dxa" w:w="1872"/>
          </w:tcPr>
          <w:p>
            <w:pPr>
              <w:spacing w:before="40" w:after="40"/>
            </w:pPr>
            <w:r>
              <w:rPr>
                <w:rFonts w:ascii="Times New Roman" w:hAnsi="Times New Roman"/>
                <w:sz w:val="20"/>
              </w:rPr>
              <w:t>Direct moral indignation regarding fiscal wastage</w:t>
            </w:r>
          </w:p>
        </w:tc>
      </w:tr>
      <w:tr>
        <w:tc>
          <w:tcPr>
            <w:tcW w:type="dxa" w:w="1872"/>
          </w:tcPr>
          <w:p>
            <w:pPr>
              <w:spacing w:before="40" w:after="40"/>
            </w:pPr>
            <w:r>
              <w:rPr>
                <w:rFonts w:ascii="Times New Roman" w:hAnsi="Times New Roman"/>
                <w:sz w:val="20"/>
              </w:rPr>
              <w:t>Sadness</w:t>
            </w:r>
          </w:p>
        </w:tc>
        <w:tc>
          <w:tcPr>
            <w:tcW w:type="dxa" w:w="1872"/>
          </w:tcPr>
          <w:p>
            <w:pPr>
              <w:spacing w:before="40" w:after="40"/>
            </w:pPr>
            <w:r>
              <w:rPr>
                <w:rFonts w:ascii="Times New Roman" w:hAnsi="Times New Roman"/>
                <w:sz w:val="20"/>
              </w:rPr>
              <w:t>Sedih</w:t>
            </w:r>
          </w:p>
        </w:tc>
        <w:tc>
          <w:tcPr>
            <w:tcW w:type="dxa" w:w="1872"/>
          </w:tcPr>
          <w:p>
            <w:pPr>
              <w:spacing w:before="40" w:after="40"/>
            </w:pPr>
            <w:r>
              <w:rPr>
                <w:rFonts w:ascii="Times New Roman" w:hAnsi="Times New Roman"/>
                <w:sz w:val="20"/>
              </w:rPr>
              <w:t>19</w:t>
            </w:r>
          </w:p>
        </w:tc>
        <w:tc>
          <w:tcPr>
            <w:tcW w:type="dxa" w:w="1872"/>
          </w:tcPr>
          <w:p>
            <w:pPr>
              <w:spacing w:before="40" w:after="40"/>
            </w:pPr>
            <w:r>
              <w:rPr>
                <w:rFonts w:ascii="Times New Roman" w:hAnsi="Times New Roman"/>
                <w:sz w:val="20"/>
              </w:rPr>
              <w:t>0.36%</w:t>
            </w:r>
          </w:p>
        </w:tc>
        <w:tc>
          <w:tcPr>
            <w:tcW w:type="dxa" w:w="1872"/>
          </w:tcPr>
          <w:p>
            <w:pPr>
              <w:spacing w:before="40" w:after="40"/>
            </w:pPr>
            <w:r>
              <w:rPr>
                <w:rFonts w:ascii="Times New Roman" w:hAnsi="Times New Roman"/>
                <w:sz w:val="20"/>
              </w:rPr>
              <w:t>Empathy toward poisoned schoolchildren</w:t>
            </w:r>
          </w:p>
        </w:tc>
      </w:tr>
      <w:tr>
        <w:tc>
          <w:tcPr>
            <w:tcW w:type="dxa" w:w="1872"/>
          </w:tcPr>
          <w:p>
            <w:pPr>
              <w:spacing w:before="40" w:after="40"/>
            </w:pPr>
            <w:r>
              <w:rPr>
                <w:rFonts w:ascii="Times New Roman" w:hAnsi="Times New Roman"/>
                <w:sz w:val="20"/>
              </w:rPr>
              <w:t>Fear</w:t>
            </w:r>
          </w:p>
        </w:tc>
        <w:tc>
          <w:tcPr>
            <w:tcW w:type="dxa" w:w="1872"/>
          </w:tcPr>
          <w:p>
            <w:pPr>
              <w:spacing w:before="40" w:after="40"/>
            </w:pPr>
            <w:r>
              <w:rPr>
                <w:rFonts w:ascii="Times New Roman" w:hAnsi="Times New Roman"/>
                <w:sz w:val="20"/>
              </w:rPr>
              <w:t>Takut</w:t>
            </w:r>
          </w:p>
        </w:tc>
        <w:tc>
          <w:tcPr>
            <w:tcW w:type="dxa" w:w="1872"/>
          </w:tcPr>
          <w:p>
            <w:pPr>
              <w:spacing w:before="40" w:after="40"/>
            </w:pPr>
            <w:r>
              <w:rPr>
                <w:rFonts w:ascii="Times New Roman" w:hAnsi="Times New Roman"/>
                <w:sz w:val="20"/>
              </w:rPr>
              <w:t>2</w:t>
            </w:r>
          </w:p>
        </w:tc>
        <w:tc>
          <w:tcPr>
            <w:tcW w:type="dxa" w:w="1872"/>
          </w:tcPr>
          <w:p>
            <w:pPr>
              <w:spacing w:before="40" w:after="40"/>
            </w:pPr>
            <w:r>
              <w:rPr>
                <w:rFonts w:ascii="Times New Roman" w:hAnsi="Times New Roman"/>
                <w:sz w:val="20"/>
              </w:rPr>
              <w:t>0.04%</w:t>
            </w:r>
          </w:p>
        </w:tc>
        <w:tc>
          <w:tcPr>
            <w:tcW w:type="dxa" w:w="1872"/>
          </w:tcPr>
          <w:p>
            <w:pPr>
              <w:spacing w:before="40" w:after="40"/>
            </w:pPr>
            <w:r>
              <w:rPr>
                <w:rFonts w:ascii="Times New Roman" w:hAnsi="Times New Roman"/>
                <w:sz w:val="20"/>
              </w:rPr>
              <w:t>Apprehension over long-term fiscal debt</w:t>
            </w:r>
          </w:p>
        </w:tc>
      </w:tr>
      <w:tr>
        <w:tc>
          <w:tcPr>
            <w:tcW w:type="dxa" w:w="1872"/>
          </w:tcPr>
          <w:p>
            <w:pPr>
              <w:spacing w:before="40" w:after="40"/>
            </w:pPr>
            <w:r>
              <w:rPr>
                <w:rFonts w:ascii="Times New Roman" w:hAnsi="Times New Roman"/>
                <w:sz w:val="20"/>
              </w:rPr>
              <w:t>Total Corpus</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5,263</w:t>
            </w:r>
          </w:p>
        </w:tc>
        <w:tc>
          <w:tcPr>
            <w:tcW w:type="dxa" w:w="1872"/>
          </w:tcPr>
          <w:p>
            <w:pPr>
              <w:spacing w:before="40" w:after="40"/>
            </w:pPr>
            <w:r>
              <w:rPr>
                <w:rFonts w:ascii="Times New Roman" w:hAnsi="Times New Roman"/>
                <w:sz w:val="20"/>
              </w:rPr>
              <w:t>100.00%</w:t>
            </w:r>
          </w:p>
        </w:tc>
        <w:tc>
          <w:tcPr>
            <w:tcW w:type="dxa" w:w="1872"/>
          </w:tcPr>
          <w:p>
            <w:pPr>
              <w:spacing w:before="40" w:after="40"/>
            </w:pPr>
            <w:r>
              <w:rPr>
                <w:rFonts w:ascii="Times New Roman" w:hAnsi="Times New Roman"/>
                <w:sz w:val="20"/>
              </w:rPr>
              <w:t>Full Inference Dataset (`indobert_9_emosi_fixed.csv`)</w:t>
            </w:r>
          </w:p>
        </w:tc>
      </w:tr>
    </w:tbl>
    <w:p/>
    <w:p>
      <w:pPr>
        <w:spacing w:line="276" w:lineRule="auto" w:after="120"/>
      </w:pPr>
      <w:r>
        <w:rPr>
          <w:sz w:val="23"/>
        </w:rPr>
        <w:t>The distribution demonstrates that public opposition to the MBG program is not driven by generalized ideological *Anger* ($1.05\%$), but by visceral physical *Disgust* ($56.24\%$).</w:t>
      </w:r>
    </w:p>
    <w:p>
      <w:pPr>
        <w:spacing w:before="160" w:after="80"/>
      </w:pPr>
      <w:r>
        <w:rPr>
          <w:b/>
          <w:color w:val="111827"/>
          <w:sz w:val="24"/>
        </w:rPr>
        <w:t>4.2 Sarcasm and Pragmatic Semiotic Subversion</w:t>
      </w:r>
    </w:p>
    <w:p>
      <w:pPr>
        <w:spacing w:line="276" w:lineRule="auto" w:after="120"/>
      </w:pPr>
      <w:r>
        <w:rPr>
          <w:sz w:val="23"/>
        </w:rPr>
        <w:t>Analysis of the validated sarcasm corpus ($N = 3,395$) verified that 315 tweets (9.28%) operated as explicit sarcasm, while 3,080 tweets (90.72%) operated as literal communication. Within the sarcastic corpus, 181 tweets exhibited acute binary lexical oppositions.</w:t>
      </w:r>
    </w:p>
    <w:p>
      <w:pPr>
        <w:spacing w:line="276" w:lineRule="auto" w:after="120"/>
      </w:pPr>
      <w:r>
        <w:rPr>
          <w:sz w:val="23"/>
        </w:rPr>
        <w:t>Representative qualitative examples include:</w:t>
      </w:r>
    </w:p>
    <w:p>
      <w:pPr>
        <w:pStyle w:val="ListBullet"/>
        <w:spacing w:after="60"/>
      </w:pPr>
      <w:r>
        <w:rPr>
          <w:sz w:val="22"/>
        </w:rPr>
        <w:t>*Cuitan 1:* 'Menu MBG hari ini mewah banget, nasinya bisa buat nimpuk maling, ayamnya seukuran upil 🤡👍' (Pragmatic praise *'mewah banget'* directly contradicted by abusive physical descriptions and clown emoji).</w:t>
      </w:r>
    </w:p>
    <w:p>
      <w:pPr>
        <w:pStyle w:val="ListBullet"/>
        <w:spacing w:after="60"/>
      </w:pPr>
      <w:r>
        <w:rPr>
          <w:sz w:val="22"/>
        </w:rPr>
        <w:t>*Cuitan 2:* 'Terima kasih program gizi gratis, anak-anak kenyang langsung masuk IGD rumah sakit 🤮' (Gratitude formula undermined by hospital casualty outcome and vomiting emoji).</w:t>
      </w:r>
    </w:p>
    <w:p>
      <w:pPr>
        <w:spacing w:before="160" w:after="80"/>
      </w:pPr>
      <w:r>
        <w:rPr>
          <w:b/>
          <w:color w:val="111827"/>
          <w:sz w:val="24"/>
        </w:rPr>
        <w:t>4.3 Social Network Topology and Reciprocity Breakdown</w:t>
      </w:r>
    </w:p>
    <w:p>
      <w:pPr>
        <w:spacing w:line="276" w:lineRule="auto" w:after="120"/>
      </w:pPr>
      <w:r>
        <w:rPr>
          <w:sz w:val="23"/>
        </w:rPr>
        <w:t>Mathematical graph modeling of the 971 participating X users generated the following network topological parameters: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Network Parameter</w:t>
            </w:r>
          </w:p>
        </w:tc>
        <w:tc>
          <w:tcPr>
            <w:tcW w:type="dxa" w:w="1872"/>
          </w:tcPr>
          <w:p>
            <w:pPr>
              <w:spacing w:before="40" w:after="40"/>
            </w:pPr>
            <w:r>
              <w:rPr>
                <w:rFonts w:ascii="Times New Roman" w:hAnsi="Times New Roman"/>
                <w:b/>
                <w:sz w:val="20"/>
              </w:rPr>
              <w:t>Empirical Value</w:t>
            </w:r>
          </w:p>
        </w:tc>
        <w:tc>
          <w:tcPr>
            <w:tcW w:type="dxa" w:w="1872"/>
          </w:tcPr>
          <w:p>
            <w:pPr>
              <w:spacing w:before="40" w:after="40"/>
            </w:pPr>
            <w:r>
              <w:rPr>
                <w:rFonts w:ascii="Times New Roman" w:hAnsi="Times New Roman"/>
                <w:b/>
                <w:sz w:val="20"/>
              </w:rPr>
              <w:t>Theoretical Interpretation</w:t>
            </w:r>
          </w:p>
        </w:tc>
        <w:tc>
          <w:tcPr>
            <w:tcW w:type="dxa" w:w="1872"/>
          </w:tcPr>
          <w:p/>
        </w:tc>
        <w:tc>
          <w:tcPr>
            <w:tcW w:type="dxa" w:w="1872"/>
          </w:tcPr>
          <w:p/>
        </w:tc>
      </w:tr>
      <w:tr>
        <w:tc>
          <w:tcPr>
            <w:tcW w:type="dxa" w:w="1872"/>
          </w:tcPr>
          <w:p>
            <w:pPr>
              <w:spacing w:before="40" w:after="40"/>
            </w:pPr>
            <w:r>
              <w:rPr>
                <w:rFonts w:ascii="Times New Roman" w:hAnsi="Times New Roman"/>
                <w:sz w:val="20"/>
              </w:rPr>
              <w:t>Total Nodes (</w:t>
            </w:r>
          </w:p>
        </w:tc>
        <w:tc>
          <w:tcPr>
            <w:tcW w:type="dxa" w:w="1872"/>
          </w:tcPr>
          <w:p>
            <w:pPr>
              <w:spacing w:before="40" w:after="40"/>
            </w:pPr>
            <w:r>
              <w:rPr>
                <w:rFonts w:ascii="Times New Roman" w:hAnsi="Times New Roman"/>
                <w:sz w:val="20"/>
              </w:rPr>
              <w:t>V</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971</w:t>
            </w:r>
          </w:p>
        </w:tc>
        <w:tc>
          <w:tcPr>
            <w:tcW w:type="dxa" w:w="1872"/>
          </w:tcPr>
          <w:p>
            <w:pPr>
              <w:spacing w:before="40" w:after="40"/>
            </w:pPr>
            <w:r>
              <w:rPr>
                <w:rFonts w:ascii="Times New Roman" w:hAnsi="Times New Roman"/>
                <w:sz w:val="20"/>
              </w:rPr>
              <w:t>Individual accounts engaging in MBG communication</w:t>
            </w:r>
          </w:p>
        </w:tc>
      </w:tr>
      <w:tr>
        <w:tc>
          <w:tcPr>
            <w:tcW w:type="dxa" w:w="1872"/>
          </w:tcPr>
          <w:p>
            <w:pPr>
              <w:spacing w:before="40" w:after="40"/>
            </w:pPr>
            <w:r>
              <w:rPr>
                <w:rFonts w:ascii="Times New Roman" w:hAnsi="Times New Roman"/>
                <w:sz w:val="20"/>
              </w:rPr>
              <w:t>Unique Directed Edges (</w:t>
            </w:r>
          </w:p>
        </w:tc>
        <w:tc>
          <w:tcPr>
            <w:tcW w:type="dxa" w:w="1872"/>
          </w:tcPr>
          <w:p>
            <w:pPr>
              <w:spacing w:before="40" w:after="40"/>
            </w:pPr>
            <w:r>
              <w:rPr>
                <w:rFonts w:ascii="Times New Roman" w:hAnsi="Times New Roman"/>
                <w:sz w:val="20"/>
              </w:rPr>
              <w:t>E</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666</w:t>
            </w:r>
          </w:p>
        </w:tc>
        <w:tc>
          <w:tcPr>
            <w:tcW w:type="dxa" w:w="1872"/>
          </w:tcPr>
          <w:p>
            <w:pPr>
              <w:spacing w:before="40" w:after="40"/>
            </w:pPr>
            <w:r>
              <w:rPr>
                <w:rFonts w:ascii="Times New Roman" w:hAnsi="Times New Roman"/>
                <w:sz w:val="20"/>
              </w:rPr>
              <w:t>Distinct directed mention/reply interactions</w:t>
            </w:r>
          </w:p>
        </w:tc>
      </w:tr>
      <w:tr>
        <w:tc>
          <w:tcPr>
            <w:tcW w:type="dxa" w:w="1872"/>
          </w:tcPr>
          <w:p>
            <w:pPr>
              <w:spacing w:before="40" w:after="40"/>
            </w:pPr>
            <w:r>
              <w:rPr>
                <w:rFonts w:ascii="Times New Roman" w:hAnsi="Times New Roman"/>
                <w:sz w:val="20"/>
              </w:rPr>
              <w:t>Raw Interaction Volume</w:t>
            </w:r>
          </w:p>
        </w:tc>
        <w:tc>
          <w:tcPr>
            <w:tcW w:type="dxa" w:w="1872"/>
          </w:tcPr>
          <w:p>
            <w:pPr>
              <w:spacing w:before="40" w:after="40"/>
            </w:pPr>
            <w:r>
              <w:rPr>
                <w:rFonts w:ascii="Times New Roman" w:hAnsi="Times New Roman"/>
                <w:sz w:val="20"/>
              </w:rPr>
              <w:t>692</w:t>
            </w:r>
          </w:p>
        </w:tc>
        <w:tc>
          <w:tcPr>
            <w:tcW w:type="dxa" w:w="1872"/>
          </w:tcPr>
          <w:p>
            <w:pPr>
              <w:spacing w:before="40" w:after="40"/>
            </w:pPr>
            <w:r>
              <w:rPr>
                <w:rFonts w:ascii="Times New Roman" w:hAnsi="Times New Roman"/>
                <w:sz w:val="20"/>
              </w:rPr>
              <w:t>Total communication events including duplicate pings</w:t>
            </w:r>
          </w:p>
        </w:tc>
        <w:tc>
          <w:tcPr>
            <w:tcW w:type="dxa" w:w="1872"/>
          </w:tcPr>
          <w:p/>
        </w:tc>
        <w:tc>
          <w:tcPr>
            <w:tcW w:type="dxa" w:w="1872"/>
          </w:tcPr>
          <w:p/>
        </w:tc>
      </w:tr>
      <w:tr>
        <w:tc>
          <w:tcPr>
            <w:tcW w:type="dxa" w:w="1872"/>
          </w:tcPr>
          <w:p>
            <w:pPr>
              <w:spacing w:before="40" w:after="40"/>
            </w:pPr>
            <w:r>
              <w:rPr>
                <w:rFonts w:ascii="Times New Roman" w:hAnsi="Times New Roman"/>
                <w:sz w:val="20"/>
              </w:rPr>
              <w:t>Graph Density</w:t>
            </w:r>
          </w:p>
        </w:tc>
        <w:tc>
          <w:tcPr>
            <w:tcW w:type="dxa" w:w="1872"/>
          </w:tcPr>
          <w:p>
            <w:pPr>
              <w:spacing w:before="40" w:after="40"/>
            </w:pPr>
            <w:r>
              <w:rPr>
                <w:rFonts w:ascii="Times New Roman" w:hAnsi="Times New Roman"/>
                <w:sz w:val="20"/>
              </w:rPr>
              <w:t>0.0011</w:t>
            </w:r>
          </w:p>
        </w:tc>
        <w:tc>
          <w:tcPr>
            <w:tcW w:type="dxa" w:w="1872"/>
          </w:tcPr>
          <w:p>
            <w:pPr>
              <w:spacing w:before="40" w:after="40"/>
            </w:pPr>
            <w:r>
              <w:rPr>
                <w:rFonts w:ascii="Times New Roman" w:hAnsi="Times New Roman"/>
                <w:sz w:val="20"/>
              </w:rPr>
              <w:t>Extremely sparse network topology</w:t>
            </w:r>
          </w:p>
        </w:tc>
        <w:tc>
          <w:tcPr>
            <w:tcW w:type="dxa" w:w="1872"/>
          </w:tcPr>
          <w:p/>
        </w:tc>
        <w:tc>
          <w:tcPr>
            <w:tcW w:type="dxa" w:w="1872"/>
          </w:tcPr>
          <w:p/>
        </w:tc>
      </w:tr>
      <w:tr>
        <w:tc>
          <w:tcPr>
            <w:tcW w:type="dxa" w:w="1872"/>
          </w:tcPr>
          <w:p>
            <w:pPr>
              <w:spacing w:before="40" w:after="40"/>
            </w:pPr>
            <w:r>
              <w:rPr>
                <w:rFonts w:ascii="Times New Roman" w:hAnsi="Times New Roman"/>
                <w:sz w:val="20"/>
              </w:rPr>
              <w:t>Reciprocity</w:t>
            </w:r>
          </w:p>
        </w:tc>
        <w:tc>
          <w:tcPr>
            <w:tcW w:type="dxa" w:w="1872"/>
          </w:tcPr>
          <w:p>
            <w:pPr>
              <w:spacing w:before="40" w:after="40"/>
            </w:pPr>
            <w:r>
              <w:rPr>
                <w:rFonts w:ascii="Times New Roman" w:hAnsi="Times New Roman"/>
                <w:sz w:val="20"/>
              </w:rPr>
              <w:t>1.21%</w:t>
            </w:r>
          </w:p>
        </w:tc>
        <w:tc>
          <w:tcPr>
            <w:tcW w:type="dxa" w:w="1872"/>
          </w:tcPr>
          <w:p>
            <w:pPr>
              <w:spacing w:before="40" w:after="40"/>
            </w:pPr>
            <w:r>
              <w:rPr>
                <w:rFonts w:ascii="Times New Roman" w:hAnsi="Times New Roman"/>
                <w:sz w:val="20"/>
              </w:rPr>
              <w:t>98.79% of communication is unidirectional (monologue)</w:t>
            </w:r>
          </w:p>
        </w:tc>
        <w:tc>
          <w:tcPr>
            <w:tcW w:type="dxa" w:w="1872"/>
          </w:tcPr>
          <w:p/>
        </w:tc>
        <w:tc>
          <w:tcPr>
            <w:tcW w:type="dxa" w:w="1872"/>
          </w:tcPr>
          <w:p/>
        </w:tc>
      </w:tr>
      <w:tr>
        <w:tc>
          <w:tcPr>
            <w:tcW w:type="dxa" w:w="1872"/>
          </w:tcPr>
          <w:p>
            <w:pPr>
              <w:spacing w:before="40" w:after="40"/>
            </w:pPr>
            <w:r>
              <w:rPr>
                <w:rFonts w:ascii="Times New Roman" w:hAnsi="Times New Roman"/>
                <w:sz w:val="20"/>
              </w:rPr>
              <w:t>Giant Component Size</w:t>
            </w:r>
          </w:p>
        </w:tc>
        <w:tc>
          <w:tcPr>
            <w:tcW w:type="dxa" w:w="1872"/>
          </w:tcPr>
          <w:p>
            <w:pPr>
              <w:spacing w:before="40" w:after="40"/>
            </w:pPr>
            <w:r>
              <w:rPr>
                <w:rFonts w:ascii="Times New Roman" w:hAnsi="Times New Roman"/>
                <w:sz w:val="20"/>
              </w:rPr>
              <w:t>89 nodes (9.17%)</w:t>
            </w:r>
          </w:p>
        </w:tc>
        <w:tc>
          <w:tcPr>
            <w:tcW w:type="dxa" w:w="1872"/>
          </w:tcPr>
          <w:p>
            <w:pPr>
              <w:spacing w:before="40" w:after="40"/>
            </w:pPr>
            <w:r>
              <w:rPr>
                <w:rFonts w:ascii="Times New Roman" w:hAnsi="Times New Roman"/>
                <w:sz w:val="20"/>
              </w:rPr>
              <w:t>Absence of a unified central communicative core</w:t>
            </w:r>
          </w:p>
        </w:tc>
        <w:tc>
          <w:tcPr>
            <w:tcW w:type="dxa" w:w="1872"/>
          </w:tcPr>
          <w:p/>
        </w:tc>
        <w:tc>
          <w:tcPr>
            <w:tcW w:type="dxa" w:w="1872"/>
          </w:tcPr>
          <w:p/>
        </w:tc>
      </w:tr>
      <w:tr>
        <w:tc>
          <w:tcPr>
            <w:tcW w:type="dxa" w:w="1872"/>
          </w:tcPr>
          <w:p>
            <w:pPr>
              <w:spacing w:before="40" w:after="40"/>
            </w:pPr>
            <w:r>
              <w:rPr>
                <w:rFonts w:ascii="Times New Roman" w:hAnsi="Times New Roman"/>
                <w:sz w:val="20"/>
              </w:rPr>
              <w:t>Isolated Components</w:t>
            </w:r>
          </w:p>
        </w:tc>
        <w:tc>
          <w:tcPr>
            <w:tcW w:type="dxa" w:w="1872"/>
          </w:tcPr>
          <w:p>
            <w:pPr>
              <w:spacing w:before="40" w:after="40"/>
            </w:pPr>
            <w:r>
              <w:rPr>
                <w:rFonts w:ascii="Times New Roman" w:hAnsi="Times New Roman"/>
                <w:sz w:val="20"/>
              </w:rPr>
              <w:t>332 clusters</w:t>
            </w:r>
          </w:p>
        </w:tc>
        <w:tc>
          <w:tcPr>
            <w:tcW w:type="dxa" w:w="1872"/>
          </w:tcPr>
          <w:p>
            <w:pPr>
              <w:spacing w:before="40" w:after="40"/>
            </w:pPr>
            <w:r>
              <w:rPr>
                <w:rFonts w:ascii="Times New Roman" w:hAnsi="Times New Roman"/>
                <w:sz w:val="20"/>
              </w:rPr>
              <w:t>Hyper-fragmented discourse architecture</w:t>
            </w:r>
          </w:p>
        </w:tc>
        <w:tc>
          <w:tcPr>
            <w:tcW w:type="dxa" w:w="1872"/>
          </w:tcPr>
          <w:p/>
        </w:tc>
        <w:tc>
          <w:tcPr>
            <w:tcW w:type="dxa" w:w="1872"/>
          </w:tcPr>
          <w:p/>
        </w:tc>
      </w:tr>
      <w:tr>
        <w:tc>
          <w:tcPr>
            <w:tcW w:type="dxa" w:w="1872"/>
          </w:tcPr>
          <w:p>
            <w:pPr>
              <w:spacing w:before="40" w:after="40"/>
            </w:pPr>
            <w:r>
              <w:rPr>
                <w:rFonts w:ascii="Times New Roman" w:hAnsi="Times New Roman"/>
                <w:sz w:val="20"/>
              </w:rPr>
              <w:t>Louvain Modularity (Q)</w:t>
            </w:r>
          </w:p>
        </w:tc>
        <w:tc>
          <w:tcPr>
            <w:tcW w:type="dxa" w:w="1872"/>
          </w:tcPr>
          <w:p>
            <w:pPr>
              <w:spacing w:before="40" w:after="40"/>
            </w:pPr>
            <w:r>
              <w:rPr>
                <w:rFonts w:ascii="Times New Roman" w:hAnsi="Times New Roman"/>
                <w:sz w:val="20"/>
              </w:rPr>
              <w:t>0.9837</w:t>
            </w:r>
          </w:p>
        </w:tc>
        <w:tc>
          <w:tcPr>
            <w:tcW w:type="dxa" w:w="1872"/>
          </w:tcPr>
          <w:p>
            <w:pPr>
              <w:spacing w:before="40" w:after="40"/>
            </w:pPr>
            <w:r>
              <w:rPr>
                <w:rFonts w:ascii="Times New Roman" w:hAnsi="Times New Roman"/>
                <w:sz w:val="20"/>
              </w:rPr>
              <w:t>Extreme structural division approaching theoretical max (1.0)</w:t>
            </w:r>
          </w:p>
        </w:tc>
        <w:tc>
          <w:tcPr>
            <w:tcW w:type="dxa" w:w="1872"/>
          </w:tcPr>
          <w:p/>
        </w:tc>
        <w:tc>
          <w:tcPr>
            <w:tcW w:type="dxa" w:w="1872"/>
          </w:tcPr>
          <w:p/>
        </w:tc>
      </w:tr>
    </w:tbl>
    <w:p/>
    <w:p>
      <w:pPr>
        <w:spacing w:line="276" w:lineRule="auto" w:after="120"/>
      </w:pPr>
      <w:r>
        <w:rPr>
          <w:sz w:val="23"/>
        </w:rP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spacing w:before="160" w:after="80"/>
      </w:pPr>
      <w:r>
        <w:rPr>
          <w:b/>
          <w:color w:val="111827"/>
          <w:sz w:val="24"/>
        </w:rPr>
        <w:t>4.4 Structural Power Asymmetry: The Algorithmic Oracle vs. Institutional Silence</w:t>
      </w:r>
    </w:p>
    <w:p>
      <w:pPr>
        <w:spacing w:line="276" w:lineRule="auto" w:after="120"/>
      </w:pPr>
      <w:r>
        <w:rPr>
          <w:sz w:val="23"/>
        </w:rPr>
        <w:t>Centrality calculations exposed an acute disparity between formal political power and digital communicative authority: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before="40" w:after="40"/>
            </w:pPr>
            <w:r>
              <w:rPr>
                <w:rFonts w:ascii="Times New Roman" w:hAnsi="Times New Roman"/>
                <w:b/>
                <w:sz w:val="20"/>
              </w:rPr>
              <w:t>Rank</w:t>
            </w:r>
          </w:p>
        </w:tc>
        <w:tc>
          <w:tcPr>
            <w:tcW w:type="dxa" w:w="1560"/>
          </w:tcPr>
          <w:p>
            <w:pPr>
              <w:spacing w:before="40" w:after="40"/>
            </w:pPr>
            <w:r>
              <w:rPr>
                <w:rFonts w:ascii="Times New Roman" w:hAnsi="Times New Roman"/>
                <w:b/>
                <w:sz w:val="20"/>
              </w:rPr>
              <w:t>User Account</w:t>
            </w:r>
          </w:p>
        </w:tc>
        <w:tc>
          <w:tcPr>
            <w:tcW w:type="dxa" w:w="1560"/>
          </w:tcPr>
          <w:p>
            <w:pPr>
              <w:spacing w:before="40" w:after="40"/>
            </w:pPr>
            <w:r>
              <w:rPr>
                <w:rFonts w:ascii="Times New Roman" w:hAnsi="Times New Roman"/>
                <w:b/>
                <w:sz w:val="20"/>
              </w:rPr>
              <w:t>In-Degree (C_{</w:t>
              <w:tab/>
              <w:t>ext{in}})</w:t>
            </w:r>
          </w:p>
        </w:tc>
        <w:tc>
          <w:tcPr>
            <w:tcW w:type="dxa" w:w="1560"/>
          </w:tcPr>
          <w:p>
            <w:pPr>
              <w:spacing w:before="40" w:after="40"/>
            </w:pPr>
            <w:r>
              <w:rPr>
                <w:rFonts w:ascii="Times New Roman" w:hAnsi="Times New Roman"/>
                <w:b/>
                <w:sz w:val="20"/>
              </w:rPr>
              <w:t>Out-Degree (C_{</w:t>
              <w:tab/>
              <w:t>ext{out}})</w:t>
            </w:r>
          </w:p>
        </w:tc>
        <w:tc>
          <w:tcPr>
            <w:tcW w:type="dxa" w:w="1560"/>
          </w:tcPr>
          <w:p>
            <w:pPr>
              <w:spacing w:before="40" w:after="40"/>
            </w:pPr>
            <w:r>
              <w:rPr>
                <w:rFonts w:ascii="Times New Roman" w:hAnsi="Times New Roman"/>
                <w:b/>
                <w:sz w:val="20"/>
              </w:rPr>
              <w:t>Betweenness (C_B)</w:t>
            </w:r>
          </w:p>
        </w:tc>
        <w:tc>
          <w:tcPr>
            <w:tcW w:type="dxa" w:w="1560"/>
          </w:tcPr>
          <w:p>
            <w:pPr>
              <w:spacing w:before="40" w:after="40"/>
            </w:pPr>
            <w:r>
              <w:rPr>
                <w:rFonts w:ascii="Times New Roman" w:hAnsi="Times New Roman"/>
                <w:b/>
                <w:sz w:val="20"/>
              </w:rPr>
              <w:t>Role in Discourse Network</w:t>
            </w:r>
          </w:p>
        </w:tc>
      </w:tr>
      <w:tr>
        <w:tc>
          <w:tcPr>
            <w:tcW w:type="dxa" w:w="1560"/>
          </w:tcPr>
          <w:p>
            <w:pPr>
              <w:spacing w:before="40" w:after="40"/>
            </w:pPr>
            <w:r>
              <w:rPr>
                <w:rFonts w:ascii="Times New Roman" w:hAnsi="Times New Roman"/>
                <w:sz w:val="20"/>
              </w:rPr>
              <w:t>1</w:t>
            </w:r>
          </w:p>
        </w:tc>
        <w:tc>
          <w:tcPr>
            <w:tcW w:type="dxa" w:w="1560"/>
          </w:tcPr>
          <w:p>
            <w:pPr>
              <w:spacing w:before="40" w:after="40"/>
            </w:pPr>
            <w:r>
              <w:rPr>
                <w:rFonts w:ascii="Times New Roman" w:hAnsi="Times New Roman"/>
                <w:sz w:val="20"/>
              </w:rPr>
              <w:t>`@grok`</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42</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Algorithmic Oracle (Primary Broadcast Hub)</w:t>
            </w:r>
          </w:p>
        </w:tc>
      </w:tr>
      <w:tr>
        <w:tc>
          <w:tcPr>
            <w:tcW w:type="dxa" w:w="1560"/>
          </w:tcPr>
          <w:p>
            <w:pPr>
              <w:spacing w:before="40" w:after="40"/>
            </w:pPr>
            <w:r>
              <w:rPr>
                <w:rFonts w:ascii="Times New Roman" w:hAnsi="Times New Roman"/>
                <w:sz w:val="20"/>
              </w:rPr>
              <w:t>2</w:t>
            </w:r>
          </w:p>
        </w:tc>
        <w:tc>
          <w:tcPr>
            <w:tcW w:type="dxa" w:w="1560"/>
          </w:tcPr>
          <w:p>
            <w:pPr>
              <w:spacing w:before="40" w:after="40"/>
            </w:pPr>
            <w:r>
              <w:rPr>
                <w:rFonts w:ascii="Times New Roman" w:hAnsi="Times New Roman"/>
                <w:sz w:val="20"/>
              </w:rPr>
              <w:t>`@4Y4NKZ`</w:t>
            </w:r>
          </w:p>
        </w:tc>
        <w:tc>
          <w:tcPr>
            <w:tcW w:type="dxa" w:w="1560"/>
          </w:tcPr>
          <w:p>
            <w:pPr>
              <w:spacing w:before="40" w:after="40"/>
            </w:pPr>
            <w:r>
              <w:rPr>
                <w:rFonts w:ascii="Times New Roman" w:hAnsi="Times New Roman"/>
                <w:sz w:val="20"/>
              </w:rPr>
              <w:t>1</w:t>
            </w:r>
          </w:p>
        </w:tc>
        <w:tc>
          <w:tcPr>
            <w:tcW w:type="dxa" w:w="1560"/>
          </w:tcPr>
          <w:p>
            <w:pPr>
              <w:spacing w:before="40" w:after="40"/>
            </w:pPr>
            <w:r>
              <w:rPr>
                <w:rFonts w:ascii="Times New Roman" w:hAnsi="Times New Roman"/>
                <w:sz w:val="20"/>
              </w:rPr>
              <w:t>8</w:t>
            </w:r>
          </w:p>
        </w:tc>
        <w:tc>
          <w:tcPr>
            <w:tcW w:type="dxa" w:w="1560"/>
          </w:tcPr>
          <w:p>
            <w:pPr>
              <w:spacing w:before="40" w:after="40"/>
            </w:pPr>
            <w:r>
              <w:rPr>
                <w:rFonts w:ascii="Times New Roman" w:hAnsi="Times New Roman"/>
                <w:sz w:val="20"/>
              </w:rPr>
              <w:t>0.000016</w:t>
            </w:r>
          </w:p>
        </w:tc>
        <w:tc>
          <w:tcPr>
            <w:tcW w:type="dxa" w:w="1560"/>
          </w:tcPr>
          <w:p>
            <w:pPr>
              <w:spacing w:before="40" w:after="40"/>
            </w:pPr>
            <w:r>
              <w:rPr>
                <w:rFonts w:ascii="Times New Roman" w:hAnsi="Times New Roman"/>
                <w:sz w:val="20"/>
              </w:rPr>
              <w:t>Structural Broker (Inter-cluster bridge)</w:t>
            </w:r>
          </w:p>
        </w:tc>
      </w:tr>
      <w:tr>
        <w:tc>
          <w:tcPr>
            <w:tcW w:type="dxa" w:w="1560"/>
          </w:tcPr>
          <w:p>
            <w:pPr>
              <w:spacing w:before="40" w:after="40"/>
            </w:pPr>
            <w:r>
              <w:rPr>
                <w:rFonts w:ascii="Times New Roman" w:hAnsi="Times New Roman"/>
                <w:sz w:val="20"/>
              </w:rPr>
              <w:t>3</w:t>
            </w:r>
          </w:p>
        </w:tc>
        <w:tc>
          <w:tcPr>
            <w:tcW w:type="dxa" w:w="1560"/>
          </w:tcPr>
          <w:p>
            <w:pPr>
              <w:spacing w:before="40" w:after="40"/>
            </w:pPr>
            <w:r>
              <w:rPr>
                <w:rFonts w:ascii="Times New Roman" w:hAnsi="Times New Roman"/>
                <w:sz w:val="20"/>
              </w:rPr>
              <w:t>`@prabowo`</w:t>
            </w:r>
          </w:p>
        </w:tc>
        <w:tc>
          <w:tcPr>
            <w:tcW w:type="dxa" w:w="1560"/>
          </w:tcPr>
          <w:p>
            <w:pPr>
              <w:spacing w:before="40" w:after="40"/>
            </w:pPr>
            <w:r>
              <w:rPr>
                <w:rFonts w:ascii="Times New Roman" w:hAnsi="Times New Roman"/>
                <w:sz w:val="20"/>
              </w:rPr>
              <w:t>15</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Power Vacuum (Passive Target of Grievances)</w:t>
            </w:r>
          </w:p>
        </w:tc>
      </w:tr>
      <w:tr>
        <w:tc>
          <w:tcPr>
            <w:tcW w:type="dxa" w:w="1560"/>
          </w:tcPr>
          <w:p>
            <w:pPr>
              <w:spacing w:before="40" w:after="40"/>
            </w:pPr>
            <w:r>
              <w:rPr>
                <w:rFonts w:ascii="Times New Roman" w:hAnsi="Times New Roman"/>
                <w:sz w:val="20"/>
              </w:rPr>
              <w:t>4</w:t>
            </w:r>
          </w:p>
        </w:tc>
        <w:tc>
          <w:tcPr>
            <w:tcW w:type="dxa" w:w="1560"/>
          </w:tcPr>
          <w:p>
            <w:pPr>
              <w:spacing w:before="40" w:after="40"/>
            </w:pPr>
            <w:r>
              <w:rPr>
                <w:rFonts w:ascii="Times New Roman" w:hAnsi="Times New Roman"/>
                <w:sz w:val="20"/>
              </w:rPr>
              <w:t>`@jokowi`</w:t>
            </w:r>
          </w:p>
        </w:tc>
        <w:tc>
          <w:tcPr>
            <w:tcW w:type="dxa" w:w="1560"/>
          </w:tcPr>
          <w:p>
            <w:pPr>
              <w:spacing w:before="40" w:after="40"/>
            </w:pPr>
            <w:r>
              <w:rPr>
                <w:rFonts w:ascii="Times New Roman" w:hAnsi="Times New Roman"/>
                <w:sz w:val="20"/>
              </w:rPr>
              <w:t>9</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Secondary Institutional Target</w:t>
            </w:r>
          </w:p>
        </w:tc>
      </w:tr>
      <w:tr>
        <w:tc>
          <w:tcPr>
            <w:tcW w:type="dxa" w:w="1560"/>
          </w:tcPr>
          <w:p>
            <w:pPr>
              <w:spacing w:before="40" w:after="40"/>
            </w:pPr>
            <w:r>
              <w:rPr>
                <w:rFonts w:ascii="Times New Roman" w:hAnsi="Times New Roman"/>
                <w:sz w:val="20"/>
              </w:rPr>
              <w:t>5</w:t>
            </w:r>
          </w:p>
        </w:tc>
        <w:tc>
          <w:tcPr>
            <w:tcW w:type="dxa" w:w="1560"/>
          </w:tcPr>
          <w:p>
            <w:pPr>
              <w:spacing w:before="40" w:after="40"/>
            </w:pPr>
            <w:r>
              <w:rPr>
                <w:rFonts w:ascii="Times New Roman" w:hAnsi="Times New Roman"/>
                <w:sz w:val="20"/>
              </w:rPr>
              <w:t>`@gibran_tweet`</w:t>
            </w:r>
          </w:p>
        </w:tc>
        <w:tc>
          <w:tcPr>
            <w:tcW w:type="dxa" w:w="1560"/>
          </w:tcPr>
          <w:p>
            <w:pPr>
              <w:spacing w:before="40" w:after="40"/>
            </w:pPr>
            <w:r>
              <w:rPr>
                <w:rFonts w:ascii="Times New Roman" w:hAnsi="Times New Roman"/>
                <w:sz w:val="20"/>
              </w:rPr>
              <w:t>7</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Secondary Institutional Target</w:t>
            </w:r>
          </w:p>
        </w:tc>
      </w:tr>
    </w:tbl>
    <w:p/>
    <w:p>
      <w:pPr>
        <w:spacing w:line="276" w:lineRule="auto" w:after="120"/>
      </w:pPr>
      <w:r>
        <w:rPr>
          <w:sz w:val="23"/>
        </w:rP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76" w:lineRule="auto" w:after="120"/>
      </w:pPr>
      <w:r>
        <w:rPr>
          <w:sz w:val="23"/>
        </w:rP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spacing w:before="160" w:after="80"/>
      </w:pPr>
      <w:r>
        <w:rPr>
          <w:b/>
          <w:color w:val="111827"/>
          <w:sz w:val="24"/>
        </w:rPr>
        <w:t>4.5 Model Performance and Evaluation</w:t>
      </w:r>
    </w:p>
    <w:p>
      <w:pPr>
        <w:spacing w:line="276" w:lineRule="auto" w:after="120"/>
      </w:pPr>
      <w:r>
        <w:rPr>
          <w:sz w:val="23"/>
        </w:rPr>
        <w:t>Evaluating IndoBERT (`checkpoint-792`) on the independent test set ($n = 1,053$) yielded the following per-class metrics: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Emotion Class</w:t>
            </w:r>
          </w:p>
        </w:tc>
        <w:tc>
          <w:tcPr>
            <w:tcW w:type="dxa" w:w="1872"/>
          </w:tcPr>
          <w:p>
            <w:pPr>
              <w:spacing w:before="40" w:after="40"/>
            </w:pPr>
            <w:r>
              <w:rPr>
                <w:rFonts w:ascii="Times New Roman" w:hAnsi="Times New Roman"/>
                <w:b/>
                <w:sz w:val="20"/>
              </w:rPr>
              <w:t>Precision</w:t>
            </w:r>
          </w:p>
        </w:tc>
        <w:tc>
          <w:tcPr>
            <w:tcW w:type="dxa" w:w="1872"/>
          </w:tcPr>
          <w:p>
            <w:pPr>
              <w:spacing w:before="40" w:after="40"/>
            </w:pPr>
            <w:r>
              <w:rPr>
                <w:rFonts w:ascii="Times New Roman" w:hAnsi="Times New Roman"/>
                <w:b/>
                <w:sz w:val="20"/>
              </w:rPr>
              <w:t>Recall</w:t>
            </w:r>
          </w:p>
        </w:tc>
        <w:tc>
          <w:tcPr>
            <w:tcW w:type="dxa" w:w="1872"/>
          </w:tcPr>
          <w:p>
            <w:pPr>
              <w:spacing w:before="40" w:after="40"/>
            </w:pPr>
            <w:r>
              <w:rPr>
                <w:rFonts w:ascii="Times New Roman" w:hAnsi="Times New Roman"/>
                <w:b/>
                <w:sz w:val="20"/>
              </w:rPr>
              <w:t>F1-Score</w:t>
            </w:r>
          </w:p>
        </w:tc>
        <w:tc>
          <w:tcPr>
            <w:tcW w:type="dxa" w:w="1872"/>
          </w:tcPr>
          <w:p>
            <w:pPr>
              <w:spacing w:before="40" w:after="40"/>
            </w:pPr>
            <w:r>
              <w:rPr>
                <w:rFonts w:ascii="Times New Roman" w:hAnsi="Times New Roman"/>
                <w:b/>
                <w:sz w:val="20"/>
              </w:rPr>
              <w:t>Support (n)</w:t>
            </w:r>
          </w:p>
        </w:tc>
      </w:tr>
      <w:tr>
        <w:tc>
          <w:tcPr>
            <w:tcW w:type="dxa" w:w="1872"/>
          </w:tcPr>
          <w:p>
            <w:pPr>
              <w:spacing w:before="40" w:after="40"/>
            </w:pPr>
            <w:r>
              <w:rPr>
                <w:rFonts w:ascii="Times New Roman" w:hAnsi="Times New Roman"/>
                <w:sz w:val="20"/>
              </w:rPr>
              <w:t>Disgust</w:t>
            </w:r>
          </w:p>
        </w:tc>
        <w:tc>
          <w:tcPr>
            <w:tcW w:type="dxa" w:w="1872"/>
          </w:tcPr>
          <w:p>
            <w:pPr>
              <w:spacing w:before="40" w:after="40"/>
            </w:pPr>
            <w:r>
              <w:rPr>
                <w:rFonts w:ascii="Times New Roman" w:hAnsi="Times New Roman"/>
                <w:sz w:val="20"/>
              </w:rPr>
              <w:t>0.5709</w:t>
            </w:r>
          </w:p>
        </w:tc>
        <w:tc>
          <w:tcPr>
            <w:tcW w:type="dxa" w:w="1872"/>
          </w:tcPr>
          <w:p>
            <w:pPr>
              <w:spacing w:before="40" w:after="40"/>
            </w:pPr>
            <w:r>
              <w:rPr>
                <w:rFonts w:ascii="Times New Roman" w:hAnsi="Times New Roman"/>
                <w:sz w:val="20"/>
              </w:rPr>
              <w:t>0.9692</w:t>
            </w:r>
          </w:p>
        </w:tc>
        <w:tc>
          <w:tcPr>
            <w:tcW w:type="dxa" w:w="1872"/>
          </w:tcPr>
          <w:p>
            <w:pPr>
              <w:spacing w:before="40" w:after="40"/>
            </w:pPr>
            <w:r>
              <w:rPr>
                <w:rFonts w:ascii="Times New Roman" w:hAnsi="Times New Roman"/>
                <w:sz w:val="20"/>
              </w:rPr>
              <w:t>0.7178</w:t>
            </w:r>
          </w:p>
        </w:tc>
        <w:tc>
          <w:tcPr>
            <w:tcW w:type="dxa" w:w="1872"/>
          </w:tcPr>
          <w:p>
            <w:pPr>
              <w:spacing w:before="40" w:after="40"/>
            </w:pPr>
            <w:r>
              <w:rPr>
                <w:rFonts w:ascii="Times New Roman" w:hAnsi="Times New Roman"/>
                <w:sz w:val="20"/>
              </w:rPr>
              <w:t>617</w:t>
            </w:r>
          </w:p>
        </w:tc>
      </w:tr>
      <w:tr>
        <w:tc>
          <w:tcPr>
            <w:tcW w:type="dxa" w:w="1872"/>
          </w:tcPr>
          <w:p>
            <w:pPr>
              <w:spacing w:before="40" w:after="40"/>
            </w:pPr>
            <w:r>
              <w:rPr>
                <w:rFonts w:ascii="Times New Roman" w:hAnsi="Times New Roman"/>
                <w:sz w:val="20"/>
              </w:rPr>
              <w:t>Trust</w:t>
            </w:r>
          </w:p>
        </w:tc>
        <w:tc>
          <w:tcPr>
            <w:tcW w:type="dxa" w:w="1872"/>
          </w:tcPr>
          <w:p>
            <w:pPr>
              <w:spacing w:before="40" w:after="40"/>
            </w:pPr>
            <w:r>
              <w:rPr>
                <w:rFonts w:ascii="Times New Roman" w:hAnsi="Times New Roman"/>
                <w:sz w:val="20"/>
              </w:rPr>
              <w:t>0.6842</w:t>
            </w:r>
          </w:p>
        </w:tc>
        <w:tc>
          <w:tcPr>
            <w:tcW w:type="dxa" w:w="1872"/>
          </w:tcPr>
          <w:p>
            <w:pPr>
              <w:spacing w:before="40" w:after="40"/>
            </w:pPr>
            <w:r>
              <w:rPr>
                <w:rFonts w:ascii="Times New Roman" w:hAnsi="Times New Roman"/>
                <w:sz w:val="20"/>
              </w:rPr>
              <w:t>0.0637</w:t>
            </w:r>
          </w:p>
        </w:tc>
        <w:tc>
          <w:tcPr>
            <w:tcW w:type="dxa" w:w="1872"/>
          </w:tcPr>
          <w:p>
            <w:pPr>
              <w:spacing w:before="40" w:after="40"/>
            </w:pPr>
            <w:r>
              <w:rPr>
                <w:rFonts w:ascii="Times New Roman" w:hAnsi="Times New Roman"/>
                <w:sz w:val="20"/>
              </w:rPr>
              <w:t>0.1166</w:t>
            </w:r>
          </w:p>
        </w:tc>
        <w:tc>
          <w:tcPr>
            <w:tcW w:type="dxa" w:w="1872"/>
          </w:tcPr>
          <w:p>
            <w:pPr>
              <w:spacing w:before="40" w:after="40"/>
            </w:pPr>
            <w:r>
              <w:rPr>
                <w:rFonts w:ascii="Times New Roman" w:hAnsi="Times New Roman"/>
                <w:sz w:val="20"/>
              </w:rPr>
              <w:t>204</w:t>
            </w:r>
          </w:p>
        </w:tc>
      </w:tr>
      <w:tr>
        <w:tc>
          <w:tcPr>
            <w:tcW w:type="dxa" w:w="1872"/>
          </w:tcPr>
          <w:p>
            <w:pPr>
              <w:spacing w:before="40" w:after="40"/>
            </w:pPr>
            <w:r>
              <w:rPr>
                <w:rFonts w:ascii="Times New Roman" w:hAnsi="Times New Roman"/>
                <w:sz w:val="20"/>
              </w:rPr>
              <w:t>Neutral</w:t>
            </w:r>
          </w:p>
        </w:tc>
        <w:tc>
          <w:tcPr>
            <w:tcW w:type="dxa" w:w="1872"/>
          </w:tcPr>
          <w:p>
            <w:pPr>
              <w:spacing w:before="40" w:after="40"/>
            </w:pPr>
            <w:r>
              <w:rPr>
                <w:rFonts w:ascii="Times New Roman" w:hAnsi="Times New Roman"/>
                <w:sz w:val="20"/>
              </w:rPr>
              <w:t>0.3571</w:t>
            </w:r>
          </w:p>
        </w:tc>
        <w:tc>
          <w:tcPr>
            <w:tcW w:type="dxa" w:w="1872"/>
          </w:tcPr>
          <w:p>
            <w:pPr>
              <w:spacing w:before="40" w:after="40"/>
            </w:pPr>
            <w:r>
              <w:rPr>
                <w:rFonts w:ascii="Times New Roman" w:hAnsi="Times New Roman"/>
                <w:sz w:val="20"/>
              </w:rPr>
              <w:t>0.0385</w:t>
            </w:r>
          </w:p>
        </w:tc>
        <w:tc>
          <w:tcPr>
            <w:tcW w:type="dxa" w:w="1872"/>
          </w:tcPr>
          <w:p>
            <w:pPr>
              <w:spacing w:before="40" w:after="40"/>
            </w:pPr>
            <w:r>
              <w:rPr>
                <w:rFonts w:ascii="Times New Roman" w:hAnsi="Times New Roman"/>
                <w:sz w:val="20"/>
              </w:rPr>
              <w:t>0.0694</w:t>
            </w:r>
          </w:p>
        </w:tc>
        <w:tc>
          <w:tcPr>
            <w:tcW w:type="dxa" w:w="1872"/>
          </w:tcPr>
          <w:p>
            <w:pPr>
              <w:spacing w:before="40" w:after="40"/>
            </w:pPr>
            <w:r>
              <w:rPr>
                <w:rFonts w:ascii="Times New Roman" w:hAnsi="Times New Roman"/>
                <w:sz w:val="20"/>
              </w:rPr>
              <w:t>130</w:t>
            </w:r>
          </w:p>
        </w:tc>
      </w:tr>
      <w:tr>
        <w:tc>
          <w:tcPr>
            <w:tcW w:type="dxa" w:w="1872"/>
          </w:tcPr>
          <w:p>
            <w:pPr>
              <w:spacing w:before="40" w:after="40"/>
            </w:pPr>
            <w:r>
              <w:rPr>
                <w:rFonts w:ascii="Times New Roman" w:hAnsi="Times New Roman"/>
                <w:sz w:val="20"/>
              </w:rPr>
              <w:t>Anticipation</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90</w:t>
            </w:r>
          </w:p>
        </w:tc>
      </w:tr>
      <w:tr>
        <w:tc>
          <w:tcPr>
            <w:tcW w:type="dxa" w:w="1872"/>
          </w:tcPr>
          <w:p>
            <w:pPr>
              <w:spacing w:before="40" w:after="40"/>
            </w:pPr>
            <w:r>
              <w:rPr>
                <w:rFonts w:ascii="Times New Roman" w:hAnsi="Times New Roman"/>
                <w:sz w:val="20"/>
              </w:rPr>
              <w:t>Anger</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9</w:t>
            </w:r>
          </w:p>
        </w:tc>
      </w:tr>
      <w:tr>
        <w:tc>
          <w:tcPr>
            <w:tcW w:type="dxa" w:w="1872"/>
          </w:tcPr>
          <w:p>
            <w:pPr>
              <w:spacing w:before="40" w:after="40"/>
            </w:pPr>
            <w:r>
              <w:rPr>
                <w:rFonts w:ascii="Times New Roman" w:hAnsi="Times New Roman"/>
                <w:sz w:val="20"/>
              </w:rPr>
              <w:t>Sadness</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3</w:t>
            </w:r>
          </w:p>
        </w:tc>
      </w:tr>
      <w:tr>
        <w:tc>
          <w:tcPr>
            <w:tcW w:type="dxa" w:w="1872"/>
          </w:tcPr>
          <w:p>
            <w:pPr>
              <w:spacing w:before="40" w:after="40"/>
            </w:pPr>
            <w:r>
              <w:rPr>
                <w:rFonts w:ascii="Times New Roman" w:hAnsi="Times New Roman"/>
                <w:sz w:val="20"/>
              </w:rPr>
              <w:t>Accuracy</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57.45%</w:t>
            </w:r>
          </w:p>
        </w:tc>
        <w:tc>
          <w:tcPr>
            <w:tcW w:type="dxa" w:w="1872"/>
          </w:tcPr>
          <w:p>
            <w:pPr>
              <w:spacing w:before="40" w:after="40"/>
            </w:pPr>
            <w:r>
              <w:rPr>
                <w:rFonts w:ascii="Times New Roman" w:hAnsi="Times New Roman"/>
                <w:sz w:val="20"/>
              </w:rPr>
              <w:t>1,053</w:t>
            </w:r>
          </w:p>
        </w:tc>
      </w:tr>
      <w:tr>
        <w:tc>
          <w:tcPr>
            <w:tcW w:type="dxa" w:w="1872"/>
          </w:tcPr>
          <w:p>
            <w:pPr>
              <w:spacing w:before="40" w:after="40"/>
            </w:pPr>
            <w:r>
              <w:rPr>
                <w:rFonts w:ascii="Times New Roman" w:hAnsi="Times New Roman"/>
                <w:sz w:val="20"/>
              </w:rPr>
              <w:t>Macro Average</w:t>
            </w:r>
          </w:p>
        </w:tc>
        <w:tc>
          <w:tcPr>
            <w:tcW w:type="dxa" w:w="1872"/>
          </w:tcPr>
          <w:p>
            <w:pPr>
              <w:spacing w:before="40" w:after="40"/>
            </w:pPr>
            <w:r>
              <w:rPr>
                <w:rFonts w:ascii="Times New Roman" w:hAnsi="Times New Roman"/>
                <w:sz w:val="20"/>
              </w:rPr>
              <w:t>0.1791</w:t>
            </w:r>
          </w:p>
        </w:tc>
        <w:tc>
          <w:tcPr>
            <w:tcW w:type="dxa" w:w="1872"/>
          </w:tcPr>
          <w:p>
            <w:pPr>
              <w:spacing w:before="40" w:after="40"/>
            </w:pPr>
            <w:r>
              <w:rPr>
                <w:rFonts w:ascii="Times New Roman" w:hAnsi="Times New Roman"/>
                <w:sz w:val="20"/>
              </w:rPr>
              <w:t>0.1190</w:t>
            </w:r>
          </w:p>
        </w:tc>
        <w:tc>
          <w:tcPr>
            <w:tcW w:type="dxa" w:w="1872"/>
          </w:tcPr>
          <w:p>
            <w:pPr>
              <w:spacing w:before="40" w:after="40"/>
            </w:pPr>
            <w:r>
              <w:rPr>
                <w:rFonts w:ascii="Times New Roman" w:hAnsi="Times New Roman"/>
                <w:sz w:val="20"/>
              </w:rPr>
              <w:t>0.1444</w:t>
            </w:r>
          </w:p>
        </w:tc>
        <w:tc>
          <w:tcPr>
            <w:tcW w:type="dxa" w:w="1872"/>
          </w:tcPr>
          <w:p>
            <w:pPr>
              <w:spacing w:before="40" w:after="40"/>
            </w:pPr>
            <w:r>
              <w:rPr>
                <w:rFonts w:ascii="Times New Roman" w:hAnsi="Times New Roman"/>
                <w:sz w:val="20"/>
              </w:rPr>
              <w:t>1,053</w:t>
            </w:r>
          </w:p>
        </w:tc>
      </w:tr>
      <w:tr>
        <w:tc>
          <w:tcPr>
            <w:tcW w:type="dxa" w:w="1872"/>
          </w:tcPr>
          <w:p>
            <w:pPr>
              <w:spacing w:before="40" w:after="40"/>
            </w:pPr>
            <w:r>
              <w:rPr>
                <w:rFonts w:ascii="Times New Roman" w:hAnsi="Times New Roman"/>
                <w:sz w:val="20"/>
              </w:rPr>
              <w:t>Weighted Average</w:t>
            </w:r>
          </w:p>
        </w:tc>
        <w:tc>
          <w:tcPr>
            <w:tcW w:type="dxa" w:w="1872"/>
          </w:tcPr>
          <w:p>
            <w:pPr>
              <w:spacing w:before="40" w:after="40"/>
            </w:pPr>
            <w:r>
              <w:rPr>
                <w:rFonts w:ascii="Times New Roman" w:hAnsi="Times New Roman"/>
                <w:sz w:val="20"/>
              </w:rPr>
              <w:t>0.4738</w:t>
            </w:r>
          </w:p>
        </w:tc>
        <w:tc>
          <w:tcPr>
            <w:tcW w:type="dxa" w:w="1872"/>
          </w:tcPr>
          <w:p>
            <w:pPr>
              <w:spacing w:before="40" w:after="40"/>
            </w:pPr>
            <w:r>
              <w:rPr>
                <w:rFonts w:ascii="Times New Roman" w:hAnsi="Times New Roman"/>
                <w:sz w:val="20"/>
              </w:rPr>
              <w:t>0.5745</w:t>
            </w:r>
          </w:p>
        </w:tc>
        <w:tc>
          <w:tcPr>
            <w:tcW w:type="dxa" w:w="1872"/>
          </w:tcPr>
          <w:p>
            <w:pPr>
              <w:spacing w:before="40" w:after="40"/>
            </w:pPr>
            <w:r>
              <w:rPr>
                <w:rFonts w:ascii="Times New Roman" w:hAnsi="Times New Roman"/>
                <w:sz w:val="20"/>
              </w:rPr>
              <w:t>0.4563</w:t>
            </w:r>
          </w:p>
        </w:tc>
        <w:tc>
          <w:tcPr>
            <w:tcW w:type="dxa" w:w="1872"/>
          </w:tcPr>
          <w:p>
            <w:pPr>
              <w:spacing w:before="40" w:after="40"/>
            </w:pPr>
            <w:r>
              <w:rPr>
                <w:rFonts w:ascii="Times New Roman" w:hAnsi="Times New Roman"/>
                <w:sz w:val="20"/>
              </w:rPr>
              <w:t>1,053</w:t>
            </w:r>
          </w:p>
        </w:tc>
      </w:tr>
    </w:tbl>
    <w:p/>
    <w:p>
      <w:pPr>
        <w:spacing w:line="276" w:lineRule="auto" w:after="120"/>
      </w:pPr>
      <w:r>
        <w:rPr>
          <w:sz w:val="23"/>
        </w:rP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spacing w:before="160" w:after="80"/>
      </w:pPr>
      <w:r>
        <w:rPr>
          <w:b/>
          <w:color w:val="111827"/>
          <w:sz w:val="24"/>
        </w:rPr>
        <w:t>4.6 Empirical Validation of the Phygital Gap (ABSA Results)</w:t>
      </w:r>
    </w:p>
    <w:p>
      <w:pPr>
        <w:spacing w:line="276" w:lineRule="auto" w:after="120"/>
      </w:pPr>
      <w:r>
        <w:rPr>
          <w:sz w:val="23"/>
        </w:rPr>
        <w:t>Thematic aspect-based affective distribution across the three physical dimensions of the MBG program confirmed that public disgust was anchored in physical execution failures: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40" w:after="40"/>
            </w:pPr>
            <w:r>
              <w:rPr>
                <w:rFonts w:ascii="Times New Roman" w:hAnsi="Times New Roman"/>
                <w:b/>
                <w:sz w:val="20"/>
              </w:rPr>
              <w:t>Aspect Theme</w:t>
            </w:r>
          </w:p>
        </w:tc>
        <w:tc>
          <w:tcPr>
            <w:tcW w:type="dxa" w:w="1337"/>
          </w:tcPr>
          <w:p>
            <w:pPr>
              <w:spacing w:before="40" w:after="40"/>
            </w:pPr>
            <w:r>
              <w:rPr>
                <w:rFonts w:ascii="Times New Roman" w:hAnsi="Times New Roman"/>
                <w:b/>
                <w:sz w:val="20"/>
              </w:rPr>
              <w:t>Total Mentions</w:t>
            </w:r>
          </w:p>
        </w:tc>
        <w:tc>
          <w:tcPr>
            <w:tcW w:type="dxa" w:w="1337"/>
          </w:tcPr>
          <w:p>
            <w:pPr>
              <w:spacing w:before="40" w:after="40"/>
            </w:pPr>
            <w:r>
              <w:rPr>
                <w:rFonts w:ascii="Times New Roman" w:hAnsi="Times New Roman"/>
                <w:b/>
                <w:sz w:val="20"/>
              </w:rPr>
              <w:t>Disgust Count</w:t>
            </w:r>
          </w:p>
        </w:tc>
        <w:tc>
          <w:tcPr>
            <w:tcW w:type="dxa" w:w="1337"/>
          </w:tcPr>
          <w:p>
            <w:pPr>
              <w:spacing w:before="40" w:after="40"/>
            </w:pPr>
            <w:r>
              <w:rPr>
                <w:rFonts w:ascii="Times New Roman" w:hAnsi="Times New Roman"/>
                <w:b/>
                <w:sz w:val="20"/>
              </w:rPr>
              <w:t>Disgust Pct (%)</w:t>
            </w:r>
          </w:p>
        </w:tc>
        <w:tc>
          <w:tcPr>
            <w:tcW w:type="dxa" w:w="1337"/>
          </w:tcPr>
          <w:p>
            <w:pPr>
              <w:spacing w:before="40" w:after="40"/>
            </w:pPr>
            <w:r>
              <w:rPr>
                <w:rFonts w:ascii="Times New Roman" w:hAnsi="Times New Roman"/>
                <w:b/>
                <w:sz w:val="20"/>
              </w:rPr>
              <w:t>Trust Count</w:t>
            </w:r>
          </w:p>
        </w:tc>
        <w:tc>
          <w:tcPr>
            <w:tcW w:type="dxa" w:w="1337"/>
          </w:tcPr>
          <w:p>
            <w:pPr>
              <w:spacing w:before="40" w:after="40"/>
            </w:pPr>
            <w:r>
              <w:rPr>
                <w:rFonts w:ascii="Times New Roman" w:hAnsi="Times New Roman"/>
                <w:b/>
                <w:sz w:val="20"/>
              </w:rPr>
              <w:t>Trust Pct (%)</w:t>
            </w:r>
          </w:p>
        </w:tc>
        <w:tc>
          <w:tcPr>
            <w:tcW w:type="dxa" w:w="1337"/>
          </w:tcPr>
          <w:p>
            <w:pPr>
              <w:spacing w:before="40" w:after="40"/>
            </w:pPr>
            <w:r>
              <w:rPr>
                <w:rFonts w:ascii="Times New Roman" w:hAnsi="Times New Roman"/>
                <w:b/>
                <w:sz w:val="20"/>
              </w:rPr>
              <w:t>Neutral Pct (%)</w:t>
            </w:r>
          </w:p>
        </w:tc>
      </w:tr>
      <w:tr>
        <w:tc>
          <w:tcPr>
            <w:tcW w:type="dxa" w:w="1337"/>
          </w:tcPr>
          <w:p>
            <w:pPr>
              <w:spacing w:before="40" w:after="40"/>
            </w:pPr>
            <w:r>
              <w:rPr>
                <w:rFonts w:ascii="Times New Roman" w:hAnsi="Times New Roman"/>
                <w:sz w:val="20"/>
              </w:rPr>
              <w:t>Logistics &amp; Distribution</w:t>
            </w:r>
          </w:p>
        </w:tc>
        <w:tc>
          <w:tcPr>
            <w:tcW w:type="dxa" w:w="1337"/>
          </w:tcPr>
          <w:p>
            <w:pPr>
              <w:spacing w:before="40" w:after="40"/>
            </w:pPr>
            <w:r>
              <w:rPr>
                <w:rFonts w:ascii="Times New Roman" w:hAnsi="Times New Roman"/>
                <w:sz w:val="20"/>
              </w:rPr>
              <w:t>403</w:t>
            </w:r>
          </w:p>
        </w:tc>
        <w:tc>
          <w:tcPr>
            <w:tcW w:type="dxa" w:w="1337"/>
          </w:tcPr>
          <w:p>
            <w:pPr>
              <w:spacing w:before="40" w:after="40"/>
            </w:pPr>
            <w:r>
              <w:rPr>
                <w:rFonts w:ascii="Times New Roman" w:hAnsi="Times New Roman"/>
                <w:sz w:val="20"/>
              </w:rPr>
              <w:t>318</w:t>
            </w:r>
          </w:p>
        </w:tc>
        <w:tc>
          <w:tcPr>
            <w:tcW w:type="dxa" w:w="1337"/>
          </w:tcPr>
          <w:p>
            <w:pPr>
              <w:spacing w:before="40" w:after="40"/>
            </w:pPr>
            <w:r>
              <w:rPr>
                <w:rFonts w:ascii="Times New Roman" w:hAnsi="Times New Roman"/>
                <w:sz w:val="20"/>
              </w:rPr>
              <w:t>78.91%</w:t>
            </w:r>
          </w:p>
        </w:tc>
        <w:tc>
          <w:tcPr>
            <w:tcW w:type="dxa" w:w="1337"/>
          </w:tcPr>
          <w:p>
            <w:pPr>
              <w:spacing w:before="40" w:after="40"/>
            </w:pPr>
            <w:r>
              <w:rPr>
                <w:rFonts w:ascii="Times New Roman" w:hAnsi="Times New Roman"/>
                <w:sz w:val="20"/>
              </w:rPr>
              <w:t>21</w:t>
            </w:r>
          </w:p>
        </w:tc>
        <w:tc>
          <w:tcPr>
            <w:tcW w:type="dxa" w:w="1337"/>
          </w:tcPr>
          <w:p>
            <w:pPr>
              <w:spacing w:before="40" w:after="40"/>
            </w:pPr>
            <w:r>
              <w:rPr>
                <w:rFonts w:ascii="Times New Roman" w:hAnsi="Times New Roman"/>
                <w:sz w:val="20"/>
              </w:rPr>
              <w:t>5.21%</w:t>
            </w:r>
          </w:p>
        </w:tc>
        <w:tc>
          <w:tcPr>
            <w:tcW w:type="dxa" w:w="1337"/>
          </w:tcPr>
          <w:p>
            <w:pPr>
              <w:spacing w:before="40" w:after="40"/>
            </w:pPr>
            <w:r>
              <w:rPr>
                <w:rFonts w:ascii="Times New Roman" w:hAnsi="Times New Roman"/>
                <w:sz w:val="20"/>
              </w:rPr>
              <w:t>15.88%</w:t>
            </w:r>
          </w:p>
        </w:tc>
      </w:tr>
      <w:tr>
        <w:tc>
          <w:tcPr>
            <w:tcW w:type="dxa" w:w="1337"/>
          </w:tcPr>
          <w:p>
            <w:pPr>
              <w:spacing w:before="40" w:after="40"/>
            </w:pPr>
            <w:r>
              <w:rPr>
                <w:rFonts w:ascii="Times New Roman" w:hAnsi="Times New Roman"/>
                <w:sz w:val="20"/>
              </w:rPr>
              <w:t>Budget Allocation &amp; Vendors</w:t>
            </w:r>
          </w:p>
        </w:tc>
        <w:tc>
          <w:tcPr>
            <w:tcW w:type="dxa" w:w="1337"/>
          </w:tcPr>
          <w:p>
            <w:pPr>
              <w:spacing w:before="40" w:after="40"/>
            </w:pPr>
            <w:r>
              <w:rPr>
                <w:rFonts w:ascii="Times New Roman" w:hAnsi="Times New Roman"/>
                <w:sz w:val="20"/>
              </w:rPr>
              <w:t>535</w:t>
            </w:r>
          </w:p>
        </w:tc>
        <w:tc>
          <w:tcPr>
            <w:tcW w:type="dxa" w:w="1337"/>
          </w:tcPr>
          <w:p>
            <w:pPr>
              <w:spacing w:before="40" w:after="40"/>
            </w:pPr>
            <w:r>
              <w:rPr>
                <w:rFonts w:ascii="Times New Roman" w:hAnsi="Times New Roman"/>
                <w:sz w:val="20"/>
              </w:rPr>
              <w:t>412</w:t>
            </w:r>
          </w:p>
        </w:tc>
        <w:tc>
          <w:tcPr>
            <w:tcW w:type="dxa" w:w="1337"/>
          </w:tcPr>
          <w:p>
            <w:pPr>
              <w:spacing w:before="40" w:after="40"/>
            </w:pPr>
            <w:r>
              <w:rPr>
                <w:rFonts w:ascii="Times New Roman" w:hAnsi="Times New Roman"/>
                <w:sz w:val="20"/>
              </w:rPr>
              <w:t>77.01%</w:t>
            </w:r>
          </w:p>
        </w:tc>
        <w:tc>
          <w:tcPr>
            <w:tcW w:type="dxa" w:w="1337"/>
          </w:tcPr>
          <w:p>
            <w:pPr>
              <w:spacing w:before="40" w:after="40"/>
            </w:pPr>
            <w:r>
              <w:rPr>
                <w:rFonts w:ascii="Times New Roman" w:hAnsi="Times New Roman"/>
                <w:sz w:val="20"/>
              </w:rPr>
              <w:t>23</w:t>
            </w:r>
          </w:p>
        </w:tc>
        <w:tc>
          <w:tcPr>
            <w:tcW w:type="dxa" w:w="1337"/>
          </w:tcPr>
          <w:p>
            <w:pPr>
              <w:spacing w:before="40" w:after="40"/>
            </w:pPr>
            <w:r>
              <w:rPr>
                <w:rFonts w:ascii="Times New Roman" w:hAnsi="Times New Roman"/>
                <w:sz w:val="20"/>
              </w:rPr>
              <w:t>4.30%</w:t>
            </w:r>
          </w:p>
        </w:tc>
        <w:tc>
          <w:tcPr>
            <w:tcW w:type="dxa" w:w="1337"/>
          </w:tcPr>
          <w:p>
            <w:pPr>
              <w:spacing w:before="40" w:after="40"/>
            </w:pPr>
            <w:r>
              <w:rPr>
                <w:rFonts w:ascii="Times New Roman" w:hAnsi="Times New Roman"/>
                <w:sz w:val="20"/>
              </w:rPr>
              <w:t>18.69%</w:t>
            </w:r>
          </w:p>
        </w:tc>
      </w:tr>
      <w:tr>
        <w:tc>
          <w:tcPr>
            <w:tcW w:type="dxa" w:w="1337"/>
          </w:tcPr>
          <w:p>
            <w:pPr>
              <w:spacing w:before="40" w:after="40"/>
            </w:pPr>
            <w:r>
              <w:rPr>
                <w:rFonts w:ascii="Times New Roman" w:hAnsi="Times New Roman"/>
                <w:sz w:val="20"/>
              </w:rPr>
              <w:t>Food Nutritional Quality</w:t>
            </w:r>
          </w:p>
        </w:tc>
        <w:tc>
          <w:tcPr>
            <w:tcW w:type="dxa" w:w="1337"/>
          </w:tcPr>
          <w:p>
            <w:pPr>
              <w:spacing w:before="40" w:after="40"/>
            </w:pPr>
            <w:r>
              <w:rPr>
                <w:rFonts w:ascii="Times New Roman" w:hAnsi="Times New Roman"/>
                <w:sz w:val="20"/>
              </w:rPr>
              <w:t>1,344</w:t>
            </w:r>
          </w:p>
        </w:tc>
        <w:tc>
          <w:tcPr>
            <w:tcW w:type="dxa" w:w="1337"/>
          </w:tcPr>
          <w:p>
            <w:pPr>
              <w:spacing w:before="40" w:after="40"/>
            </w:pPr>
            <w:r>
              <w:rPr>
                <w:rFonts w:ascii="Times New Roman" w:hAnsi="Times New Roman"/>
                <w:sz w:val="20"/>
              </w:rPr>
              <w:t>956</w:t>
            </w:r>
          </w:p>
        </w:tc>
        <w:tc>
          <w:tcPr>
            <w:tcW w:type="dxa" w:w="1337"/>
          </w:tcPr>
          <w:p>
            <w:pPr>
              <w:spacing w:before="40" w:after="40"/>
            </w:pPr>
            <w:r>
              <w:rPr>
                <w:rFonts w:ascii="Times New Roman" w:hAnsi="Times New Roman"/>
                <w:sz w:val="20"/>
              </w:rPr>
              <w:t>71.13%</w:t>
            </w:r>
          </w:p>
        </w:tc>
        <w:tc>
          <w:tcPr>
            <w:tcW w:type="dxa" w:w="1337"/>
          </w:tcPr>
          <w:p>
            <w:pPr>
              <w:spacing w:before="40" w:after="40"/>
            </w:pPr>
            <w:r>
              <w:rPr>
                <w:rFonts w:ascii="Times New Roman" w:hAnsi="Times New Roman"/>
                <w:sz w:val="20"/>
              </w:rPr>
              <w:t>119</w:t>
            </w:r>
          </w:p>
        </w:tc>
        <w:tc>
          <w:tcPr>
            <w:tcW w:type="dxa" w:w="1337"/>
          </w:tcPr>
          <w:p>
            <w:pPr>
              <w:spacing w:before="40" w:after="40"/>
            </w:pPr>
            <w:r>
              <w:rPr>
                <w:rFonts w:ascii="Times New Roman" w:hAnsi="Times New Roman"/>
                <w:sz w:val="20"/>
              </w:rPr>
              <w:t>8.85%</w:t>
            </w:r>
          </w:p>
        </w:tc>
        <w:tc>
          <w:tcPr>
            <w:tcW w:type="dxa" w:w="1337"/>
          </w:tcPr>
          <w:p>
            <w:pPr>
              <w:spacing w:before="40" w:after="40"/>
            </w:pPr>
            <w:r>
              <w:rPr>
                <w:rFonts w:ascii="Times New Roman" w:hAnsi="Times New Roman"/>
                <w:sz w:val="20"/>
              </w:rPr>
              <w:t>20.01%</w:t>
            </w:r>
          </w:p>
        </w:tc>
      </w:tr>
    </w:tbl>
    <w:p/>
    <w:p>
      <w:pPr>
        <w:spacing w:line="276" w:lineRule="auto" w:after="120"/>
      </w:pPr>
      <w:r>
        <w:rPr>
          <w:sz w:val="23"/>
        </w:rP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spacing w:line="276" w:lineRule="auto" w:after="120"/>
      </w:pPr>
      <w:r>
        <w:rPr>
          <w:sz w:val="23"/>
        </w:rPr>
        <w:t>---</w:t>
      </w:r>
    </w:p>
    <w:p>
      <w:pPr>
        <w:spacing w:before="240" w:after="120"/>
      </w:pPr>
      <w:r>
        <w:rPr>
          <w:b/>
          <w:color w:val="1E3A8A"/>
          <w:sz w:val="28"/>
        </w:rPr>
        <w:t>5. DISCUSSION</w:t>
      </w:r>
    </w:p>
    <w:p>
      <w:pPr>
        <w:spacing w:before="160" w:after="80"/>
      </w:pPr>
      <w:r>
        <w:rPr>
          <w:b/>
          <w:color w:val="111827"/>
          <w:sz w:val="24"/>
        </w:rPr>
        <w:t>5.1 The Anatomy of the Phygital Gap in Public Sector Governance</w:t>
      </w:r>
    </w:p>
    <w:p>
      <w:pPr>
        <w:spacing w:line="276" w:lineRule="auto" w:after="120"/>
      </w:pPr>
      <w:r>
        <w:rPr>
          <w:sz w:val="23"/>
        </w:rPr>
        <w:t>The empirical findings substantiate the central theoretical proposition of this study: the crisis of the MBG program represents a textbook manifestation of the Phygital Gap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76" w:lineRule="auto" w:after="120"/>
      </w:pPr>
      <w:r>
        <w:rPr>
          <w:sz w:val="23"/>
        </w:rPr>
        <w:t>The dominance of Disgust (56.24%) over Anger (1.05%)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spacing w:before="160" w:after="80"/>
      </w:pPr>
      <w:r>
        <w:rPr>
          <w:b/>
          <w:color w:val="111827"/>
          <w:sz w:val="24"/>
        </w:rPr>
        <w:t>5.2 Hyper-Fragmentation and the Death of Deliberative Space</w:t>
      </w:r>
    </w:p>
    <w:p>
      <w:pPr>
        <w:spacing w:line="276" w:lineRule="auto" w:after="120"/>
      </w:pPr>
      <w:r>
        <w:rPr>
          <w:sz w:val="23"/>
        </w:rP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pPr>
        <w:spacing w:line="276" w:lineRule="auto" w:after="120"/>
      </w:pPr>
      <w:r>
        <w:rPr>
          <w:sz w:val="23"/>
        </w:rP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spacing w:before="160" w:after="80"/>
      </w:pPr>
      <w:r>
        <w:rPr>
          <w:b/>
          <w:color w:val="111827"/>
          <w:sz w:val="24"/>
        </w:rPr>
        <w:t>5.3 The Emergence of the 'Algorithmic Oracle'</w:t>
      </w:r>
    </w:p>
    <w:p>
      <w:pPr>
        <w:spacing w:line="276" w:lineRule="auto" w:after="120"/>
      </w:pPr>
      <w:r>
        <w:rPr>
          <w:sz w:val="23"/>
        </w:rP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76" w:lineRule="auto" w:after="120"/>
      </w:pPr>
      <w:r>
        <w:rPr>
          <w:sz w:val="23"/>
        </w:rPr>
        <w:t>When state actors create a Power Vacuum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*Algorithmic Oracle*,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spacing w:before="160" w:after="80"/>
      </w:pPr>
      <w:r>
        <w:rPr>
          <w:b/>
          <w:color w:val="111827"/>
          <w:sz w:val="24"/>
        </w:rPr>
        <w:t>5.4 Sarcasm as Rhetorical Counter-Surveillance</w:t>
      </w:r>
    </w:p>
    <w:p>
      <w:pPr>
        <w:spacing w:line="276" w:lineRule="auto" w:after="120"/>
      </w:pPr>
      <w:r>
        <w:rPr>
          <w:sz w:val="23"/>
        </w:rP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76" w:lineRule="auto" w:after="120"/>
      </w:pPr>
      <w:r>
        <w:rPr>
          <w:sz w:val="23"/>
        </w:rPr>
        <w:t>---</w:t>
      </w:r>
    </w:p>
    <w:p>
      <w:pPr>
        <w:spacing w:before="240" w:after="120"/>
      </w:pPr>
      <w:r>
        <w:rPr>
          <w:b/>
          <w:color w:val="1E3A8A"/>
          <w:sz w:val="28"/>
        </w:rPr>
        <w:t>6. THEORETICAL AND PRACTICAL CONTRIBUTIONS</w:t>
      </w:r>
    </w:p>
    <w:p>
      <w:pPr>
        <w:spacing w:before="160" w:after="80"/>
      </w:pPr>
      <w:r>
        <w:rPr>
          <w:b/>
          <w:color w:val="111827"/>
          <w:sz w:val="24"/>
        </w:rPr>
        <w:t>6.1 Theoretical Contributions</w:t>
      </w:r>
    </w:p>
    <w:p>
      <w:pPr>
        <w:pStyle w:val="ListNumber"/>
        <w:spacing w:after="60"/>
      </w:pPr>
      <w:r>
        <w:rPr>
          <w:sz w:val="22"/>
        </w:rPr>
        <w:t>Extension of Marketing 6.0 into Public Administration: This study demonstrates that the *Phygital Gap* is a rigorous, quantifiable construct for evaluating state policy crises, bridging marketing theory with public administration.</w:t>
      </w:r>
    </w:p>
    <w:p>
      <w:pPr>
        <w:pStyle w:val="ListNumber"/>
        <w:spacing w:after="60"/>
      </w:pPr>
      <w:r>
        <w:rPr>
          <w:sz w:val="22"/>
        </w:rPr>
        <w:t>Tri-Layer CSS Methodological Synthesis: By synchronizing transformer deep learning (IndoBERT), pragmatics-informed sarcasm detection, and topological SNA, this research presents an integrative blueprint for computational communication science that avoids the reductionism of isolated text or network studies.</w:t>
      </w:r>
    </w:p>
    <w:p>
      <w:pPr>
        <w:pStyle w:val="ListNumber"/>
        <w:spacing w:after="60"/>
      </w:pPr>
      <w:r>
        <w:rPr>
          <w:sz w:val="22"/>
        </w:rPr>
        <w:t>Conceptualization of the Algorithmic Oracle: We provide the first empirical documentation of an AI agent functioning as a central communicative authority in an Indonesian public policy crisis network, redefining theories of networked gatekeeping.</w:t>
      </w:r>
    </w:p>
    <w:p>
      <w:pPr>
        <w:spacing w:before="160" w:after="80"/>
      </w:pPr>
      <w:r>
        <w:rPr>
          <w:b/>
          <w:color w:val="111827"/>
          <w:sz w:val="24"/>
        </w:rPr>
        <w:t>6.2 Practical Policy and PR Implications</w:t>
      </w:r>
    </w:p>
    <w:p>
      <w:pPr>
        <w:pStyle w:val="ListNumber"/>
        <w:spacing w:after="60"/>
      </w:pPr>
      <w:r>
        <w:rPr>
          <w:sz w:val="22"/>
        </w:rPr>
        <w:t>Closing the Physical Touchpoint: Public sector communication teams cannot cure an operational crisis with digital spin. PR resources must be directed toward auditing ground-level operational logistics before launching promotional digital campaigns.</w:t>
      </w:r>
    </w:p>
    <w:p>
      <w:pPr>
        <w:pStyle w:val="ListNumber"/>
        <w:spacing w:after="60"/>
      </w:pPr>
      <w:r>
        <w:rPr>
          <w:sz w:val="22"/>
        </w:rPr>
        <w:t>Eliminating the Power Vacuum: Institutional communicators must abandon one-way broadcast practices. Establishing responsive, interactive social listening units capable of engaging with citizen inquiries is essential to raise network reciprocity and restore institutional trust.</w:t>
      </w:r>
    </w:p>
    <w:p>
      <w:pPr>
        <w:pStyle w:val="ListNumber"/>
        <w:spacing w:after="60"/>
      </w:pPr>
      <w:r>
        <w:rPr>
          <w:sz w:val="22"/>
        </w:rPr>
        <w:t>Deprecating Binary Sentiment Tools: Government monitoring dashboards must replace obsolete positive/negative lexicon tools with contextual transformer models capable of decoding sarcasm and granular disgust.</w:t>
      </w:r>
    </w:p>
    <w:p>
      <w:pPr>
        <w:spacing w:line="276" w:lineRule="auto" w:after="120"/>
      </w:pPr>
      <w:r>
        <w:rPr>
          <w:sz w:val="23"/>
        </w:rPr>
        <w:t>---</w:t>
      </w:r>
    </w:p>
    <w:p>
      <w:pPr>
        <w:spacing w:before="240" w:after="120"/>
      </w:pPr>
      <w:r>
        <w:rPr>
          <w:b/>
          <w:color w:val="1E3A8A"/>
          <w:sz w:val="28"/>
        </w:rPr>
        <w:t>7. RESEARCH LIMITATIONS AND FUTURE RESEARCH AGENDA</w:t>
      </w:r>
    </w:p>
    <w:p>
      <w:pPr>
        <w:spacing w:line="276" w:lineRule="auto" w:after="120"/>
      </w:pPr>
      <w:r>
        <w:rPr>
          <w:sz w:val="23"/>
        </w:rPr>
        <w:t>In compliance with academic rigor, this study identifies five methodological boundaries:</w:t>
      </w:r>
    </w:p>
    <w:p>
      <w:pPr>
        <w:pStyle w:val="ListNumber"/>
        <w:spacing w:after="60"/>
      </w:pPr>
      <w:r>
        <w:rPr>
          <w:sz w:val="22"/>
        </w:rPr>
        <w:t>Demographic Platform Bias: Data is derived solely from Platform X, which disproportionately represents urban, educated, and politically active demographics; findings cannot be generalized to the entire offline Indonesian populace.</w:t>
      </w:r>
    </w:p>
    <w:p>
      <w:pPr>
        <w:pStyle w:val="ListNumber"/>
        <w:spacing w:after="60"/>
      </w:pPr>
      <w:r>
        <w:rPr>
          <w:sz w:val="22"/>
        </w:rPr>
        <w:t>Class Imbalance in Granular Modeling: Natural class imbalance in crisis data resulted in low Macro F1 scores for minority emotion classes (Fear, Sadness, Joy), despite high Recall on the dominant Disgust class ($96.92\%$).</w:t>
      </w:r>
    </w:p>
    <w:p>
      <w:pPr>
        <w:pStyle w:val="ListNumber"/>
        <w:spacing w:after="60"/>
      </w:pPr>
      <w:r>
        <w:rPr>
          <w:sz w:val="22"/>
        </w:rPr>
        <w:t>Lexical Aspect Extraction: Aspect extraction in ABSA utilized curated domain lexicons rather than an end-to-end supervised dependency parser.</w:t>
      </w:r>
    </w:p>
    <w:p>
      <w:pPr>
        <w:pStyle w:val="ListNumber"/>
        <w:spacing w:after="60"/>
      </w:pPr>
      <w:r>
        <w:rPr>
          <w:sz w:val="22"/>
        </w:rPr>
        <w:t>Cross-Platform Omission: Visual and video-based platforms (TikTok, Instagram) where the physical food was visually documented were not included in this computational pipeline.</w:t>
      </w:r>
    </w:p>
    <w:p>
      <w:pPr>
        <w:spacing w:line="276" w:lineRule="auto" w:after="120"/>
      </w:pPr>
      <w:r>
        <w:rPr>
          <w:sz w:val="23"/>
        </w:rPr>
        <w:t>5. Temporal Horizon: The study captures the initial rollout phase (January–March 2026); long-term longitudinal shifts in network topology remain unobserved.</w:t>
      </w:r>
    </w:p>
    <w:p>
      <w:pPr>
        <w:spacing w:line="276" w:lineRule="auto" w:after="120"/>
      </w:pPr>
      <w:r>
        <w:rPr>
          <w:sz w:val="23"/>
        </w:rPr>
        <w:t>---</w:t>
      </w:r>
    </w:p>
    <w:p>
      <w:pPr>
        <w:spacing w:before="240" w:after="120"/>
      </w:pPr>
      <w:r>
        <w:rPr>
          <w:b/>
          <w:color w:val="1E3A8A"/>
          <w:sz w:val="28"/>
        </w:rPr>
        <w:t>8. CONCLUSION</w:t>
      </w:r>
    </w:p>
    <w:p>
      <w:pPr>
        <w:spacing w:line="276" w:lineRule="auto" w:after="120"/>
      </w:pPr>
      <w:r>
        <w:rPr>
          <w:sz w:val="23"/>
        </w:rP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spacing w:line="276" w:lineRule="auto" w:after="120"/>
      </w:pPr>
      <w:r>
        <w:rPr>
          <w:sz w:val="23"/>
        </w:rPr>
        <w:t>---</w:t>
      </w:r>
    </w:p>
    <w:p>
      <w:pPr>
        <w:spacing w:before="240" w:after="120"/>
      </w:pPr>
      <w:r>
        <w:rPr>
          <w:b/>
          <w:color w:val="1E3A8A"/>
          <w:sz w:val="28"/>
        </w:rPr>
        <w:t>REFERENCES</w:t>
      </w:r>
    </w:p>
    <w:p>
      <w:pPr>
        <w:spacing w:line="276" w:lineRule="auto" w:after="120"/>
      </w:pPr>
      <w:r>
        <w:rPr>
          <w:sz w:val="23"/>
        </w:rPr>
        <w:t>Blondel, V. D., Guillaume, J.-L., Lambiotte, R., &amp; Lefebvre, E. (2008). Fast unfolding of communities in large networks. *Journal of Statistical Mechanics: Theory and Experiment*, 2008(10), P10008.</w:t>
      </w:r>
    </w:p>
    <w:p>
      <w:pPr>
        <w:spacing w:line="276" w:lineRule="auto" w:after="120"/>
      </w:pPr>
      <w:r>
        <w:rPr>
          <w:sz w:val="23"/>
        </w:rPr>
        <w:t>Boyd, D., &amp; Crawford, K. (2012). Critical questions for big data. *Information, Communication &amp; Society*, 15(5), 662–679.</w:t>
      </w:r>
    </w:p>
    <w:p>
      <w:pPr>
        <w:spacing w:line="276" w:lineRule="auto" w:after="120"/>
      </w:pPr>
      <w:r>
        <w:rPr>
          <w:sz w:val="23"/>
        </w:rPr>
        <w:t>Camp, E. (2012). Sarcasm, pretense, and the semantics/pragmatics distinction. *Noûs*, 46(4), 587–634.</w:t>
      </w:r>
    </w:p>
    <w:p>
      <w:pPr>
        <w:spacing w:line="276" w:lineRule="auto" w:after="120"/>
      </w:pPr>
      <w:r>
        <w:rPr>
          <w:sz w:val="23"/>
        </w:rPr>
        <w:t>Chiorrini, A., Diamantini, C., Mircoli, A., &amp; Potena, D. (2021). Emotion and sentiment analysis of tweets using BERT. *CEUR Workshop Proceedings*, 2841.</w:t>
      </w:r>
    </w:p>
    <w:p>
      <w:pPr>
        <w:spacing w:line="276" w:lineRule="auto" w:after="120"/>
      </w:pPr>
      <w:r>
        <w:rPr>
          <w:sz w:val="23"/>
        </w:rPr>
        <w:t>Clark, H. H., &amp; Gerrig, R. J. (1984). On the pretense theory of irony. *Journal of Experimental Psychology: General*, 113(1), 121–126.</w:t>
      </w:r>
    </w:p>
    <w:p>
      <w:pPr>
        <w:spacing w:line="276" w:lineRule="auto" w:after="120"/>
      </w:pPr>
      <w:r>
        <w:rPr>
          <w:sz w:val="23"/>
        </w:rPr>
        <w:t>Coombs, W. T. (2007). Protecting organization reputations during a crisis: The development and application of situational crisis communication theory. *Corporate Reputation Review*, 10(3), 163–176.</w:t>
      </w:r>
    </w:p>
    <w:p>
      <w:pPr>
        <w:spacing w:line="276" w:lineRule="auto" w:after="120"/>
      </w:pPr>
      <w:r>
        <w:rPr>
          <w:sz w:val="23"/>
        </w:rPr>
        <w:t>Devlin, J., Chang, M.-W., Lee, K., &amp; Toutanova, K. (2018). BERT: Pre-training of deep bidirectional transformers for language understanding. *arXiv preprint arXiv:1810.04805*.</w:t>
      </w:r>
    </w:p>
    <w:p>
      <w:pPr>
        <w:spacing w:line="276" w:lineRule="auto" w:after="120"/>
      </w:pPr>
      <w:r>
        <w:rPr>
          <w:sz w:val="23"/>
        </w:rPr>
        <w:t>Freeman, L. C. (1979). Centrality in social networks: Conceptual clarification. *Social Networks*, 1(3), 215–239.</w:t>
      </w:r>
    </w:p>
    <w:p>
      <w:pPr>
        <w:spacing w:line="276" w:lineRule="auto" w:after="120"/>
      </w:pPr>
      <w:r>
        <w:rPr>
          <w:sz w:val="23"/>
        </w:rPr>
        <w:t>Grice, H. P. (1975). Logic and conversation. In P. Cole &amp; J. L. Morgan (Eds.), *Syntax and Semantics: Vol. 3. Speech Acts* (pp. 41–58). Academic Press.</w:t>
      </w:r>
    </w:p>
    <w:p>
      <w:pPr>
        <w:spacing w:line="276" w:lineRule="auto" w:after="120"/>
      </w:pPr>
      <w:r>
        <w:rPr>
          <w:sz w:val="23"/>
        </w:rPr>
        <w:t>Habermas, J. (1989). *The structural transformation of the public sphere*. MIT Press.</w:t>
      </w:r>
    </w:p>
    <w:p>
      <w:pPr>
        <w:spacing w:line="276" w:lineRule="auto" w:after="120"/>
      </w:pPr>
      <w:r>
        <w:rPr>
          <w:sz w:val="23"/>
        </w:rPr>
        <w:t>Habermas, J. (2006). Political communication in media society: Does democracy still enjoy an epistemic dimension? *Communication Theory*, 16(4), 411–426.</w:t>
      </w:r>
    </w:p>
    <w:p>
      <w:pPr>
        <w:spacing w:line="276" w:lineRule="auto" w:after="120"/>
      </w:pPr>
      <w:r>
        <w:rPr>
          <w:sz w:val="23"/>
        </w:rPr>
        <w:t>Kotler, P., Kartajaya, H., &amp; Setiawan, I. (2023). *Marketing 6.0: The future is immersive*. John Wiley &amp; Sons.</w:t>
      </w:r>
    </w:p>
    <w:p>
      <w:pPr>
        <w:spacing w:line="276" w:lineRule="auto" w:after="120"/>
      </w:pPr>
      <w:r>
        <w:rPr>
          <w:sz w:val="23"/>
        </w:rPr>
        <w:t>Koto, F., Rahimi, A., Lau, J. H., &amp; Baldwin, T. (2020). IndoLEM and IndoBERT: A benchmark dataset and pre-trained language model for Indonesian NLP. *Proceedings of the 28th International Conference on Computational Linguistics (COLING 2020)*, 757–770.</w:t>
      </w:r>
    </w:p>
    <w:p>
      <w:pPr>
        <w:spacing w:line="276" w:lineRule="auto" w:after="120"/>
      </w:pPr>
      <w:r>
        <w:rPr>
          <w:sz w:val="23"/>
        </w:rPr>
        <w:t>Newman, M. E. J. (2006). Modularity and community structure in networks. *Proceedings of the National Academy of Sciences*, 103(23), 8577–8582.</w:t>
      </w:r>
    </w:p>
    <w:p>
      <w:pPr>
        <w:spacing w:line="276" w:lineRule="auto" w:after="120"/>
      </w:pPr>
      <w:r>
        <w:rPr>
          <w:sz w:val="23"/>
        </w:rPr>
        <w:t>Papacharissi, Z. (2015). *Affective publics: Sentiment, technology, and politics*. Oxford University Press.</w:t>
      </w:r>
    </w:p>
    <w:p>
      <w:pPr>
        <w:spacing w:line="276" w:lineRule="auto" w:after="120"/>
      </w:pPr>
      <w:r>
        <w:rPr>
          <w:sz w:val="23"/>
        </w:rPr>
        <w:t>Pariser, E. (2011). *The filter bubble: What the internet is hiding from you*. Penguin Press.</w:t>
      </w:r>
    </w:p>
    <w:p>
      <w:pPr>
        <w:spacing w:line="276" w:lineRule="auto" w:after="120"/>
      </w:pPr>
      <w:r>
        <w:rPr>
          <w:sz w:val="23"/>
        </w:rPr>
        <w:t>Plutchik, R. (1980). A general psychoevolutionary theory of emotion. In *Theories of Emotion* (pp. 3–33). Academic Press.</w:t>
      </w:r>
    </w:p>
    <w:p>
      <w:pPr>
        <w:spacing w:line="276" w:lineRule="auto" w:after="120"/>
      </w:pPr>
      <w:r>
        <w:rPr>
          <w:sz w:val="23"/>
        </w:rPr>
        <w:t>Riza, A., &amp; Charibaldi, N. (2021). Implementasi deteksi emosi pada teks bahasa Indonesia menggunakan FastText dan LSTM. *Jurnal RESTI*, 5(2), 241–248.</w:t>
      </w:r>
    </w:p>
    <w:p>
      <w:pPr>
        <w:spacing w:line="276" w:lineRule="auto" w:after="120"/>
      </w:pPr>
      <w:r>
        <w:rPr>
          <w:sz w:val="23"/>
        </w:rPr>
        <w:t>Saputri, M. S., Mahendra, R., &amp; Adriani, M. (2018). Emotion classification on Indonesian Twitter dataset. *2018 International Conference on Asian Language Processing (IALP)*, 90–95.</w:t>
      </w:r>
    </w:p>
    <w:p>
      <w:pPr>
        <w:spacing w:line="276" w:lineRule="auto" w:after="120"/>
      </w:pPr>
      <w:r>
        <w:rPr>
          <w:sz w:val="23"/>
        </w:rPr>
        <w:t>Schultz, F., Utz, S., &amp; Göritz, A. (2011). Is the medium the message? Perceptions of and reactions to crisis communication via Twitter, blogs and traditional media. *Public Relations Review*, 37(1), 20–27.</w:t>
      </w:r>
    </w:p>
    <w:p>
      <w:pPr>
        <w:spacing w:line="276" w:lineRule="auto" w:after="120"/>
      </w:pPr>
      <w:r>
        <w:rPr>
          <w:sz w:val="23"/>
        </w:rPr>
        <w:t>Shaw, P., LaCasse, K., &amp; Champagne, C. (2025). Transfer learning for emotion classification in low-resource Indonesian social discourse. *Social Network Analysis and Mining*, 15(1), 42–58.</w:t>
      </w:r>
    </w:p>
    <w:p>
      <w:pPr>
        <w:spacing w:line="276" w:lineRule="auto" w:after="120"/>
      </w:pPr>
      <w:r>
        <w:rPr>
          <w:sz w:val="23"/>
        </w:rPr>
        <w:t>Suaib, A., &amp; Pratiwi, R. (2025). Social network analysis in the dissemination of MBG program information on social media X. *Jurnal Studi Komunikasi*, 9(1), 112–129.</w:t>
      </w:r>
    </w:p>
    <w:p>
      <w:pPr>
        <w:spacing w:line="276" w:lineRule="auto" w:after="120"/>
      </w:pPr>
      <w:r>
        <w:rPr>
          <w:sz w:val="23"/>
        </w:rPr>
        <w:t>Sulafasyah, L. (2026). *Analisis jaringan komunikasi isu keracunan MBG di Twitter* [Unpublished master's thesis]. Universitas Pembangunan Nasional 'Veteran' Jawa Timur.</w:t>
      </w:r>
    </w:p>
    <w:p>
      <w:pPr>
        <w:spacing w:line="276" w:lineRule="auto" w:after="120"/>
      </w:pPr>
      <w:r>
        <w:rPr>
          <w:sz w:val="23"/>
        </w:rPr>
        <w:t>Sunstein, C. R. (2017). *#Republic: Divided democracy in the age of social media*. Princeton University Press.</w:t>
      </w:r>
    </w:p>
    <w:p>
      <w:pPr>
        <w:spacing w:line="276" w:lineRule="auto" w:after="120"/>
      </w:pPr>
      <w:r>
        <w:rPr>
          <w:sz w:val="23"/>
        </w:rPr>
        <w:t>Wasserman, S., &amp; Faust, K. (1994). *Social network analysis: Methods and applications*. Cambridge University Press.</w:t>
      </w:r>
    </w:p>
    <w:p>
      <w:pPr>
        <w:spacing w:line="276" w:lineRule="auto" w:after="120"/>
      </w:pPr>
      <w:r>
        <w:rPr>
          <w:sz w:val="23"/>
        </w:rPr>
        <w:t>Wilie, B., Vincentio, K., Winata, G. I., Cahyawijaya, S., Li, X., Lim, Z. Y., Soleman, S., Mahendra, R., Fung, P., Bahar, S., &amp; Purwarianti, A. (2020). IndoNLU: Benchmark and resources for evaluating Indonesian natural language understanding. *Proceedings of AACL-IJCNLP 2020*, 843–860.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