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Authors: [Names and Affiliations Anonymized for Double-Blind Peer Review]</w:t>
      </w:r>
    </w:p>
    <w:p>
      <w:pPr>
        <w:spacing w:line="480" w:lineRule="auto" w:after="0" w:before="0"/>
        <w:jc w:val="both"/>
      </w:pPr>
      <w:r>
        <w:rPr>
          <w:rFonts w:ascii="Times New Roman" w:hAnsi="Times New Roman" w:eastAsia="Times New Roman"/>
          <w:sz w:val="24"/>
        </w:rPr>
        <w:t>Target Publication: Social Network Analysis and Mining (Springer Nature Switzerland, Scopus Q1, SJR 0.76)</w:t>
      </w:r>
    </w:p>
    <w:p>
      <w:pPr>
        <w:spacing w:line="480" w:lineRule="auto" w:after="0" w:before="0"/>
        <w:jc w:val="both"/>
      </w:pPr>
      <w:r>
        <w:rPr>
          <w:rFonts w:ascii="Times New Roman" w:hAnsi="Times New Roman" w:eastAsia="Times New Roman"/>
          <w:sz w:val="24"/>
        </w:rPr>
        <w:t>Scopus ASJC Classification: 3315 (Communication), 1702 (Artificial Intelligence), 3312 (Sociology and Political Science)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Scopus Subject Area: Social Sciences (Communication) · Computer Science (Artificial Intelligence)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w:t>
        <w:tab/>
        <w: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an absolute breakdown of conversational exchange. Citizens were not talking to one another, nor were institutions conversing with citizens. Instead, discourse manifested as outward broadcasting into an echo chamber void.</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w:t>
        <w:tab/>
        <w: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This provides empirical proof of the Phygital Gap: negative affect was not an abstract political grievance, but an intense rejection of operational failures in delivery timing, budget misappropriation, and inadequate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substantiate the central theoretical proposition of this study: the crisis of the MBG program represents a textbook manifestation of the Phygital Gap (Kotler et al., 2023) transposed into public policy communication. In corporate marketing, a phygital gap erodes brand equity; in public governance, it destroys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pPr>
        <w:spacing w:line="480" w:lineRule="auto" w:after="0" w:before="0"/>
        <w:jc w:val="both"/>
      </w:pPr>
      <w:r>
        <w:rPr>
          <w:rFonts w:ascii="Times New Roman" w:hAnsi="Times New Roman" w:eastAsia="Times New Roman"/>
          <w:sz w:val="24"/>
        </w:rPr>
        <w:t>The dominance of Disgust (56.24%) over Anger (1.05%) is sociologically profound.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multi-trillion-rupiah national policy into an object of physical disgust.</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reveals that the digital discourse was functionally dead as a deliberative space. Citizens broadcasted their frustration into localized micro-clusters, while government actors failed to engage in reciprocal dialogue. The giant component captured only $9.17\%$ of nodes, indicating that no single narrative could bridge the fragmented silos.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480" w:lineRule="auto" w:after="0" w:before="0"/>
        <w:jc w:val="both"/>
      </w:pPr>
      <w:r>
        <w:rPr>
          <w:rFonts w:ascii="Times New Roman" w:hAnsi="Times New Roman" w:eastAsia="Times New Roman"/>
          <w:sz w:val="24"/>
        </w:rPr>
        <w:t>When state actors create a Power Vacuum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Algorithmic Oracle,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cannot cure an operational crisis with digital spin. PR resources must be directed toward auditing ground-level operational logistics before launching promotional digital campaigns.</w:t>
      </w:r>
    </w:p>
    <w:p>
      <w:pPr>
        <w:spacing w:line="480" w:lineRule="auto" w:after="0" w:before="0"/>
        <w:jc w:val="both"/>
      </w:pPr>
      <w:r>
        <w:rPr>
          <w:rFonts w:ascii="Times New Roman" w:hAnsi="Times New Roman" w:eastAsia="Times New Roman"/>
          <w:sz w:val="24"/>
        </w:rPr>
        <w:t>2. Eliminating the Power Vacuum: Institutional communicators must abandon one-way broadcast practices. Establishing responsive, interactive social listening units capable of engaging with citizen inquiries is essential to raise network reciprocity and restore institutional trust.</w:t>
      </w:r>
    </w:p>
    <w:p>
      <w:pPr>
        <w:spacing w:line="480" w:lineRule="auto" w:after="0" w:before="0"/>
        <w:jc w:val="both"/>
      </w:pPr>
      <w:r>
        <w:rPr>
          <w:rFonts w:ascii="Times New Roman" w:hAnsi="Times New Roman" w:eastAsia="Times New Roman"/>
          <w:sz w:val="24"/>
        </w:rPr>
        <w:t>3. Deprecating Binary Sentiment Tools: Government monitoring dashboards must replace obsolete positive/negative lexicon tools with contextual transformer models capable of decoding sarcasm and granular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