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spacing w:line="480" w:lineRule="auto" w:after="0" w:before="0"/>
        <w:jc w:val="both"/>
      </w:pPr>
      <w:r>
        <w:rPr>
          <w:rFonts w:ascii="Times New Roman" w:hAnsi="Times New Roman" w:eastAsia="Times New Roman"/>
          <w:sz w:val="24"/>
        </w:rPr>
        <w:t>Authors: [Names and Affiliations Anonymized for Double-Blind Peer Review]</w:t>
      </w:r>
    </w:p>
    <w:p>
      <w:pPr>
        <w:spacing w:line="480" w:lineRule="auto" w:after="0" w:before="0"/>
        <w:jc w:val="both"/>
      </w:pPr>
      <w:r>
        <w:rPr>
          <w:rFonts w:ascii="Times New Roman" w:hAnsi="Times New Roman" w:eastAsia="Times New Roman"/>
          <w:sz w:val="24"/>
        </w:rPr>
        <w:t>Target Publication: Social Network Analysis and Mining (Springer Nature Switzerland, Scopus Q1, SJR 0.76)</w:t>
      </w:r>
    </w:p>
    <w:p>
      <w:pPr>
        <w:spacing w:line="480" w:lineRule="auto" w:after="0" w:before="0"/>
        <w:jc w:val="both"/>
      </w:pPr>
      <w:r>
        <w:rPr>
          <w:rFonts w:ascii="Times New Roman" w:hAnsi="Times New Roman" w:eastAsia="Times New Roman"/>
          <w:sz w:val="24"/>
        </w:rPr>
        <w:t>Scopus ASJC Classification: 3315 (Communication), 1702 (Artificial Intelligence), 3312 (Sociology and Political Science)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nine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produced an accuracy of 57.45%, macro F1 of 0.1444, and weighted F1 of 0.4563, indicating substantial class imbalance across emotion categories. The findings show strong concentration of negative affect across the three policy aspects and a highly fragmented interaction structure in the observed corpus. The study contributes an integrated computational approach for connecting affective expression, network structure, sarcasm, and operational policy themes in digital public-policy discourse.</w:t>
      </w:r>
    </w:p>
    <w:p>
      <w:pPr>
        <w:spacing w:line="480" w:lineRule="auto" w:after="0" w:before="0"/>
        <w:jc w:val="both"/>
      </w:pPr>
      <w:r>
        <w:t>Keywords: Makan Bergizi Gratis; Platform X; IndoBERT; Social Network Analysis; Phygital Gap</w:t>
      </w:r>
    </w:p>
    <w:p>
      <w:pPr>
        <w:spacing w:line="480" w:lineRule="auto" w:after="0" w:before="0"/>
        <w:jc w:val="both"/>
      </w:pPr>
      <w:r>
        <w:rPr>
          <w:rFonts w:ascii="Times New Roman" w:hAnsi="Times New Roman" w:eastAsia="Times New Roman"/>
          <w:sz w:val="24"/>
        </w:rPr>
        <w:t>Scopus Subject Area: Social Sciences (Communication) · Computer Science (Artificial Intelligence)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fundamentally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inevitably misinterpret such sarcastic praise as genuine government support, severely misleading public 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rPr>
          <w:rFonts w:ascii="Times New Roman" w:hAnsi="Times New Roman" w:eastAsia="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rPr>
          <w:rFonts w:ascii="Times New Roman" w:hAnsi="Times New Roman" w:eastAsia="Times New Roman"/>
          <w:sz w:val="24"/>
        </w:rPr>
        <w:t>4. The Emergent Algorithmic Governance Gap (The 'Algorithmic Oracle' vs. Institutional Silence):</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Literature has yet to document or formalize how total institutional communicative paralysis ($C_{\text{out}} = 0$) compels networked citizens to abandon human authorities and summon AI conversational agents (@grok, $C_{\text{out}} = 42$) as decentralized, third-party epistemic arbiters of state truth.</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rPr>
          <w:rFonts w:ascii="Times New Roman" w:hAnsi="Times New Roman" w:eastAsia="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rPr>
          <w:rFonts w:ascii="Times New Roman" w:hAnsi="Times New Roman" w:eastAsia="Times New Roman"/>
          <w:sz w:val="24"/>
        </w:rPr>
        <w:t>Dataset Partitioning: Stratified splitting of annotated data into 80% training set ($N = 4,210$) and 20% independent holdout test set ($n = 1,053$).</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rPr>
          <w:rFonts w:ascii="Times New Roman" w:hAnsi="Times New Roman" w:eastAsia="Times New Roman"/>
          <w:sz w:val="24"/>
        </w:rPr>
        <w:t>Batch Size: 16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rPr>
          <w:rFonts w:ascii="Times New Roman" w:hAnsi="Times New Roman" w:eastAsia="Times New Roman"/>
          <w:sz w:val="24"/>
        </w:rPr>
        <w:t>Checkpoint Selection: Evaluated per epoch; optimal weights extracted at step 792 (checkpoint-792).</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rPr>
          <w:rFonts w:ascii="Times New Roman" w:hAnsi="Times New Roman" w:eastAsia="Times New Roman"/>
          <w:sz w:val="24"/>
        </w:rPr>
        <w:t>In-Degree Centrality ($C_{</w:t>
        <w:tab/>
        <w: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w:t>
        <w:tab/>
        <w: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 substantial constraint on conversational exchange. Citizens were not frequently engaging in reciprocal interaction with one another, while institutional accounts showed limited reciprocal interaction with citizens in the observed network. Instead, discourse was characterized largely by outward broadcasting into localized clusters, resulting in a fragmented interaction structure.</w:t>
      </w:r>
    </w:p>
    <w:p>
      <w:pPr>
        <w:pStyle w:val="Heading2"/>
        <w:spacing w:before="0" w:after="0" w:line="480" w:lineRule="auto"/>
        <w:jc w:val="left"/>
      </w:pPr>
      <w:r>
        <w:rPr>
          <w:rFonts w:ascii="Times New Roman" w:hAnsi="Times New Roman" w:eastAsia="Times New Roman"/>
          <w:b/>
          <w:sz w:val="24"/>
        </w:rPr>
        <w:t>4.4 Structural Power Asymmetry: The Algorithmic Oracle vs. Institutional Silence</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rPr>
          <w:rFonts w:ascii="Times New Roman" w:hAnsi="Times New Roman" w:eastAsia="Times New Roman"/>
          <w:sz w:val="24"/>
        </w:rPr>
        <w:t>| Rank | User Account | In-Degree ($C_{</w:t>
        <w:tab/>
        <w:t>ext{in}}$) | Out-Degree ($C_{</w:t>
        <w:tab/>
        <w: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rPr>
          <w:rFonts w:ascii="Times New Roman" w:hAnsi="Times New Roman" w:eastAsia="Times New Roman"/>
          <w:sz w:val="24"/>
        </w:rPr>
        <w:t>| 1 | @grok | 0 | 42 | 0.000000 | Algorithmic Oracle (Primary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rPr>
          <w:rFonts w:ascii="Times New Roman" w:hAnsi="Times New Roman" w:eastAsia="Times New Roman"/>
          <w:sz w:val="24"/>
        </w:rPr>
        <w:t>While the executive head of state (@prabowo) accumulated the highest In-Degree (15) as the designated target of public accountability, his Out-Degree remained absolute zero ($C_{</w:t>
        <w:tab/>
        <w:t>ext{out}} = 0$). Government figures acted as passive receptacles of grievance, offering zero digital engagement.</w:t>
      </w:r>
    </w:p>
    <w:p>
      <w:pPr>
        <w:spacing w:line="480" w:lineRule="auto" w:after="0" w:before="0"/>
        <w:jc w:val="both"/>
      </w:pPr>
      <w:r>
        <w:rPr>
          <w:rFonts w:ascii="Times New Roman" w:hAnsi="Times New Roman" w:eastAsia="Times New Roman"/>
          <w:sz w:val="24"/>
        </w:rPr>
        <w:t>In stark contrast, xAI's conversational agent (@grok) commanded the highest Out-Degree in the entire network ($C_{</w:t>
        <w:tab/>
        <w:t>ext{out}} = 42$). When netizens sought verification regarding meal pricing formulas or poisoning statistics, they tagged @grok to synthesize facts. The artificial intelligence agent thus stepped in as an Algorithmic Oracle, assuming the communicative role abandoned by state public relations.</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rPr>
          <w:rFonts w:ascii="Times New Roman" w:hAnsi="Times New Roman" w:eastAsia="Times New Roman"/>
          <w:sz w:val="24"/>
        </w:rPr>
        <w:t>Evaluating IndoBERT (checkpoint-792) on the independent test set ($n = 1,053$) yielded the following per-class metrics:</w:t>
      </w:r>
    </w:p>
    <w:p>
      <w:pPr>
        <w:spacing w:line="480" w:lineRule="auto" w:after="0" w:before="0"/>
        <w:jc w:val="both"/>
      </w:pPr>
      <w:r>
        <w:rPr>
          <w:rFonts w:ascii="Times New Roman" w:hAnsi="Times New Roman" w:eastAsia="Times New Roman"/>
          <w:sz w:val="24"/>
        </w:rPr>
        <w:t>| Emotion Class | Precision | Recall | F1-Score | Support ($n$)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0.5709 | 0.9692 | 0.7178 | 617 |</w:t>
      </w:r>
    </w:p>
    <w:p>
      <w:pPr>
        <w:spacing w:line="480" w:lineRule="auto" w:after="0" w:before="0"/>
        <w:jc w:val="both"/>
      </w:pPr>
      <w:r>
        <w:rPr>
          <w:rFonts w:ascii="Times New Roman" w:hAnsi="Times New Roman" w:eastAsia="Times New Roman"/>
          <w:sz w:val="24"/>
        </w:rPr>
        <w:t>| Trust | 0.6842 | 0.0637 | 0.1166 | 204 |</w:t>
      </w:r>
    </w:p>
    <w:p>
      <w:pPr>
        <w:spacing w:line="480" w:lineRule="auto" w:after="0" w:before="0"/>
        <w:jc w:val="both"/>
      </w:pPr>
      <w:r>
        <w:rPr>
          <w:rFonts w:ascii="Times New Roman" w:hAnsi="Times New Roman" w:eastAsia="Times New Roman"/>
          <w:sz w:val="24"/>
        </w:rPr>
        <w:t>| Neutral | 0.3571 | 0.0385 | 0.0694 | 130 |</w:t>
      </w:r>
    </w:p>
    <w:p>
      <w:pPr>
        <w:spacing w:line="480" w:lineRule="auto" w:after="0" w:before="0"/>
        <w:jc w:val="both"/>
      </w:pPr>
      <w:r>
        <w:rPr>
          <w:rFonts w:ascii="Times New Roman" w:hAnsi="Times New Roman" w:eastAsia="Times New Roman"/>
          <w:sz w:val="24"/>
        </w:rPr>
        <w:t>| Anticipation | 0.0000 | 0.0000 | 0.0000 | 90 |</w:t>
      </w:r>
    </w:p>
    <w:p>
      <w:pPr>
        <w:spacing w:line="480" w:lineRule="auto" w:after="0" w:before="0"/>
        <w:jc w:val="both"/>
      </w:pPr>
      <w:r>
        <w:rPr>
          <w:rFonts w:ascii="Times New Roman" w:hAnsi="Times New Roman" w:eastAsia="Times New Roman"/>
          <w:sz w:val="24"/>
        </w:rPr>
        <w:t>| Anger | 0.0000 | 0.0000 | 0.0000 | 9 |</w:t>
      </w:r>
    </w:p>
    <w:p>
      <w:pPr>
        <w:spacing w:line="480" w:lineRule="auto" w:after="0" w:before="0"/>
        <w:jc w:val="both"/>
      </w:pPr>
      <w:r>
        <w:rPr>
          <w:rFonts w:ascii="Times New Roman" w:hAnsi="Times New Roman" w:eastAsia="Times New Roman"/>
          <w:sz w:val="24"/>
        </w:rPr>
        <w:t>| Sadness | 0.0000 | 0.0000 | 0.0000 | 3 |</w:t>
      </w:r>
    </w:p>
    <w:p>
      <w:pPr>
        <w:spacing w:line="480" w:lineRule="auto" w:after="0" w:before="0"/>
        <w:jc w:val="both"/>
      </w:pPr>
      <w:r>
        <w:rPr>
          <w:rFonts w:ascii="Times New Roman" w:hAnsi="Times New Roman" w:eastAsia="Times New Roman"/>
          <w:sz w:val="24"/>
        </w:rPr>
        <w:t>| Accuracy | — | — | 57.45% | 1,053 |</w:t>
      </w:r>
    </w:p>
    <w:p>
      <w:pPr>
        <w:spacing w:line="480" w:lineRule="auto" w:after="0" w:before="0"/>
        <w:jc w:val="both"/>
      </w:pPr>
      <w:r>
        <w:rPr>
          <w:rFonts w:ascii="Times New Roman" w:hAnsi="Times New Roman" w:eastAsia="Times New Roman"/>
          <w:sz w:val="24"/>
        </w:rPr>
        <w:t>| Macro Average | 0.1791 | 0.1190 | 0.1444 | 1,053 |</w:t>
      </w:r>
    </w:p>
    <w:p>
      <w:pPr>
        <w:spacing w:line="480" w:lineRule="auto" w:after="0" w:before="0"/>
        <w:jc w:val="both"/>
      </w:pPr>
      <w:r>
        <w:rPr>
          <w:rFonts w:ascii="Times New Roman" w:hAnsi="Times New Roman" w:eastAsia="Times New Roman"/>
          <w:sz w:val="24"/>
        </w:rPr>
        <w:t>| Weighted Average | 0.4738 | 0.5745 | 0.4563 | 1,053 |</w:t>
      </w:r>
    </w:p>
    <w:p>
      <w:pPr>
        <w:spacing w:line="480" w:lineRule="auto" w:after="0" w:before="0"/>
        <w:jc w:val="both"/>
      </w:pPr>
      <w:r>
        <w:rPr>
          <w:rFonts w:ascii="Times New Roman" w:hAnsi="Times New Roman" w:eastAsia="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These findings provide empirical evidence consistent with the Phygital Gap interpretation: negative affect was associated with operational concerns expressed in the observed discourse, including delivery timing, budget allocation, and dietary portion sizes.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provide evidence relevant to the central theoretical proposition of this study: the crisis of the MBG program can be interpreted through the Phygital Gap (Kotler et al., 2023) in the context of public policy communication. In corporate marketing, a phygital gap concerns discrepancies between digital representations and physical or experiential delivery; in public governance, similar discrepancies may affect perceptions of policy credibility and institutional legitimacy. The government communicated an appealing digital vision of national nutritional sovereignty through press releases, social media infographics, and broadcast announcements. However, when the physical deliverable—the meal tray—was perceived by users as unhygienic or insufficient in portion size, the discrepancy between communicated expectations and reported physical experiences became salient in public discourse.</w:t>
      </w:r>
    </w:p>
    <w:p>
      <w:pPr>
        <w:spacing w:line="480" w:lineRule="auto" w:after="0" w:before="0"/>
        <w:jc w:val="both"/>
      </w:pPr>
      <w:r>
        <w:rPr>
          <w:rFonts w:ascii="Times New Roman" w:hAnsi="Times New Roman" w:eastAsia="Times New Roman"/>
          <w:sz w:val="24"/>
        </w:rPr>
        <w:t>The dominance of Disgust (56.24%) over Anger (1.05%) is analytically significant within the observed corpus. In political psychology, anger is generally associated with approach-oriented responses that can motivate political activism, protest, and demands for institutional reform, whereas disgust is associated with avoidance-oriented responses and may be triggered by perceptions of contamination or moral violation. In the context of the present study, the predominance of Disgust may indicate that negative public responses were more strongly associated with perceived problems at the physical and operational touchpoints of the MBG program than with mobilization-oriented anger. This pattern should be interpreted as a characteristic of the observed corpus rather than as evidence of a general psychological response to the policy.</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suggests that the observed digital discourse was structurally constrained as a deliberative space. Citizens broadcasted their frustration into localized micro-clusters, while reciprocal interaction with government actors was limited in the observed network. The giant component captured only $9.17\%$ of nodes, indicating that the network contained substantial fragmentation and limited connectivity across discourse clusters.</w:t>
      </w:r>
    </w:p>
    <w:p>
      <w:pPr>
        <w:pStyle w:val="Heading2"/>
        <w:spacing w:before="0" w:after="0" w:line="480" w:lineRule="auto"/>
        <w:jc w:val="left"/>
      </w:pPr>
      <w:r>
        <w:rPr>
          <w:rFonts w:ascii="Times New Roman" w:hAnsi="Times New Roman" w:eastAsia="Times New Roman"/>
          <w:b/>
          <w:sz w:val="24"/>
        </w:rPr>
        <w:t>5.3 The Emergence of the 'Algorithmic Oracle'</w:t>
      </w:r>
    </w:p>
    <w:p>
      <w:pPr>
        <w:spacing w:line="480" w:lineRule="auto" w:after="0" w:before="0"/>
        <w:jc w:val="both"/>
      </w:pPr>
      <w:r>
        <w:rPr>
          <w:rFonts w:ascii="Times New Roman" w:hAnsi="Times New Roman" w:eastAsia="Times New Roman"/>
          <w:sz w:val="24"/>
        </w:rP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w:t>
        <w:tab/>
        <w:t>ext{out}} = 0$).</w:t>
      </w:r>
    </w:p>
    <w:p>
      <w:pPr>
        <w:spacing w:line="480" w:lineRule="auto" w:after="0" w:before="0"/>
        <w:jc w:val="both"/>
      </w:pPr>
      <w:r>
        <w:rPr>
          <w:rFonts w:ascii="Times New Roman" w:hAnsi="Times New Roman" w:eastAsia="Times New Roman"/>
          <w:sz w:val="24"/>
        </w:rPr>
        <w:t>When state actors create a Power Vacuum by failing to respond to legitimate operational queries, digital citizens do not abandon inquiry; instead, they pivot to synthetic authority. Netizens tagged @grok to verify contract values, calculate vendor margins, and cross-reference nutritional standards. The AI agent operated as an impartial Algorithmic Oracle, synthesizing facts in real time. This signals a historic paradigm shift in digital public relations: future state communication strategies will not merely interact with human journalists or influencers, but must contend with autonomous algorithms operating as primary epistemic gatekeepers in the network.</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rPr>
          <w:rFonts w:ascii="Times New Roman" w:hAnsi="Times New Roman" w:eastAsia="Times New Roman"/>
          <w:sz w:val="24"/>
        </w:rPr>
        <w:t>3. Conceptualization of the Algorithmic Oracle: We document an observed pattern of an AI agent functioning as a central communicative authority in an Indonesian public policy crisis network, redefining theories of networked gatekeeping.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are unlikely to resolve an operational crisis through digital communication alone. PR resources should therefore be complemented by attention to ground-level operational logistics before launching promotional digital campaigns.</w:t>
      </w:r>
    </w:p>
    <w:p>
      <w:pPr>
        <w:spacing w:line="480" w:lineRule="auto" w:after="0" w:before="0"/>
        <w:jc w:val="both"/>
      </w:pPr>
      <w:r>
        <w:rPr>
          <w:rFonts w:ascii="Times New Roman" w:hAnsi="Times New Roman" w:eastAsia="Times New Roman"/>
          <w:sz w:val="24"/>
        </w:rPr>
        <w:t>2. Reducing the Power Vacuum: Institutional communicators may need to reconsider one-way broadcast practices in contexts characterized by limited reciprocal interaction. Establishing responsive, interactive social listening units capable of engaging with citizen inquiries could help increase network reciprocity and support institutional trust.</w:t>
      </w:r>
    </w:p>
    <w:p>
      <w:pPr>
        <w:spacing w:line="480" w:lineRule="auto" w:after="0" w:before="0"/>
        <w:jc w:val="both"/>
      </w:pPr>
      <w:r>
        <w:rPr>
          <w:rFonts w:ascii="Times New Roman" w:hAnsi="Times New Roman" w:eastAsia="Times New Roman"/>
          <w:sz w:val="24"/>
        </w:rPr>
        <w:t>3. Moving Beyond Binary Sentiment Tools: Government monitoring dashboards may benefit from complementing positive/negative lexicon approaches with contextual transformer models capable of identifying sarcasm and more granular affective categories, including disgust.</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rPr>
          <w:rFonts w:ascii="Times New Roman" w:hAnsi="Times New Roman" w:eastAsia="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rPr>
          <w:rFonts w:ascii="Times New Roman" w:hAnsi="Times New Roman" w:eastAsia="Times New Roman"/>
          <w:sz w:val="24"/>
        </w:rPr>
        <w:t>5. Temporal Horizon: The study captures the initial rollout phase (January–March 2026); long-term longitudinal shifts in network topology remain unobserved.</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