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spacing w:line="480" w:lineRule="auto" w:after="0" w:before="0"/>
        <w:jc w:val="both"/>
      </w:pPr>
      <w:r>
        <w:rPr>
          <w:rFonts w:ascii="Times New Roman" w:hAnsi="Times New Roman" w:eastAsia="Times New Roman"/>
          <w:sz w:val="24"/>
        </w:rPr>
        <w:t>Authors: [Names and Affiliations Anonymized for Double-Blind Peer Review]</w:t>
      </w:r>
    </w:p>
    <w:p>
      <w:pPr>
        <w:spacing w:line="480" w:lineRule="auto" w:after="0" w:before="0"/>
        <w:jc w:val="both"/>
      </w:pPr>
      <w:r>
        <w:rPr>
          <w:rFonts w:ascii="Times New Roman" w:hAnsi="Times New Roman" w:eastAsia="Times New Roman"/>
          <w:sz w:val="24"/>
        </w:rPr>
        <w:t>Target Publication: Social Network Analysis and Mining (Springer Nature Switzerland, Scopus Q1, SJR 0.76)</w:t>
      </w:r>
    </w:p>
    <w:p>
      <w:pPr>
        <w:spacing w:line="480" w:lineRule="auto" w:after="0" w:before="0"/>
        <w:jc w:val="both"/>
      </w:pPr>
      <w:r>
        <w:rPr>
          <w:rFonts w:ascii="Times New Roman" w:hAnsi="Times New Roman" w:eastAsia="Times New Roman"/>
          <w:sz w:val="24"/>
        </w:rPr>
        <w:t>Scopus ASJC Classification: 3315 (Communication), 1702 (Artificial Intelligence), 3312 (Sociology and Political Science)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spacing w:line="480" w:lineRule="auto" w:after="0" w:before="0"/>
        <w:jc w:val="both"/>
      </w:pPr>
      <w:r>
        <w:rPr>
          <w:rFonts w:ascii="Times New Roman" w:hAnsi="Times New Roman" w:eastAsia="Times New Roman"/>
          <w:sz w:val="24"/>
        </w:rPr>
        <w:t>Scopus Subject Area: Social Sciences (Communication) · Computer Science (Artificial Intelligence)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rPr>
          <w:rFonts w:ascii="Times New Roman" w:hAnsi="Times New Roman" w:eastAsia="Times New Roman"/>
          <w:sz w:val="24"/>
        </w:rPr>
        <w:t>| Rank | User Account | In-Degree ($C_{\text{in}}$) | Out-Degree ($C_{</w:t>
        <w:tab/>
        <w: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($C_{\text{out}} = 0$).</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