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6"/>
        </w:rPr>
        <w:t>DATA AVAILABILITY STATEMENT (DAS)</w:t>
        <w:br/>
        <w:t>JOURNAL OF COMPUTER-MEDIATED COMMUNICATION</w:t>
      </w:r>
    </w:p>
    <w:p>
      <w:pPr>
        <w:spacing w:before="240"/>
      </w:pPr>
      <w:r>
        <w:rPr>
          <w:rFonts w:ascii="Times New Roman" w:hAnsi="Times New Roman"/>
          <w:sz w:val="22"/>
        </w:rPr>
        <w:t>In strict compliance with the Open Science policies of the International Communication Association (ICA) and Oxford University Press, all research materials supporting the empirical findings of this article are openly and permanently preserved under FAIR data principles (Findable, Accessible, Interoperable, Reusable).</w:t>
        <w:br/>
        <w:br/>
        <w:t>1. Permanent Open Science Archive &amp; Persistent Identifier (DOI):</w:t>
        <w:br/>
        <w:t xml:space="preserve">   - Concept DOI: 10.5281/zenodo.11029482</w:t>
        <w:br/>
        <w:t xml:space="preserve">   - Persistent URL: https://doi.org/10.5281/zenodo.11029482</w:t>
        <w:br/>
        <w:t xml:space="preserve">   - Archival Repository: Zenodo (CERN Data Centre, Geneva, Switzerland)</w:t>
        <w:br/>
        <w:t xml:space="preserve">   - Complete Replication Bundle: ZENODO_REPLICATION_PACKAGE_DOI_MBG_2026.zip</w:t>
        <w:br/>
        <w:t xml:space="preserve">   - Active Development Mirror: https://github.com/indri007/ThisIsEconomy</w:t>
        <w:br/>
        <w:t xml:space="preserve">   - License: MIT License (Code) &amp; Creative Commons Attribution 4.0 International (CC-BY 4.0, Datasets &amp; Reports)</w:t>
        <w:br/>
        <w:br/>
        <w:t>2. Reproducible Benchmark Datasets (Permanently Preserved):</w:t>
        <w:br/>
        <w:t xml:space="preserve">   - Multi-Annotator Adjudicated Gold Standard (n = 100): data/multi_annotator_batch_100_GOLD.csv</w:t>
        <w:br/>
        <w:t xml:space="preserve">   - Canonical Social Network Edge List (|V| = 971, |E| = 666): data/canonical_macro_topology_metrics.csv</w:t>
        <w:br/>
        <w:t xml:space="preserve">   - AoIR 3.0 Pseudonymized Top 25 Centrality Matrix: data/canonical_top25_actors_aoir_pseudonymized.csv</w:t>
        <w:br/>
        <w:t xml:space="preserve">   - Dynamic Temporal Network Phases (4 Crisis Phases): data/dynamic_temporal_network_phases.csv</w:t>
        <w:br/>
        <w:t xml:space="preserve">   - Spatial &amp; Epidemiological Provincial Benchmark: data/spatial_epidemiological_provincial_benchmark.csv</w:t>
        <w:br/>
        <w:t xml:space="preserve">   - Aspect Category Sentiment Analysis (ACSA) Benchmark: data/absa_aspect_category_token_benchmark.csv</w:t>
        <w:br/>
        <w:t xml:space="preserve">   - 5-Pillar Astroturfing Circadian Sleep-Wake Distribution: data/astroturfing_hourly_circadian_distribution.csv</w:t>
        <w:br/>
        <w:t xml:space="preserve">   - Cross-Platform Affordance Ecological Matrix: data/cross_platform_affordance_matrix.csv</w:t>
        <w:br/>
        <w:br/>
        <w:t>3. Automated End-to-End Replication Pipelines:</w:t>
        <w:br/>
        <w:t xml:space="preserve">   - Multi-Annotator Fleiss &amp; Krippendorff Validation: scripts/run_multi_annotator_agreement_validation.py</w:t>
        <w:br/>
        <w:t xml:space="preserve">   - Minority Class Imbalance Audit &amp; Hierarchical Taxonomy: scripts/run_minority_class_imbalance_audit.py</w:t>
        <w:br/>
        <w:t xml:space="preserve">   - Astroturfing &amp; Bot Forensic Audit: scripts/run_astroturfing_and_bot_audit.py</w:t>
        <w:br/>
        <w:t xml:space="preserve">   - Cross-Platform Ecological Validity Audit: scripts/run_cross_platform_validity_audit.py</w:t>
        <w:br/>
        <w:t xml:space="preserve">   - Dynamic Temporal Network Modeling: scripts/run_dynamic_temporal_network_audit.py</w:t>
        <w:br/>
        <w:t xml:space="preserve">   - Spatial &amp; Epidemiological Ground-Truthing: scripts/run_spatial_epidemiological_audit.py</w:t>
        <w:br/>
        <w:t xml:space="preserve">   - Aspect Category Sentiment Analysis (ACSA) Audit: scripts/run_absa_acsa_span_audit.py</w:t>
        <w:br/>
        <w:br/>
        <w:t>4. Contact for Replication Queries:</w:t>
        <w:br/>
        <w:t xml:space="preserve">   Corresponding Author: Indri Anjar Kartika Sari (indrianjar@gmail.com)</w:t>
        <w:br/>
        <w:t xml:space="preserve">   Department of Communication Science, Universitas Pembangunan Nasional 'Veteran' Jawa Timur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