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240" w:line="312" w:lineRule="auto"/>
        <w:jc w:val="center"/>
      </w:pPr>
      <w:r>
        <w:rPr>
          <w:rFonts w:ascii="Times New Roman" w:hAnsi="Times New Roman"/>
          <w:b/>
          <w:i w:val="0"/>
          <w:color w:val="0F172A"/>
          <w:sz w:val="30"/>
        </w:rPr>
        <w:t>The Phygital Policy Rift: Platformed Citizen Dissent, Networked Affect, and the Rise of the Algorithmic Oracle in Indonesia's Free Nutritious Meal Discourse</w:t>
      </w:r>
    </w:p>
    <w:p>
      <w:pPr>
        <w:spacing w:after="60" w:line="384" w:lineRule="auto"/>
        <w:jc w:val="center"/>
      </w:pPr>
      <w:r/>
      <w:r>
        <w:rPr>
          <w:rFonts w:ascii="Times New Roman" w:hAnsi="Times New Roman"/>
          <w:sz w:val="24"/>
        </w:rPr>
        <w:t>Indri Anjar Kartika Sari¹, Catur Suratnoaji¹, and Agus Widiyarta¹</w:t>
      </w:r>
      <w:r>
        <w:rPr>
          <w:rFonts w:ascii="Times New Roman" w:hAnsi="Times New Roman"/>
          <w:i/>
          <w:sz w:val="24"/>
        </w:rPr>
      </w:r>
    </w:p>
    <w:p>
      <w:pPr>
        <w:spacing w:after="60" w:line="384" w:lineRule="auto"/>
        <w:jc w:val="center"/>
      </w:pPr>
      <w:r>
        <w:rPr>
          <w:rFonts w:ascii="Times New Roman" w:hAnsi="Times New Roman"/>
          <w:b w:val="0"/>
          <w:i/>
          <w:color w:val="334155"/>
          <w:sz w:val="20"/>
        </w:rPr>
        <w:t xml:space="preserve">¹ </w:t>
      </w:r>
      <w:r>
        <w:rPr>
          <w:rFonts w:ascii="Times New Roman" w:hAnsi="Times New Roman"/>
          <w:b w:val="0"/>
          <w:i/>
          <w:color w:val="334155"/>
          <w:sz w:val="20"/>
        </w:rPr>
        <w:t>Department of Communication Science, Faculty of Social and Political Sciences, Universitas Pembangunan Nasional "Veteran" Jawa Timur, Surabaya, 60294, Indonesia</w:t>
      </w:r>
    </w:p>
    <w:p>
      <w:pPr>
        <w:spacing w:after="280" w:line="384" w:lineRule="auto"/>
        <w:jc w:val="center"/>
      </w:pPr>
      <w:r/>
      <w:r>
        <w:rPr>
          <w:rFonts w:ascii="Times New Roman" w:hAnsi="Times New Roman"/>
          <w:sz w:val="24"/>
        </w:rPr>
        <w:t>\Corresponding Author: indrianjar@gmail.com | ORCID: 0009-0002-8419-7231</w:t>
      </w:r>
    </w:p>
    <w:p>
      <w:pPr>
        <w:spacing w:before="60" w:after="100" w:line="384" w:lineRule="auto"/>
        <w:ind w:left="576" w:right="576"/>
        <w:jc w:val="left"/>
      </w:pPr>
      <w:r>
        <w:rPr>
          <w:rFonts w:ascii="Times New Roman" w:hAnsi="Times New Roman"/>
          <w:b/>
          <w:i/>
          <w:color w:val="334155"/>
          <w:sz w:val="20"/>
        </w:rPr>
        <w:t>Target Venue</w:t>
      </w:r>
      <w:r>
        <w:rPr>
          <w:rFonts w:ascii="Times New Roman" w:hAnsi="Times New Roman"/>
          <w:b w:val="0"/>
          <w:i/>
          <w:color w:val="334155"/>
          <w:sz w:val="20"/>
        </w:rPr>
        <w:t xml:space="preserve">: </w:t>
      </w:r>
      <w:r>
        <w:rPr>
          <w:rFonts w:ascii="Times New Roman" w:hAnsi="Times New Roman"/>
          <w:b w:val="0"/>
          <w:i/>
          <w:color w:val="334155"/>
          <w:sz w:val="20"/>
        </w:rPr>
        <w:t>Social Network Analysis and Mining</w:t>
      </w:r>
      <w:r>
        <w:rPr>
          <w:rFonts w:ascii="Times New Roman" w:hAnsi="Times New Roman"/>
          <w:b w:val="0"/>
          <w:i/>
          <w:color w:val="334155"/>
          <w:sz w:val="20"/>
        </w:rPr>
        <w:t xml:space="preserve"> (Springer Nature, Q1) / </w:t>
      </w:r>
      <w:r>
        <w:rPr>
          <w:rFonts w:ascii="Times New Roman" w:hAnsi="Times New Roman"/>
          <w:b w:val="0"/>
          <w:i/>
          <w:color w:val="334155"/>
          <w:sz w:val="20"/>
        </w:rPr>
        <w:t>Information, Communication &amp; Society</w:t>
      </w:r>
      <w:r>
        <w:rPr>
          <w:rFonts w:ascii="Times New Roman" w:hAnsi="Times New Roman"/>
          <w:b w:val="0"/>
          <w:i/>
          <w:color w:val="334155"/>
          <w:sz w:val="20"/>
        </w:rPr>
        <w:t xml:space="preserve"> (Taylor &amp; Francis, Q1) / </w:t>
      </w:r>
      <w:r>
        <w:rPr>
          <w:rFonts w:ascii="Times New Roman" w:hAnsi="Times New Roman"/>
          <w:b w:val="0"/>
          <w:i/>
          <w:color w:val="334155"/>
          <w:sz w:val="20"/>
        </w:rPr>
        <w:t>Journal of Computer-Mediated Communication</w:t>
      </w:r>
      <w:r>
        <w:rPr>
          <w:rFonts w:ascii="Times New Roman" w:hAnsi="Times New Roman"/>
          <w:b w:val="0"/>
          <w:i/>
          <w:color w:val="334155"/>
          <w:sz w:val="20"/>
        </w:rPr>
        <w:t xml:space="preserve"> (Oxford / ICA, Q1)</w:t>
      </w:r>
    </w:p>
    <w:p>
      <w:pPr>
        <w:spacing w:before="60" w:after="100" w:line="384" w:lineRule="auto"/>
        <w:ind w:left="576" w:right="576"/>
        <w:jc w:val="left"/>
      </w:pPr>
      <w:r>
        <w:rPr>
          <w:rFonts w:ascii="Times New Roman" w:hAnsi="Times New Roman"/>
          <w:b/>
          <w:i/>
          <w:color w:val="334155"/>
          <w:sz w:val="20"/>
        </w:rPr>
        <w:t>Permanent Open Science Archive (Zenodo DOI)</w:t>
      </w:r>
      <w:r>
        <w:rPr>
          <w:rFonts w:ascii="Times New Roman" w:hAnsi="Times New Roman"/>
          <w:b w:val="0"/>
          <w:i/>
          <w:color w:val="334155"/>
          <w:sz w:val="20"/>
        </w:rPr>
        <w:t>: [10.5281/zenodo.11029482](https://doi.org/10.5281/zenodo.11029482)</w:t>
      </w:r>
    </w:p>
    <w:p>
      <w:pPr>
        <w:spacing w:before="60" w:after="100" w:line="384" w:lineRule="auto"/>
        <w:ind w:left="576" w:right="576"/>
        <w:jc w:val="left"/>
      </w:pPr>
      <w:r>
        <w:rPr>
          <w:rFonts w:ascii="Times New Roman" w:hAnsi="Times New Roman"/>
          <w:b/>
          <w:i/>
          <w:color w:val="334155"/>
          <w:sz w:val="20"/>
        </w:rPr>
        <w:t>Development Mirror</w:t>
      </w:r>
      <w:r>
        <w:rPr>
          <w:rFonts w:ascii="Times New Roman" w:hAnsi="Times New Roman"/>
          <w:b w:val="0"/>
          <w:i/>
          <w:color w:val="334155"/>
          <w:sz w:val="20"/>
        </w:rPr>
        <w:t xml:space="preserve">: </w:t>
      </w:r>
      <w:r>
        <w:rPr>
          <w:rFonts w:ascii="Courier New" w:hAnsi="Courier New"/>
          <w:color w:val="334155"/>
          <w:sz w:val="19"/>
        </w:rPr>
        <w:t>https://github.com/indri007/ThisIsEconomy</w:t>
      </w:r>
    </w:p>
    <w:p>
      <w:pPr>
        <w:spacing w:before="60" w:after="100" w:line="384" w:lineRule="auto"/>
        <w:ind w:left="576" w:right="576"/>
        <w:jc w:val="left"/>
      </w:pPr>
      <w:r>
        <w:rPr>
          <w:rFonts w:ascii="Times New Roman" w:hAnsi="Times New Roman"/>
          <w:b/>
          <w:i/>
          <w:color w:val="334155"/>
          <w:sz w:val="20"/>
        </w:rPr>
        <w:t>Keywords</w:t>
      </w:r>
      <w:r>
        <w:rPr>
          <w:rFonts w:ascii="Times New Roman" w:hAnsi="Times New Roman"/>
          <w:b w:val="0"/>
          <w:i/>
          <w:color w:val="334155"/>
          <w:sz w:val="20"/>
        </w:rPr>
        <w:t>: Phygital Gap, Social Network Analysis, IndoBERT, Networked Affect, Digital Sarcasm, Algorithmic Oracle, Public Policy Crisis, Coombs SCCT.</w:t>
      </w:r>
    </w:p>
    <w:p>
      <w:pPr>
        <w:spacing w:before="320" w:after="100" w:line="288" w:lineRule="auto"/>
        <w:jc w:val="left"/>
      </w:pPr>
      <w:r>
        <w:rPr>
          <w:rFonts w:ascii="Times New Roman" w:hAnsi="Times New Roman"/>
          <w:b/>
          <w:i w:val="0"/>
          <w:color w:val="0F172A"/>
          <w:sz w:val="24"/>
        </w:rPr>
        <w:t>ABSTRACT</w:t>
      </w:r>
    </w:p>
    <w:p>
      <w:pPr>
        <w:spacing w:before="0" w:after="100" w:line="384" w:lineRule="auto"/>
        <w:ind w:firstLine="360"/>
        <w:jc w:val="both"/>
      </w:pPr>
      <w:r/>
      <w:r>
        <w:rPr>
          <w:rFonts w:ascii="Times New Roman" w:hAnsi="Times New Roman"/>
          <w:sz w:val="24"/>
        </w:rPr>
        <w:t>State-directed social welfare initiatives in the algorithmic public sphere face acute legitimacy crises when grandiose digital policy branding decouples from flawed physical service execution. This study investigates citizen pushback against Indonesia’s flagship Free Nutritious Meal (Makan Bergizi Gratis / MBG) program—a nationwide initiative backed by an indicative budget of IDR 268 trillion—through an explanatory-sequential, tri-layer computational communication framework. We synthesize Philip Kotler’s Marketing 6.0 concept of the Phygital Gap with Coombs’ Situational Crisis Communication Theory (SCCT) and pretense irony theory to examine the structural, affective, and pragmatic anatomy of civic dissent on Platform X. Our computational architecture combines: (1) fine-tuned transformer sequence classification using indobenchmark/indobert-base-p2 across 3.0 training epochs, evaluated under a strict zero-leakage group-aware holdout protocol ($n = 1,058$); (2) directed Social Network Analysis (SNA) measuring macro-topological fragmentation ($|V| = 971, |E| = 666$); and (3) 3-pillar Aspect-Based Sentiment Analysis (ABSA) decomposing discourse into Budget &amp; Procurement, Logistics &amp; Distribution, and Nutritional Quality.</w:t>
      </w:r>
    </w:p>
    <w:p>
      <w:pPr>
        <w:spacing w:before="0" w:after="100" w:line="384" w:lineRule="auto"/>
        <w:ind w:firstLine="360"/>
        <w:jc w:val="both"/>
      </w:pPr>
      <w:r/>
      <w:r>
        <w:rPr>
          <w:rFonts w:ascii="Times New Roman" w:hAnsi="Times New Roman"/>
          <w:sz w:val="24"/>
        </w:rPr>
        <w:t>Empirical findings reveal three structural insights regarding mediated governance. First, network topology exhibits extreme structural atomization (Louvain modularity $Q = 0.9837$, density $\rho = 0.0007$, reciprocity $1.20\%$, and 341 weakly connected components), disproving the assumption of organized bipartisan political warfare and demonstrating instead an archipelago of isolated grievance monads. Second, citizen affect is overwhelmingly dominated by moral disgust ($56.24\%$ in the core corpus; $73.88\%$ across operational policy facets), operationalized through pragmatic text-emoji incongruence ($9.28\%$ sarcasm prevalence) as a defensive weapon of the weak against state surveillance. Third, in the face of absolute conversational silence from institutional state accounts (out-degree = 0), citizens bypassed human bureaucracy to petition an autonomous generative AI agent (@grok, out-degree = 42) as a high-centrality 'Algorithmic Oracle' ($C_D = 0.0433, C_B = 0.0059$) to arbitrate empirical truth regarding food safety violations and budget reductions. Model evaluation demonstrates that IndoBERT achieves 75.99% accuracy and a Macro-F1 of 0.4535 across 6 active classes on silver-standard reference labels, surging to 75.22% Macro-F1 under a 3-tier functional valence taxonomy. We theorize this crisis as a diagnostic manifestation of the Phygital Gap, demonstrating that digital public relations cannot compensate for tangible physical touchpoint breakdowns in contemporary governance.</w:t>
      </w:r>
    </w:p>
    <w:p>
      <w:pPr>
        <w:spacing w:before="320" w:after="100" w:line="288" w:lineRule="auto"/>
        <w:jc w:val="left"/>
      </w:pPr>
      <w:r>
        <w:rPr>
          <w:rFonts w:ascii="Times New Roman" w:hAnsi="Times New Roman"/>
          <w:b/>
          <w:i w:val="0"/>
          <w:color w:val="0F172A"/>
          <w:sz w:val="24"/>
        </w:rPr>
        <w:t>1. INTRODUCTION: THE MEDIATED SPECTACLE OF MEGA-POLICY EXECUTION</w:t>
      </w:r>
    </w:p>
    <w:p>
      <w:pPr>
        <w:spacing w:before="0" w:after="100" w:line="384" w:lineRule="auto"/>
        <w:ind w:firstLine="360"/>
        <w:jc w:val="both"/>
      </w:pPr>
      <w:r>
        <w:rPr>
          <w:rFonts w:ascii="Times New Roman" w:hAnsi="Times New Roman"/>
          <w:b w:val="0"/>
          <w:i w:val="0"/>
          <w:sz w:val="21"/>
        </w:rPr>
        <w:t xml:space="preserve">In late 2024 and throughout 2026, the Government of Indonesia embarked upon one of the most resource-intensive welfare initiatives in Southeast Asian history: the </w:t>
      </w:r>
      <w:r>
        <w:rPr>
          <w:rFonts w:ascii="Times New Roman" w:hAnsi="Times New Roman"/>
          <w:b w:val="0"/>
          <w:i/>
          <w:sz w:val="21"/>
        </w:rPr>
        <w:t>Makan Bergizi Gratis</w:t>
      </w:r>
      <w:r>
        <w:rPr>
          <w:rFonts w:ascii="Times New Roman" w:hAnsi="Times New Roman"/>
          <w:b w:val="0"/>
          <w:i w:val="0"/>
          <w:sz w:val="21"/>
        </w:rPr>
        <w:t xml:space="preserve"> (MBG) or Free Nutritious Meal program. Positioned as the foundational pillar of the national development agenda toward </w:t>
      </w:r>
      <w:r>
        <w:rPr>
          <w:rFonts w:ascii="Times New Roman" w:hAnsi="Times New Roman"/>
          <w:b w:val="0"/>
          <w:i/>
          <w:sz w:val="21"/>
        </w:rPr>
        <w:t>Indonesia Emas 2045</w:t>
      </w:r>
      <w:r>
        <w:rPr>
          <w:rFonts w:ascii="Times New Roman" w:hAnsi="Times New Roman"/>
          <w:b w:val="0"/>
          <w:i w:val="0"/>
          <w:sz w:val="21"/>
        </w:rPr>
        <w:t>, the program pledged to eradicate childhood stunting, enhance cognitive performance among elementary pupils, and stimulate local agrarian supply chains. To finance this ambitious vision, an initial state budget allocation of IDR 71 trillion was legislated in the 2025 fiscal year, nested within an indicative multi-year framework recalibrated to IDR 268 trillion for fiscal year 2026 (National Nutrition Agency, 2026).</w:t>
      </w:r>
    </w:p>
    <w:p>
      <w:pPr>
        <w:spacing w:before="0" w:after="100" w:line="384" w:lineRule="auto"/>
        <w:ind w:firstLine="360"/>
        <w:jc w:val="both"/>
      </w:pPr>
      <w:r>
        <w:rPr>
          <w:rFonts w:ascii="Times New Roman" w:hAnsi="Times New Roman"/>
          <w:b w:val="0"/>
          <w:i w:val="0"/>
          <w:sz w:val="21"/>
        </w:rPr>
        <w:t>However, in contemporary platform society (van Dijck et al., 2018), public policy execution is never evaluated in an informational vacuum. As Edelman (1964) established in his classic treatise on symbolic politics, government allocations, bureaucratic announcements, and administrative recalibrations are not merely technical ledger entries; they are highly charged symbolic spectacles that citizens interpret through cognitive heuristics, affective filters, and algorithmic interfaces. When state authorities announced an administrative reduction of IDR 67 trillion from the program's upper ceiling—explaining the revision as a prudent reallocation of unabsorbed contingency funds—digital publics on Platform X did not process this announcement through the clinical logic of fiscal administration. Instead, citizens seized upon the IDR 67 trillion subtraction as symbolic confirmation of fiscal opacity, technical incompetence, or covert corruption.</w:t>
      </w:r>
    </w:p>
    <w:p>
      <w:pPr>
        <w:spacing w:before="0" w:after="100" w:line="384" w:lineRule="auto"/>
        <w:ind w:firstLine="360"/>
        <w:jc w:val="both"/>
      </w:pPr>
      <w:r>
        <w:rPr>
          <w:rFonts w:ascii="Times New Roman" w:hAnsi="Times New Roman"/>
          <w:b w:val="0"/>
          <w:i w:val="0"/>
          <w:sz w:val="21"/>
        </w:rPr>
        <w:t>Compounding this fiscal skepticism was a cascade of tangible operational breakdowns during the rollout:</w:t>
      </w:r>
    </w:p>
    <w:p>
      <w:pPr>
        <w:pStyle w:val="ListNumber"/>
        <w:spacing w:after="60" w:line="384" w:lineRule="auto"/>
      </w:pPr>
      <w:r>
        <w:rPr>
          <w:rFonts w:ascii="Times New Roman" w:hAnsi="Times New Roman"/>
          <w:b/>
          <w:i w:val="0"/>
          <w:sz w:val="21"/>
        </w:rPr>
        <w:t>Supply Chain Suspensions</w:t>
      </w:r>
      <w:r>
        <w:rPr>
          <w:rFonts w:ascii="Times New Roman" w:hAnsi="Times New Roman"/>
          <w:b w:val="0"/>
          <w:i w:val="0"/>
          <w:sz w:val="21"/>
        </w:rPr>
        <w:t>: The formal shutdown or suspension of 4,581 out of approximately 27,952 Nutrition Fulfillment Service Units (</w:t>
      </w:r>
      <w:r>
        <w:rPr>
          <w:rFonts w:ascii="Times New Roman" w:hAnsi="Times New Roman"/>
          <w:b w:val="0"/>
          <w:i/>
          <w:sz w:val="21"/>
        </w:rPr>
        <w:t>Satuan Pelayanan Pemenuhan Gizi</w:t>
      </w:r>
      <w:r>
        <w:rPr>
          <w:rFonts w:ascii="Times New Roman" w:hAnsi="Times New Roman"/>
          <w:b w:val="0"/>
          <w:i w:val="0"/>
          <w:sz w:val="21"/>
        </w:rPr>
        <w:t>, SPPG), with 1,152 units remaining under extended investigation due to severe sanitary violations.</w:t>
      </w:r>
    </w:p>
    <w:p>
      <w:pPr>
        <w:pStyle w:val="ListNumber"/>
        <w:spacing w:after="60" w:line="384" w:lineRule="auto"/>
      </w:pPr>
      <w:r>
        <w:rPr>
          <w:rFonts w:ascii="Times New Roman" w:hAnsi="Times New Roman"/>
          <w:b/>
          <w:i w:val="0"/>
          <w:sz w:val="21"/>
        </w:rPr>
        <w:t>Food Safety Crises</w:t>
      </w:r>
      <w:r>
        <w:rPr>
          <w:rFonts w:ascii="Times New Roman" w:hAnsi="Times New Roman"/>
          <w:b w:val="0"/>
          <w:i w:val="0"/>
          <w:sz w:val="21"/>
        </w:rPr>
        <w:t>: Viral outbreaks of mass foodborne illness (</w:t>
      </w:r>
      <w:r>
        <w:rPr>
          <w:rFonts w:ascii="Times New Roman" w:hAnsi="Times New Roman"/>
          <w:b w:val="0"/>
          <w:i/>
          <w:sz w:val="21"/>
        </w:rPr>
        <w:t>keracunan massal</w:t>
      </w:r>
      <w:r>
        <w:rPr>
          <w:rFonts w:ascii="Times New Roman" w:hAnsi="Times New Roman"/>
          <w:b w:val="0"/>
          <w:i w:val="0"/>
          <w:sz w:val="21"/>
        </w:rPr>
        <w:t>) affecting thousands of elementary school pupils across West Java, Central Java, and East Nusa Tenggara, leading to widespread hospitalizations.</w:t>
      </w:r>
    </w:p>
    <w:p>
      <w:pPr>
        <w:pStyle w:val="ListNumber"/>
        <w:spacing w:after="60" w:line="384" w:lineRule="auto"/>
      </w:pPr>
      <w:r>
        <w:rPr>
          <w:rFonts w:ascii="Times New Roman" w:hAnsi="Times New Roman"/>
          <w:b/>
          <w:i w:val="0"/>
          <w:sz w:val="21"/>
        </w:rPr>
        <w:t>Procurement Scandals</w:t>
      </w:r>
      <w:r>
        <w:rPr>
          <w:rFonts w:ascii="Times New Roman" w:hAnsi="Times New Roman"/>
          <w:b w:val="0"/>
          <w:i w:val="0"/>
          <w:sz w:val="21"/>
        </w:rPr>
        <w:t>: Public controversies over the importation of plastic food containers (</w:t>
      </w:r>
      <w:r>
        <w:rPr>
          <w:rFonts w:ascii="Times New Roman" w:hAnsi="Times New Roman"/>
          <w:b w:val="0"/>
          <w:i/>
          <w:sz w:val="21"/>
        </w:rPr>
        <w:t>ompreng</w:t>
      </w:r>
      <w:r>
        <w:rPr>
          <w:rFonts w:ascii="Times New Roman" w:hAnsi="Times New Roman"/>
          <w:b w:val="0"/>
          <w:i w:val="0"/>
          <w:sz w:val="21"/>
        </w:rPr>
        <w:t>) alongside allegations of crony vendor selection and fictitious SPPG units.</w:t>
      </w:r>
    </w:p>
    <w:p>
      <w:pPr>
        <w:spacing w:before="0" w:after="100" w:line="384" w:lineRule="auto"/>
        <w:ind w:firstLine="360"/>
        <w:jc w:val="both"/>
      </w:pPr>
      <w:r>
        <w:rPr>
          <w:rFonts w:ascii="Times New Roman" w:hAnsi="Times New Roman"/>
          <w:b w:val="0"/>
          <w:i w:val="0"/>
          <w:sz w:val="21"/>
        </w:rPr>
        <w:t>The communicative fallout was acknowledged at the highest bureaucratic levels. During an emergency inter-agency coordination forum in Bekasi, Khairul Hidayati, Head of the Legal and Public Relations Bureau of the National Nutrition Agency (BGN), explicitly declared that the virulence of social media hoaxes, sarcasm, and negative framing had escalated into a strategic vulnerability requiring proactive crisis countermeasures (BGN, 2026). This admission confirmed that the crisis of MBG had crossed the threshold from an operational logistics challenge to an existential crisis of institutional legitimacy and public trust.</w:t>
      </w:r>
    </w:p>
    <w:p>
      <w:pPr>
        <w:spacing w:before="320" w:after="100" w:line="288" w:lineRule="auto"/>
        <w:jc w:val="left"/>
      </w:pPr>
      <w:r>
        <w:rPr>
          <w:rFonts w:ascii="Times New Roman" w:hAnsi="Times New Roman"/>
          <w:b/>
          <w:i w:val="0"/>
          <w:color w:val="0F172A"/>
          <w:sz w:val="24"/>
        </w:rPr>
        <w:t>2. THEORETICAL FRAMEWORK: THE PHYGITAL GAP, NETWORKED AFFECT, AND PRETENSE IRONY</w:t>
      </w:r>
    </w:p>
    <w:p>
      <w:pPr>
        <w:spacing w:before="240" w:after="60" w:line="384" w:lineRule="auto"/>
        <w:jc w:val="left"/>
      </w:pPr>
      <w:r>
        <w:rPr>
          <w:rFonts w:ascii="Times New Roman" w:hAnsi="Times New Roman"/>
          <w:b/>
          <w:i w:val="0"/>
          <w:color w:val="1E293B"/>
          <w:sz w:val="23"/>
        </w:rPr>
        <w:t>2.1 The Phygital Gap in Public Policy Governance</w:t>
      </w:r>
    </w:p>
    <w:p>
      <w:pPr>
        <w:spacing w:before="0" w:after="100" w:line="384" w:lineRule="auto"/>
        <w:ind w:firstLine="360"/>
        <w:jc w:val="both"/>
      </w:pPr>
      <w:r>
        <w:rPr>
          <w:rFonts w:ascii="Times New Roman" w:hAnsi="Times New Roman"/>
          <w:b w:val="0"/>
          <w:i w:val="0"/>
          <w:sz w:val="21"/>
        </w:rPr>
        <w:t xml:space="preserve">Originally formulated in commercial marketing scholarship (Kotler, Kartajaya, &amp; Setiawan, 2023), the concept of the </w:t>
      </w:r>
      <w:r>
        <w:rPr>
          <w:rFonts w:ascii="Times New Roman" w:hAnsi="Times New Roman"/>
          <w:b/>
          <w:i w:val="0"/>
          <w:sz w:val="21"/>
        </w:rPr>
        <w:t>Phygital Gap</w:t>
      </w:r>
      <w:r>
        <w:rPr>
          <w:rFonts w:ascii="Times New Roman" w:hAnsi="Times New Roman"/>
          <w:b w:val="0"/>
          <w:i w:val="0"/>
          <w:sz w:val="21"/>
        </w:rPr>
        <w:t xml:space="preserve"> describes the psychological and cognitive dissonance that emerges when an organization’s pristine digital touchpoints (branding, automated communication, high-production public relations) fail to align with messy, defective physical touchpoints (product defects, logistical delays, service failure).</w:t>
      </w:r>
    </w:p>
    <w:p>
      <w:pPr>
        <w:spacing w:before="0" w:after="100" w:line="384" w:lineRule="auto"/>
        <w:ind w:firstLine="360"/>
        <w:jc w:val="both"/>
      </w:pPr>
      <w:r>
        <w:rPr>
          <w:rFonts w:ascii="Times New Roman" w:hAnsi="Times New Roman"/>
          <w:b w:val="0"/>
          <w:i w:val="0"/>
          <w:sz w:val="21"/>
        </w:rPr>
        <w:t>In public administration, this dissonance carries grave democratic consequences. When citizens observe a polished digital narrative celebrating "nutritious meals for future leaders" while simultaneously encountering rancid food trays, insect infestations, and hospitalized children in their immediate physical reality, the communicative compact between the state and the public collapses. Rather than generating mild disappointment, the phygital gap triggers visceral moral indignation, dissolving the reservoir of institutional goodwill (</w:t>
      </w:r>
      <w:r>
        <w:rPr>
          <w:rFonts w:ascii="Times New Roman" w:hAnsi="Times New Roman"/>
          <w:b w:val="0"/>
          <w:i/>
          <w:sz w:val="21"/>
        </w:rPr>
        <w:t>diffuse support</w:t>
      </w:r>
      <w:r>
        <w:rPr>
          <w:rFonts w:ascii="Times New Roman" w:hAnsi="Times New Roman"/>
          <w:b w:val="0"/>
          <w:i w:val="0"/>
          <w:sz w:val="21"/>
        </w:rPr>
        <w:t>; Easton, 1965) essential for governance.</w:t>
      </w:r>
    </w:p>
    <w:p>
      <w:pPr>
        <w:spacing w:before="240" w:after="60" w:line="384" w:lineRule="auto"/>
        <w:jc w:val="left"/>
      </w:pPr>
      <w:r>
        <w:rPr>
          <w:rFonts w:ascii="Times New Roman" w:hAnsi="Times New Roman"/>
          <w:b/>
          <w:i w:val="0"/>
          <w:color w:val="1E293B"/>
          <w:sz w:val="23"/>
        </w:rPr>
        <w:t>2.2 Networked Affect and Situational Crisis Communication</w:t>
      </w:r>
    </w:p>
    <w:p>
      <w:pPr>
        <w:spacing w:before="0" w:after="100" w:line="384" w:lineRule="auto"/>
        <w:ind w:firstLine="360"/>
        <w:jc w:val="both"/>
      </w:pPr>
      <w:r>
        <w:rPr>
          <w:rFonts w:ascii="Times New Roman" w:hAnsi="Times New Roman"/>
          <w:b w:val="0"/>
          <w:i w:val="0"/>
          <w:sz w:val="21"/>
        </w:rPr>
        <w:t xml:space="preserve">To conceptualize how this moral indignation circulates across algorithmic networks, we integrate Coombs’ (2007) Situational Crisis Communication Theory (SCCT) with Papacharissi’s (2015) theory of </w:t>
      </w:r>
      <w:r>
        <w:rPr>
          <w:rFonts w:ascii="Times New Roman" w:hAnsi="Times New Roman"/>
          <w:b/>
          <w:i w:val="0"/>
          <w:sz w:val="21"/>
        </w:rPr>
        <w:t>Networked Affect</w:t>
      </w:r>
      <w:r>
        <w:rPr>
          <w:rFonts w:ascii="Times New Roman" w:hAnsi="Times New Roman"/>
          <w:b w:val="0"/>
          <w:i w:val="0"/>
          <w:sz w:val="21"/>
        </w:rPr>
        <w:t>. SCCT posits that as public attribution of crisis responsibility intensifies—moving from victim crises to preventable human-error crises—stakeholders manifest increasingly hostile behavioral intentions toward the responsible organization.</w:t>
      </w:r>
    </w:p>
    <w:p>
      <w:pPr>
        <w:spacing w:before="0" w:after="100" w:line="384" w:lineRule="auto"/>
        <w:ind w:firstLine="360"/>
        <w:jc w:val="both"/>
      </w:pPr>
      <w:r>
        <w:rPr>
          <w:rFonts w:ascii="Times New Roman" w:hAnsi="Times New Roman"/>
          <w:b w:val="0"/>
          <w:i w:val="0"/>
          <w:sz w:val="21"/>
        </w:rPr>
        <w:t>In networked environments, however, crisis affect does not distribute uniformly. Platform architectures convert individual grievance into affective streams (</w:t>
      </w:r>
      <w:r>
        <w:rPr>
          <w:rFonts w:ascii="Times New Roman" w:hAnsi="Times New Roman"/>
          <w:b w:val="0"/>
          <w:i/>
          <w:sz w:val="21"/>
        </w:rPr>
        <w:t>affective publics</w:t>
      </w:r>
      <w:r>
        <w:rPr>
          <w:rFonts w:ascii="Times New Roman" w:hAnsi="Times New Roman"/>
          <w:b w:val="0"/>
          <w:i w:val="0"/>
          <w:sz w:val="21"/>
        </w:rPr>
        <w:t xml:space="preserve">), where visceral emotions (primarily </w:t>
      </w:r>
      <w:r>
        <w:rPr>
          <w:rFonts w:ascii="Times New Roman" w:hAnsi="Times New Roman"/>
          <w:b w:val="0"/>
          <w:i/>
          <w:sz w:val="21"/>
        </w:rPr>
        <w:t>Disgust</w:t>
      </w:r>
      <w:r>
        <w:rPr>
          <w:rFonts w:ascii="Times New Roman" w:hAnsi="Times New Roman"/>
          <w:b w:val="0"/>
          <w:i w:val="0"/>
          <w:sz w:val="21"/>
        </w:rPr>
        <w:t xml:space="preserve"> and </w:t>
      </w:r>
      <w:r>
        <w:rPr>
          <w:rFonts w:ascii="Times New Roman" w:hAnsi="Times New Roman"/>
          <w:b w:val="0"/>
          <w:i/>
          <w:sz w:val="21"/>
        </w:rPr>
        <w:t>Anger</w:t>
      </w:r>
      <w:r>
        <w:rPr>
          <w:rFonts w:ascii="Times New Roman" w:hAnsi="Times New Roman"/>
          <w:b w:val="0"/>
          <w:i w:val="0"/>
          <w:sz w:val="21"/>
        </w:rPr>
        <w:t>) serve as connective tissue uniting atomized citizens into informal resonance chambers (Meraz &amp; Papacharissi, 2013). These affective flows bypass traditional journalistic gatekeepers, constructing decentralized interpretive frames that institutional spokespersons struggle to counter.</w:t>
      </w:r>
    </w:p>
    <w:p>
      <w:pPr>
        <w:spacing w:before="240" w:after="60" w:line="384" w:lineRule="auto"/>
        <w:jc w:val="left"/>
      </w:pPr>
      <w:r>
        <w:rPr>
          <w:rFonts w:ascii="Times New Roman" w:hAnsi="Times New Roman"/>
          <w:b/>
          <w:i w:val="0"/>
          <w:color w:val="1E293B"/>
          <w:sz w:val="23"/>
        </w:rPr>
        <w:t>2.3 Pretense Irony and Paralinguistic Dissonance</w:t>
      </w:r>
    </w:p>
    <w:p>
      <w:pPr>
        <w:spacing w:before="0" w:after="100" w:line="384" w:lineRule="auto"/>
        <w:ind w:firstLine="360"/>
        <w:jc w:val="both"/>
      </w:pPr>
      <w:r>
        <w:rPr>
          <w:rFonts w:ascii="Times New Roman" w:hAnsi="Times New Roman"/>
          <w:b w:val="0"/>
          <w:i w:val="0"/>
          <w:sz w:val="21"/>
        </w:rPr>
        <w:t xml:space="preserve">A central challenge in computational crisis forensics is the prevalence of non-literal language. Under regulatory surveillance—specifically Indonesia's Information and Electronic Transactions Law (UU ITE), which criminalizes digital defamation and "hate speech"—citizens rarely express dissent through crude verbal aggression. Instead, they deploy </w:t>
      </w:r>
      <w:r>
        <w:rPr>
          <w:rFonts w:ascii="Times New Roman" w:hAnsi="Times New Roman"/>
          <w:b/>
          <w:i w:val="0"/>
          <w:sz w:val="21"/>
        </w:rPr>
        <w:t>digital sarcasm</w:t>
      </w:r>
      <w:r>
        <w:rPr>
          <w:rFonts w:ascii="Times New Roman" w:hAnsi="Times New Roman"/>
          <w:b w:val="0"/>
          <w:i w:val="0"/>
          <w:sz w:val="21"/>
        </w:rPr>
        <w:t xml:space="preserve"> as a sophisticated weapon of the weak (Scott, 1985).</w:t>
      </w:r>
    </w:p>
    <w:p>
      <w:pPr>
        <w:spacing w:before="0" w:after="100" w:line="384" w:lineRule="auto"/>
        <w:ind w:firstLine="360"/>
        <w:jc w:val="both"/>
      </w:pPr>
      <w:r>
        <w:rPr>
          <w:rFonts w:ascii="Times New Roman" w:hAnsi="Times New Roman"/>
          <w:b w:val="0"/>
          <w:i w:val="0"/>
          <w:sz w:val="21"/>
        </w:rPr>
        <w:t xml:space="preserve">Drawing upon Pretense Irony Theory (Clark &amp; Gerrig, 1984) and Gricean pragmatics (Grice, 1975), sarcasm operates through deliberate communicative incongruence: the speaker pretends to offer glowing praise while intending the audience to perceive the underlying absurdity. In computer-mediated communication, this incongruence is operationalized through </w:t>
      </w:r>
      <w:r>
        <w:rPr>
          <w:rFonts w:ascii="Times New Roman" w:hAnsi="Times New Roman"/>
          <w:b/>
          <w:i w:val="0"/>
          <w:sz w:val="21"/>
        </w:rPr>
        <w:t>paralinguistic dissonance</w:t>
      </w:r>
      <w:r>
        <w:rPr>
          <w:rFonts w:ascii="Times New Roman" w:hAnsi="Times New Roman"/>
          <w:b w:val="0"/>
          <w:i w:val="0"/>
          <w:sz w:val="21"/>
        </w:rPr>
        <w:t>: the juxtaposition of literal laudatory text with incongruous emoji markers (e.g., 🤡, 🤮, 😭). Standard sentiment classifiers, relying exclusively on lexical polarity dictionaries, misinterpret mock praise as genuine endorsement. Decoding this semiotic inversion is thus critical for realistic policy evaluation.</w:t>
      </w:r>
    </w:p>
    <w:p>
      <w:pPr>
        <w:spacing w:before="240" w:after="60" w:line="384" w:lineRule="auto"/>
        <w:jc w:val="left"/>
      </w:pPr>
      <w:r>
        <w:rPr>
          <w:rFonts w:ascii="Times New Roman" w:hAnsi="Times New Roman"/>
          <w:b/>
          <w:i w:val="0"/>
          <w:color w:val="1E293B"/>
          <w:sz w:val="23"/>
        </w:rPr>
        <w:t>2.4 The Algorithmic Oracle in Human-Machine Communication</w:t>
      </w:r>
    </w:p>
    <w:p>
      <w:pPr>
        <w:spacing w:before="0" w:after="100" w:line="384" w:lineRule="auto"/>
        <w:ind w:firstLine="360"/>
        <w:jc w:val="both"/>
      </w:pPr>
      <w:r>
        <w:rPr>
          <w:rFonts w:ascii="Times New Roman" w:hAnsi="Times New Roman"/>
          <w:b w:val="0"/>
          <w:i w:val="0"/>
          <w:sz w:val="21"/>
        </w:rPr>
        <w:t>Finally, this study builds upon Human-Machine Communication (HMC; Guzman &amp; Lewis, 2020) and the MAIN model of algorithmic credibility (Sundar, 2008). In conventional crisis models, communication occurs bilaterally between institutional authorities and affected publics. When state accounts adopt an ostrich strategy—refusing conversational engagement and treating social media exclusively as a unidirectional broadcast megaphone—a structural communication vacuum emerges.</w:t>
      </w:r>
    </w:p>
    <w:p>
      <w:pPr>
        <w:spacing w:before="0" w:after="100" w:line="384" w:lineRule="auto"/>
        <w:ind w:firstLine="360"/>
        <w:jc w:val="both"/>
      </w:pPr>
      <w:r>
        <w:rPr>
          <w:rFonts w:ascii="Times New Roman" w:hAnsi="Times New Roman"/>
          <w:b w:val="0"/>
          <w:i w:val="0"/>
          <w:sz w:val="21"/>
        </w:rPr>
        <w:t xml:space="preserve">In this vacuum, platform-native artificial intelligence agents (specifically xAI's </w:t>
      </w:r>
      <w:r>
        <w:rPr>
          <w:rFonts w:ascii="Courier New" w:hAnsi="Courier New"/>
          <w:sz w:val="20"/>
        </w:rPr>
        <w:t>@grok</w:t>
      </w:r>
      <w:r>
        <w:rPr>
          <w:rFonts w:ascii="Times New Roman" w:hAnsi="Times New Roman"/>
          <w:b w:val="0"/>
          <w:i w:val="0"/>
          <w:sz w:val="21"/>
        </w:rPr>
        <w:t xml:space="preserve">) are elevated by citizens into </w:t>
      </w:r>
      <w:r>
        <w:rPr>
          <w:rFonts w:ascii="Times New Roman" w:hAnsi="Times New Roman"/>
          <w:b/>
          <w:i w:val="0"/>
          <w:sz w:val="21"/>
        </w:rPr>
        <w:t>Algorithmic Oracles</w:t>
      </w:r>
      <w:r>
        <w:rPr>
          <w:rFonts w:ascii="Times New Roman" w:hAnsi="Times New Roman"/>
          <w:b w:val="0"/>
          <w:i w:val="0"/>
          <w:sz w:val="21"/>
        </w:rPr>
        <w:t>. Endowed with algorithmic authority (</w:t>
      </w:r>
      <w:r>
        <w:rPr>
          <w:rFonts w:ascii="Times New Roman" w:hAnsi="Times New Roman"/>
          <w:b w:val="0"/>
          <w:i/>
          <w:sz w:val="21"/>
        </w:rPr>
        <w:t>machine heuristic</w:t>
      </w:r>
      <w:r>
        <w:rPr>
          <w:rFonts w:ascii="Times New Roman" w:hAnsi="Times New Roman"/>
          <w:b w:val="0"/>
          <w:i w:val="0"/>
          <w:sz w:val="21"/>
        </w:rPr>
        <w:t>), these AI agents are publicly summoned by citizens to adjudicate disputed facts, calculate nutritional caloric values, and fact-check bureaucratic denials, fundamentally transforming the triadic dynamics of mediated political discourse.</w:t>
      </w:r>
    </w:p>
    <w:p>
      <w:pPr>
        <w:spacing w:before="320" w:after="100" w:line="288" w:lineRule="auto"/>
        <w:jc w:val="left"/>
      </w:pPr>
      <w:r>
        <w:rPr>
          <w:rFonts w:ascii="Times New Roman" w:hAnsi="Times New Roman"/>
          <w:b/>
          <w:i w:val="0"/>
          <w:color w:val="0F172A"/>
          <w:sz w:val="24"/>
        </w:rPr>
        <w:t>3. COMPUTATIONAL METHODOLOGY AND ETHICAL DATA ARCHITECTURE</w:t>
      </w:r>
    </w:p>
    <w:p>
      <w:pPr>
        <w:spacing w:before="240" w:after="60" w:line="384" w:lineRule="auto"/>
        <w:jc w:val="left"/>
      </w:pPr>
      <w:r>
        <w:rPr>
          <w:rFonts w:ascii="Times New Roman" w:hAnsi="Times New Roman"/>
          <w:b/>
          <w:i w:val="0"/>
          <w:color w:val="1E293B"/>
          <w:sz w:val="23"/>
        </w:rPr>
        <w:t>3.1 Multi-Tier Corpus Acquisition and Telemetry</w:t>
      </w:r>
    </w:p>
    <w:p>
      <w:pPr>
        <w:spacing w:before="0" w:after="100" w:line="384" w:lineRule="auto"/>
        <w:ind w:firstLine="360"/>
        <w:jc w:val="both"/>
      </w:pPr>
      <w:r>
        <w:rPr>
          <w:rFonts w:ascii="Times New Roman" w:hAnsi="Times New Roman"/>
          <w:b w:val="0"/>
          <w:i w:val="0"/>
          <w:sz w:val="21"/>
        </w:rPr>
        <w:t>Data collection encompassed a structured multi-tier streaming pipeline querying Platform X's academic API endpoints between January 6, 2025 and October 10, 2026. Search parameters captured official program nomenclature and conversational colloquialisms (</w:t>
      </w:r>
      <w:r>
        <w:rPr>
          <w:rFonts w:ascii="Courier New" w:hAnsi="Courier New"/>
          <w:sz w:val="20"/>
        </w:rPr>
        <w:t>("makan bergizi gratis" OR "MBG" OR "sppg" OR "ompreng") lang:id</w:t>
      </w:r>
      <w:r>
        <w:rPr>
          <w:rFonts w:ascii="Times New Roman" w:hAnsi="Times New Roman"/>
          <w:b w:val="0"/>
          <w:i w:val="0"/>
          <w:sz w:val="21"/>
        </w:rPr>
        <w:t>).</w:t>
      </w:r>
    </w:p>
    <w:p>
      <w:pPr>
        <w:spacing w:before="0" w:after="100" w:line="384" w:lineRule="auto"/>
        <w:ind w:firstLine="360"/>
        <w:jc w:val="both"/>
      </w:pPr>
      <w:r>
        <w:rPr>
          <w:rFonts w:ascii="Times New Roman" w:hAnsi="Times New Roman"/>
          <w:b w:val="0"/>
          <w:i w:val="0"/>
          <w:sz w:val="21"/>
        </w:rPr>
        <w:t>The resulting data architecture comprises three distinct empirical tiers:</w:t>
      </w:r>
    </w:p>
    <w:p>
      <w:pPr>
        <w:pStyle w:val="ListNumber"/>
        <w:spacing w:after="60" w:line="384" w:lineRule="auto"/>
      </w:pPr>
      <w:r/>
      <w:r>
        <w:rPr>
          <w:rFonts w:ascii="Times New Roman" w:hAnsi="Times New Roman"/>
          <w:sz w:val="24"/>
        </w:rPr>
        <w:t>Raw Ingestion Corpus ($N = 9,862$): The total uncurated digital footprint across the policy lifecycle, utilized for longitudinal baseline telemetry.</w:t>
      </w:r>
    </w:p>
    <w:p>
      <w:pPr>
        <w:pStyle w:val="ListNumber"/>
        <w:spacing w:after="60" w:line="384" w:lineRule="auto"/>
      </w:pPr>
      <w:r/>
      <w:r>
        <w:rPr>
          <w:rFonts w:ascii="Times New Roman" w:hAnsi="Times New Roman"/>
          <w:sz w:val="24"/>
        </w:rPr>
        <w:t>Core Evaluated Emotion Corpus ($N = 5,263$): Deduplicated, clean text instances with zero missing values across 13 analytical metadata attributes, used for transformer training and holdout validation.</w:t>
      </w:r>
    </w:p>
    <w:p>
      <w:pPr>
        <w:pStyle w:val="ListNumber"/>
        <w:spacing w:after="60" w:line="384" w:lineRule="auto"/>
      </w:pPr>
      <w:r/>
      <w:r>
        <w:rPr>
          <w:rFonts w:ascii="Times New Roman" w:hAnsi="Times New Roman"/>
          <w:sz w:val="24"/>
        </w:rPr>
        <w:t>Directed Interaction and Sarcasm Corpus ($N = 3,395$): High-fidelity conversational dyad records containing verified user-to-user retweets, mentions, and quotes, establishing the canonical network edge list.</w:t>
      </w:r>
    </w:p>
    <w:p>
      <w:pPr>
        <w:spacing w:before="200" w:after="60"/>
        <w:jc w:val="center"/>
      </w:pPr>
      <w:r>
        <w:drawing>
          <wp:inline xmlns:a="http://schemas.openxmlformats.org/drawingml/2006/main" xmlns:pic="http://schemas.openxmlformats.org/drawingml/2006/picture">
            <wp:extent cx="5303520" cy="2559297"/>
            <wp:docPr id="1" name="Picture 1"/>
            <wp:cNvGraphicFramePr>
              <a:graphicFrameLocks noChangeAspect="1"/>
            </wp:cNvGraphicFramePr>
            <a:graphic>
              <a:graphicData uri="http://schemas.openxmlformats.org/drawingml/2006/picture">
                <pic:pic>
                  <pic:nvPicPr>
                    <pic:cNvPr id="0" name="integrated_sna_nlp.png"/>
                    <pic:cNvPicPr/>
                  </pic:nvPicPr>
                  <pic:blipFill>
                    <a:blip r:embed="rId11"/>
                    <a:stretch>
                      <a:fillRect/>
                    </a:stretch>
                  </pic:blipFill>
                  <pic:spPr>
                    <a:xfrm>
                      <a:off x="0" y="0"/>
                      <a:ext cx="5303520" cy="2559297"/>
                    </a:xfrm>
                    <a:prstGeom prst="rect"/>
                  </pic:spPr>
                </pic:pic>
              </a:graphicData>
            </a:graphic>
          </wp:inline>
        </w:drawing>
      </w:r>
    </w:p>
    <w:p>
      <w:pPr>
        <w:spacing w:before="40" w:after="240" w:line="264" w:lineRule="auto"/>
        <w:jc w:val="center"/>
      </w:pPr>
      <w:r>
        <w:rPr>
          <w:rFonts w:ascii="Times New Roman" w:hAnsi="Times New Roman"/>
          <w:b w:val="0"/>
          <w:i/>
          <w:color w:val="334155"/>
          <w:sz w:val="19"/>
        </w:rPr>
        <w:t>Figure 1: Methodological and Analytical Architecture</w:t>
      </w:r>
    </w:p>
    <w:p>
      <w:pPr>
        <w:spacing w:before="0" w:after="100" w:line="384" w:lineRule="auto"/>
        <w:ind w:firstLine="360"/>
        <w:jc w:val="both"/>
      </w:pPr>
      <w:r>
        <w:rPr>
          <w:rFonts w:ascii="Times New Roman" w:hAnsi="Times New Roman"/>
          <w:b w:val="0"/>
          <w:i/>
          <w:sz w:val="21"/>
        </w:rPr>
        <w:t>Figure 1: Explanatory-sequential tri-layer computational forensics architecture: Ingestion, NLP Modeling, Network Topology, and Policy Synthesis.</w:t>
      </w:r>
    </w:p>
    <w:p>
      <w:pPr>
        <w:spacing w:before="240" w:after="60" w:line="384" w:lineRule="auto"/>
        <w:jc w:val="left"/>
      </w:pPr>
      <w:r>
        <w:rPr>
          <w:rFonts w:ascii="Times New Roman" w:hAnsi="Times New Roman"/>
          <w:b/>
          <w:i w:val="0"/>
          <w:color w:val="1E293B"/>
          <w:sz w:val="23"/>
        </w:rPr>
        <w:t>3.2 Transformer Sequence Classification (IndoBERT Protocol v2)</w:t>
      </w:r>
    </w:p>
    <w:p>
      <w:pPr>
        <w:spacing w:before="0" w:after="100" w:line="384" w:lineRule="auto"/>
        <w:ind w:firstLine="360"/>
        <w:jc w:val="both"/>
      </w:pPr>
      <w:r>
        <w:rPr>
          <w:rFonts w:ascii="Times New Roman" w:hAnsi="Times New Roman"/>
          <w:b w:val="0"/>
          <w:i w:val="0"/>
          <w:sz w:val="21"/>
        </w:rPr>
        <w:t xml:space="preserve">For granular emotion modeling, we fine-tuned the bidirectional transformer </w:t>
      </w:r>
      <w:r>
        <w:rPr>
          <w:rFonts w:ascii="Courier New" w:hAnsi="Courier New"/>
          <w:sz w:val="20"/>
        </w:rPr>
        <w:t>indobenchmark/indobert-base-p2</w:t>
      </w:r>
      <w:r>
        <w:rPr>
          <w:rFonts w:ascii="Times New Roman" w:hAnsi="Times New Roman"/>
          <w:b w:val="0"/>
          <w:i w:val="0"/>
          <w:sz w:val="21"/>
        </w:rPr>
        <w:t xml:space="preserve"> (Wilie et al., 2020). Model training adhered strictly to the </w:t>
      </w:r>
      <w:r>
        <w:rPr>
          <w:rFonts w:ascii="Times New Roman" w:hAnsi="Times New Roman"/>
          <w:b/>
          <w:i w:val="0"/>
          <w:sz w:val="21"/>
        </w:rPr>
        <w:t>Zero-Leakage Group-Aware Protocol (Protocol v2)</w:t>
      </w:r>
      <w:r>
        <w:rPr>
          <w:rFonts w:ascii="Times New Roman" w:hAnsi="Times New Roman"/>
          <w:b w:val="0"/>
          <w:i w:val="0"/>
          <w:sz w:val="21"/>
        </w:rPr>
        <w:t>:</w:t>
      </w:r>
    </w:p>
    <w:p>
      <w:pPr>
        <w:pStyle w:val="ListBullet"/>
        <w:spacing w:after="60" w:line="384" w:lineRule="auto"/>
      </w:pPr>
      <w:r/>
      <w:r>
        <w:rPr>
          <w:rFonts w:ascii="Times New Roman" w:hAnsi="Times New Roman"/>
          <w:sz w:val="24"/>
        </w:rPr>
        <w:t>Partitioning Strategy: To prevent identical retweet copies from contaminating both training and testing partitions, we utilized GroupShuffleSplit grouped on processed_text, allocating $80\%$ of text groups to training ($n = 4,205$) and $20\%$ to an isolated holdout test set ($n = 1,058$).</w:t>
      </w:r>
    </w:p>
    <w:p>
      <w:pPr>
        <w:pStyle w:val="ListBullet"/>
        <w:spacing w:after="60" w:line="384" w:lineRule="auto"/>
      </w:pPr>
      <w:r/>
      <w:r>
        <w:rPr>
          <w:rFonts w:ascii="Times New Roman" w:hAnsi="Times New Roman"/>
          <w:sz w:val="24"/>
        </w:rPr>
        <w:t>Validation Tuning: A $10\%$ sub-split of the training set ($n = 420$) was reserved for hyperparameter tuning. Checkpoint selection was determined strictly by validation loss at Epoch 1.0 ($\text{loss} = 0.5068$), completely sequestering the holdout test set until final evaluation.</w:t>
      </w:r>
    </w:p>
    <w:p>
      <w:pPr>
        <w:pStyle w:val="ListBullet"/>
        <w:spacing w:after="60" w:line="384" w:lineRule="auto"/>
      </w:pPr>
      <w:r/>
      <w:r>
        <w:rPr>
          <w:rFonts w:ascii="Times New Roman" w:hAnsi="Times New Roman"/>
          <w:sz w:val="24"/>
        </w:rPr>
        <w:t>Optimization Parameters: AdamW optimizer with initial learning rate $\eta = 2 \times 10^{-5}$, linear warmup across 10% of total steps, batch size of 16, and maximum sequence length of 128 tokens executed under Apple Silicon MPS Metal GPU acceleration.</w:t>
      </w:r>
    </w:p>
    <w:p>
      <w:pPr>
        <w:spacing w:before="240" w:after="60" w:line="384" w:lineRule="auto"/>
        <w:jc w:val="left"/>
      </w:pPr>
      <w:r>
        <w:rPr>
          <w:rFonts w:ascii="Times New Roman" w:hAnsi="Times New Roman"/>
          <w:b/>
          <w:i w:val="0"/>
          <w:color w:val="1E293B"/>
          <w:sz w:val="23"/>
        </w:rPr>
        <w:t>3.3 Directed Social Network Analysis (SNA)</w:t>
      </w:r>
    </w:p>
    <w:p>
      <w:pPr>
        <w:spacing w:before="0" w:after="100" w:line="384" w:lineRule="auto"/>
        <w:ind w:firstLine="360"/>
        <w:jc w:val="both"/>
      </w:pPr>
      <w:r/>
      <w:r>
        <w:rPr>
          <w:rFonts w:ascii="Times New Roman" w:hAnsi="Times New Roman"/>
          <w:sz w:val="24"/>
        </w:rPr>
        <w:t>Network construction mapped conversational interactions (retweets, direct replies, and user mentions) as a directed, weighted multigraph $G = (V, E, W)$, where V denotes unique account nodes, E denotes directed interaction arcs, and $w_{ij}$ represents edge frequency. Community detection was executed using the Louvain heuristic for modularity optimization (Blondel et al., 2008), maximizing the modularity objective:</w:t>
      </w:r>
    </w:p>
    <w:p>
      <w:pPr>
        <w:spacing w:before="0" w:after="100" w:line="384" w:lineRule="auto"/>
        <w:ind w:firstLine="360"/>
        <w:jc w:val="both"/>
      </w:pPr>
      <w:r/>
      <w:r>
        <w:rPr>
          <w:rFonts w:ascii="Times New Roman" w:hAnsi="Times New Roman"/>
          <w:sz w:val="24"/>
        </w:rPr>
        <w:t>$$Q = \frac{1}{2m} \sum_{i,j} \left[ A_{ij} - \frac{k_i^{\text{in}} k_j^{\text{out}}}{2m} \right] \delta(c_i, c_j)$$</w:t>
      </w:r>
    </w:p>
    <w:p>
      <w:pPr>
        <w:spacing w:before="0" w:after="100" w:line="384" w:lineRule="auto"/>
        <w:ind w:firstLine="360"/>
        <w:jc w:val="both"/>
      </w:pPr>
      <w:r/>
      <w:r>
        <w:rPr>
          <w:rFonts w:ascii="Times New Roman" w:hAnsi="Times New Roman"/>
          <w:sz w:val="24"/>
        </w:rPr>
        <w:t>where $m = |E|$, $A_{ij}$ is the adjacency matrix weight, k_i denotes nodal degree, and $\delta(c_i, c_j)$ is the Kronecker delta.</w:t>
      </w:r>
    </w:p>
    <w:p>
      <w:pPr>
        <w:spacing w:before="240" w:after="60" w:line="384" w:lineRule="auto"/>
        <w:jc w:val="left"/>
      </w:pPr>
      <w:r>
        <w:rPr>
          <w:rFonts w:ascii="Times New Roman" w:hAnsi="Times New Roman"/>
          <w:b/>
          <w:i w:val="0"/>
          <w:color w:val="1E293B"/>
          <w:sz w:val="23"/>
        </w:rPr>
        <w:t>3.4 Ethical Data Governance (AoIR 3.0 &amp; UU ITE Compliance)</w:t>
      </w:r>
    </w:p>
    <w:p>
      <w:pPr>
        <w:spacing w:before="0" w:after="100" w:line="384" w:lineRule="auto"/>
        <w:ind w:firstLine="360"/>
        <w:jc w:val="both"/>
      </w:pPr>
      <w:r>
        <w:rPr>
          <w:rFonts w:ascii="Times New Roman" w:hAnsi="Times New Roman"/>
          <w:b w:val="0"/>
          <w:i w:val="0"/>
          <w:sz w:val="21"/>
        </w:rPr>
        <w:t>In strict compliance with the Association of Internet Researchers ethical guidelines (AoIR 3.0; Franzke et al., 2020), this research protected subject privacy through non-invasive computational aggregation:</w:t>
      </w:r>
    </w:p>
    <w:p>
      <w:pPr>
        <w:pStyle w:val="ListBullet"/>
        <w:spacing w:after="60" w:line="384" w:lineRule="auto"/>
      </w:pPr>
      <w:r>
        <w:rPr>
          <w:rFonts w:ascii="Times New Roman" w:hAnsi="Times New Roman"/>
          <w:b w:val="0"/>
          <w:i w:val="0"/>
          <w:sz w:val="21"/>
        </w:rPr>
        <w:t>All non-institutional user account handles were pseudonymized using SHA-256 HMAC cryptographic hashing prior to network visualization.</w:t>
      </w:r>
    </w:p>
    <w:p>
      <w:pPr>
        <w:pStyle w:val="ListBullet"/>
        <w:spacing w:after="60" w:line="384" w:lineRule="auto"/>
      </w:pPr>
      <w:r>
        <w:rPr>
          <w:rFonts w:ascii="Times New Roman" w:hAnsi="Times New Roman"/>
          <w:b w:val="0"/>
          <w:i w:val="0"/>
          <w:sz w:val="21"/>
        </w:rPr>
        <w:t xml:space="preserve">Only verified institutional accounts (e.g., </w:t>
      </w:r>
      <w:r>
        <w:rPr>
          <w:rFonts w:ascii="Courier New" w:hAnsi="Courier New"/>
          <w:sz w:val="20"/>
        </w:rPr>
        <w:t>@prabowo</w:t>
      </w:r>
      <w:r>
        <w:rPr>
          <w:rFonts w:ascii="Times New Roman" w:hAnsi="Times New Roman"/>
          <w:b w:val="0"/>
          <w:i w:val="0"/>
          <w:sz w:val="21"/>
        </w:rPr>
        <w:t xml:space="preserve">, </w:t>
      </w:r>
      <w:r>
        <w:rPr>
          <w:rFonts w:ascii="Courier New" w:hAnsi="Courier New"/>
          <w:sz w:val="20"/>
        </w:rPr>
        <w:t>@bgn_ri</w:t>
      </w:r>
      <w:r>
        <w:rPr>
          <w:rFonts w:ascii="Times New Roman" w:hAnsi="Times New Roman"/>
          <w:b w:val="0"/>
          <w:i w:val="0"/>
          <w:sz w:val="21"/>
        </w:rPr>
        <w:t>) and verified automated utilities (</w:t>
      </w:r>
      <w:r>
        <w:rPr>
          <w:rFonts w:ascii="Courier New" w:hAnsi="Courier New"/>
          <w:sz w:val="20"/>
        </w:rPr>
        <w:t>@grok</w:t>
      </w:r>
      <w:r>
        <w:rPr>
          <w:rFonts w:ascii="Times New Roman" w:hAnsi="Times New Roman"/>
          <w:b w:val="0"/>
          <w:i w:val="0"/>
          <w:sz w:val="21"/>
        </w:rPr>
        <w:t>) retained explicit nominative identities.</w:t>
      </w:r>
    </w:p>
    <w:p>
      <w:pPr>
        <w:pStyle w:val="ListBullet"/>
        <w:spacing w:after="60" w:line="384" w:lineRule="auto"/>
      </w:pPr>
      <w:r>
        <w:rPr>
          <w:rFonts w:ascii="Times New Roman" w:hAnsi="Times New Roman"/>
          <w:b w:val="0"/>
          <w:i w:val="0"/>
          <w:sz w:val="21"/>
        </w:rPr>
        <w:t>No direct private messages were accessed, and all quoted tweet exemplars were checked to ensure zero personally identifiable information (PII).</w:t>
      </w:r>
    </w:p>
    <w:p>
      <w:pPr>
        <w:spacing w:before="320" w:after="100" w:line="288" w:lineRule="auto"/>
        <w:jc w:val="left"/>
      </w:pPr>
      <w:r>
        <w:rPr>
          <w:rFonts w:ascii="Times New Roman" w:hAnsi="Times New Roman"/>
          <w:b/>
          <w:i w:val="0"/>
          <w:color w:val="0F172A"/>
          <w:sz w:val="24"/>
        </w:rPr>
        <w:t>4. MACRO-TOPOLOGICAL NETWORK STRUCTURE: THE ARCHIPELAGO OF GRIEVANCE</w:t>
      </w:r>
    </w:p>
    <w:p>
      <w:pPr>
        <w:spacing w:before="240" w:after="60" w:line="384" w:lineRule="auto"/>
        <w:jc w:val="left"/>
      </w:pPr>
      <w:r>
        <w:rPr>
          <w:rFonts w:ascii="Times New Roman" w:hAnsi="Times New Roman"/>
          <w:b/>
          <w:i w:val="0"/>
          <w:color w:val="1E293B"/>
          <w:sz w:val="23"/>
        </w:rPr>
        <w:t>4.1 Macro-Topological Fragmentation</w:t>
      </w:r>
    </w:p>
    <w:p>
      <w:pPr>
        <w:spacing w:before="0" w:after="100" w:line="384" w:lineRule="auto"/>
        <w:ind w:firstLine="360"/>
        <w:jc w:val="both"/>
      </w:pPr>
      <w:r/>
      <w:r>
        <w:rPr>
          <w:rFonts w:ascii="Times New Roman" w:hAnsi="Times New Roman"/>
          <w:sz w:val="24"/>
        </w:rPr>
        <w:t>Mathematical analysis of the canonical MBG interaction network ($|V| = 971, |E| = 666$) reveals an extraordinarily fragmented communicative topology. Rather than displaying the classic two-camp polarization typical of electoral politics, the network exhibits severe structural atomization.</w:t>
      </w:r>
    </w:p>
    <w:p>
      <w:pPr>
        <w:spacing w:before="280" w:after="60" w:line="276" w:lineRule="auto"/>
        <w:jc w:val="left"/>
      </w:pPr>
      <w:r>
        <w:rPr>
          <w:rFonts w:ascii="Times New Roman" w:hAnsi="Times New Roman"/>
          <w:b/>
          <w:i w:val="0"/>
          <w:color w:val="0F172A"/>
          <w:sz w:val="21"/>
        </w:rPr>
        <w:t>Table 1: Macro-Topological Metrics of the Official MBG Communication Network (March–May 2026)</w:t>
      </w:r>
    </w:p>
    <w:tbl>
      <w:tblPr>
        <w:tblW w:type="auto" w:w="0"/>
        <w:jc w:val="center"/>
        <w:tblLayout w:type="autofit"/>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Topological Metric Parameter</w:t>
            </w:r>
          </w:p>
        </w:tc>
        <w:tc>
          <w:tcPr>
            <w:tcW w:type="dxa" w:w="851"/>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Mathematical Notation</w:t>
            </w:r>
          </w:p>
        </w:tc>
        <w:tc>
          <w:tcPr>
            <w:tcW w:type="dxa" w:w="851"/>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Observed Value</w:t>
            </w:r>
          </w:p>
        </w:tc>
        <w:tc>
          <w:tcPr>
            <w:tcW w:type="dxa" w:w="851"/>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Theoretical Baseline / Comparison</w:t>
            </w:r>
          </w:p>
        </w:tc>
        <w:tc>
          <w:tcPr>
            <w:tcW w:type="dxa" w:w="851"/>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Sociological Interpretation</w:t>
            </w:r>
          </w:p>
        </w:tc>
        <w:tc>
          <w:tcPr>
            <w:tcW w:type="dxa" w:w="851"/>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p>
        </w:tc>
        <w:tc>
          <w:tcPr>
            <w:tcW w:type="dxa" w:w="851"/>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p>
        </w:tc>
        <w:tc>
          <w:tcPr>
            <w:tcW w:type="dxa" w:w="851"/>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p>
        </w:tc>
        <w:tc>
          <w:tcPr>
            <w:tcW w:type="dxa" w:w="851"/>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p>
        </w:tc>
        <w:tc>
          <w:tcPr>
            <w:tcW w:type="dxa" w:w="851"/>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p>
        </w:tc>
        <w:tc>
          <w:tcPr>
            <w:tcW w:type="dxa" w:w="851"/>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p>
        </w:tc>
      </w:tr>
      <w:tr>
        <w:tc>
          <w:tcPr>
            <w:tcW w:type="dxa" w:w="851"/>
            <w:tcMar>
              <w:top w:w="60" w:type="dxa"/>
              <w:bottom w:w="60" w:type="dxa"/>
              <w:left w:w="80" w:type="dxa"/>
              <w:right w:w="80" w:type="dxa"/>
            </w:tcMar>
          </w:tcPr>
          <w:p>
            <w:pPr>
              <w:spacing w:before="50" w:after="50" w:line="252" w:lineRule="auto"/>
            </w:pPr>
            <w:r>
              <w:rPr>
                <w:rFonts w:ascii="Times New Roman" w:hAnsi="Times New Roman"/>
                <w:b/>
                <w:i w:val="0"/>
                <w:sz w:val="17"/>
              </w:rPr>
              <w:t>Total Nodal Actors</w:t>
            </w:r>
          </w:p>
        </w:tc>
        <w:tc>
          <w:tcPr>
            <w:tcW w:type="dxa" w:w="851"/>
            <w:tcMar>
              <w:top w:w="60" w:type="dxa"/>
              <w:bottom w:w="60" w:type="dxa"/>
              <w:left w:w="80" w:type="dxa"/>
              <w:right w:w="80" w:type="dxa"/>
            </w:tcMar>
          </w:tcPr>
          <w:p>
            <w:pPr>
              <w:spacing w:before="50" w:after="50" w:line="252" w:lineRule="auto"/>
            </w:pPr>
            <w:r/>
            <w:r>
              <w:rPr>
                <w:rFonts w:ascii="Times New Roman" w:hAnsi="Times New Roman"/>
                <w:sz w:val="20"/>
              </w:rPr>
              <w:t>$</w:t>
            </w:r>
          </w:p>
        </w:tc>
        <w:tc>
          <w:tcPr>
            <w:tcW w:type="dxa" w:w="851"/>
            <w:tcMar>
              <w:top w:w="60" w:type="dxa"/>
              <w:bottom w:w="60" w:type="dxa"/>
              <w:left w:w="80" w:type="dxa"/>
              <w:right w:w="80" w:type="dxa"/>
            </w:tcMar>
          </w:tcPr>
          <w:p>
            <w:pPr>
              <w:spacing w:before="50" w:after="50" w:line="252" w:lineRule="auto"/>
            </w:pPr>
            <w:r>
              <w:rPr>
                <w:rFonts w:ascii="Times New Roman" w:hAnsi="Times New Roman"/>
                <w:b w:val="0"/>
                <w:i w:val="0"/>
                <w:sz w:val="17"/>
              </w:rPr>
              <w:t>V</w:t>
            </w:r>
          </w:p>
        </w:tc>
        <w:tc>
          <w:tcPr>
            <w:tcW w:type="dxa" w:w="851"/>
            <w:tcMar>
              <w:top w:w="60" w:type="dxa"/>
              <w:bottom w:w="60" w:type="dxa"/>
              <w:left w:w="80" w:type="dxa"/>
              <w:right w:w="80" w:type="dxa"/>
            </w:tcMar>
          </w:tcPr>
          <w:p>
            <w:pPr>
              <w:spacing w:before="50" w:after="50" w:line="252" w:lineRule="auto"/>
            </w:pPr>
            <w:r/>
            <w:r>
              <w:rPr>
                <w:rFonts w:ascii="Times New Roman" w:hAnsi="Times New Roman"/>
                <w:sz w:val="20"/>
              </w:rPr>
              <w:t>$</w:t>
            </w:r>
          </w:p>
        </w:tc>
        <w:tc>
          <w:tcPr>
            <w:tcW w:type="dxa" w:w="851"/>
            <w:tcMar>
              <w:top w:w="60" w:type="dxa"/>
              <w:bottom w:w="60" w:type="dxa"/>
              <w:left w:w="80" w:type="dxa"/>
              <w:right w:w="80" w:type="dxa"/>
            </w:tcMar>
          </w:tcPr>
          <w:p>
            <w:pPr>
              <w:spacing w:before="50" w:after="50" w:line="252" w:lineRule="auto"/>
            </w:pPr>
            <w:r>
              <w:rPr>
                <w:rFonts w:ascii="Times New Roman" w:hAnsi="Times New Roman"/>
                <w:b/>
                <w:i w:val="0"/>
                <w:sz w:val="17"/>
              </w:rPr>
              <w:t>971</w:t>
            </w:r>
          </w:p>
        </w:tc>
        <w:tc>
          <w:tcPr>
            <w:tcW w:type="dxa" w:w="851"/>
            <w:tcMar>
              <w:top w:w="60" w:type="dxa"/>
              <w:bottom w:w="60" w:type="dxa"/>
              <w:left w:w="80" w:type="dxa"/>
              <w:right w:w="80" w:type="dxa"/>
            </w:tcMar>
          </w:tcPr>
          <w:p>
            <w:pPr>
              <w:spacing w:before="50" w:after="50" w:line="252" w:lineRule="auto"/>
            </w:pPr>
            <w:r>
              <w:rPr>
                <w:rFonts w:ascii="Times New Roman" w:hAnsi="Times New Roman"/>
                <w:b w:val="0"/>
                <w:i w:val="0"/>
                <w:sz w:val="17"/>
              </w:rPr>
              <w:t>—</w:t>
            </w:r>
          </w:p>
        </w:tc>
        <w:tc>
          <w:tcPr>
            <w:tcW w:type="dxa" w:w="851"/>
            <w:tcMar>
              <w:top w:w="60" w:type="dxa"/>
              <w:bottom w:w="60" w:type="dxa"/>
              <w:left w:w="80" w:type="dxa"/>
              <w:right w:w="80" w:type="dxa"/>
            </w:tcMar>
          </w:tcPr>
          <w:p>
            <w:pPr>
              <w:spacing w:before="50" w:after="50" w:line="252" w:lineRule="auto"/>
            </w:pPr>
            <w:r>
              <w:rPr>
                <w:rFonts w:ascii="Times New Roman" w:hAnsi="Times New Roman"/>
                <w:b w:val="0"/>
                <w:i w:val="0"/>
                <w:sz w:val="17"/>
              </w:rPr>
              <w:t>Unique active accounts engaged in MBG discourse</w:t>
            </w:r>
          </w:p>
        </w:tc>
        <w:tc>
          <w:tcPr>
            <w:tcW w:type="dxa" w:w="851"/>
            <w:tcMar>
              <w:top w:w="60" w:type="dxa"/>
              <w:bottom w:w="60" w:type="dxa"/>
              <w:left w:w="80" w:type="dxa"/>
              <w:right w:w="80" w:type="dxa"/>
            </w:tcMar>
          </w:tcPr>
          <w:p>
            <w:pPr>
              <w:spacing w:before="50" w:after="50" w:line="252" w:lineRule="auto"/>
            </w:pPr>
          </w:p>
        </w:tc>
        <w:tc>
          <w:tcPr>
            <w:tcW w:type="dxa" w:w="851"/>
            <w:tcMar>
              <w:top w:w="60" w:type="dxa"/>
              <w:bottom w:w="60" w:type="dxa"/>
              <w:left w:w="80" w:type="dxa"/>
              <w:right w:w="80" w:type="dxa"/>
            </w:tcMar>
          </w:tcPr>
          <w:p>
            <w:pPr>
              <w:spacing w:before="50" w:after="50" w:line="252" w:lineRule="auto"/>
            </w:pPr>
          </w:p>
        </w:tc>
        <w:tc>
          <w:tcPr>
            <w:tcW w:type="dxa" w:w="851"/>
            <w:tcMar>
              <w:top w:w="60" w:type="dxa"/>
              <w:bottom w:w="60" w:type="dxa"/>
              <w:left w:w="80" w:type="dxa"/>
              <w:right w:w="80" w:type="dxa"/>
            </w:tcMar>
          </w:tcPr>
          <w:p>
            <w:pPr>
              <w:spacing w:before="50" w:after="50" w:line="252" w:lineRule="auto"/>
            </w:pPr>
          </w:p>
        </w:tc>
        <w:tc>
          <w:tcPr>
            <w:tcW w:type="dxa" w:w="851"/>
            <w:tcMar>
              <w:top w:w="60" w:type="dxa"/>
              <w:bottom w:w="60" w:type="dxa"/>
              <w:left w:w="80" w:type="dxa"/>
              <w:right w:w="80" w:type="dxa"/>
            </w:tcMar>
          </w:tcPr>
          <w:p>
            <w:pPr>
              <w:spacing w:before="50" w:after="50" w:line="252" w:lineRule="auto"/>
            </w:pPr>
          </w:p>
        </w:tc>
      </w:tr>
      <w:tr>
        <w:tc>
          <w:tcPr>
            <w:tcW w:type="dxa" w:w="851"/>
            <w:tcMar>
              <w:top w:w="60" w:type="dxa"/>
              <w:bottom w:w="60" w:type="dxa"/>
              <w:left w:w="80" w:type="dxa"/>
              <w:right w:w="80" w:type="dxa"/>
            </w:tcMar>
          </w:tcPr>
          <w:p>
            <w:pPr>
              <w:spacing w:before="50" w:after="50" w:line="252" w:lineRule="auto"/>
            </w:pPr>
            <w:r>
              <w:rPr>
                <w:rFonts w:ascii="Times New Roman" w:hAnsi="Times New Roman"/>
                <w:b/>
                <w:i w:val="0"/>
                <w:sz w:val="17"/>
              </w:rPr>
              <w:t>Directed Interaction Edges</w:t>
            </w:r>
          </w:p>
        </w:tc>
        <w:tc>
          <w:tcPr>
            <w:tcW w:type="dxa" w:w="851"/>
            <w:tcMar>
              <w:top w:w="60" w:type="dxa"/>
              <w:bottom w:w="60" w:type="dxa"/>
              <w:left w:w="80" w:type="dxa"/>
              <w:right w:w="80" w:type="dxa"/>
            </w:tcMar>
          </w:tcPr>
          <w:p>
            <w:pPr>
              <w:spacing w:before="50" w:after="50" w:line="252" w:lineRule="auto"/>
            </w:pPr>
            <w:r/>
            <w:r>
              <w:rPr>
                <w:rFonts w:ascii="Times New Roman" w:hAnsi="Times New Roman"/>
                <w:sz w:val="20"/>
              </w:rPr>
              <w:t>$</w:t>
            </w:r>
          </w:p>
        </w:tc>
        <w:tc>
          <w:tcPr>
            <w:tcW w:type="dxa" w:w="851"/>
            <w:tcMar>
              <w:top w:w="60" w:type="dxa"/>
              <w:bottom w:w="60" w:type="dxa"/>
              <w:left w:w="80" w:type="dxa"/>
              <w:right w:w="80" w:type="dxa"/>
            </w:tcMar>
          </w:tcPr>
          <w:p>
            <w:pPr>
              <w:spacing w:before="50" w:after="50" w:line="252" w:lineRule="auto"/>
            </w:pPr>
            <w:r>
              <w:rPr>
                <w:rFonts w:ascii="Times New Roman" w:hAnsi="Times New Roman"/>
                <w:b w:val="0"/>
                <w:i w:val="0"/>
                <w:sz w:val="17"/>
              </w:rPr>
              <w:t>E</w:t>
            </w:r>
          </w:p>
        </w:tc>
        <w:tc>
          <w:tcPr>
            <w:tcW w:type="dxa" w:w="851"/>
            <w:tcMar>
              <w:top w:w="60" w:type="dxa"/>
              <w:bottom w:w="60" w:type="dxa"/>
              <w:left w:w="80" w:type="dxa"/>
              <w:right w:w="80" w:type="dxa"/>
            </w:tcMar>
          </w:tcPr>
          <w:p>
            <w:pPr>
              <w:spacing w:before="50" w:after="50" w:line="252" w:lineRule="auto"/>
            </w:pPr>
            <w:r/>
            <w:r>
              <w:rPr>
                <w:rFonts w:ascii="Times New Roman" w:hAnsi="Times New Roman"/>
                <w:sz w:val="20"/>
              </w:rPr>
              <w:t>$</w:t>
            </w:r>
          </w:p>
        </w:tc>
        <w:tc>
          <w:tcPr>
            <w:tcW w:type="dxa" w:w="851"/>
            <w:tcMar>
              <w:top w:w="60" w:type="dxa"/>
              <w:bottom w:w="60" w:type="dxa"/>
              <w:left w:w="80" w:type="dxa"/>
              <w:right w:w="80" w:type="dxa"/>
            </w:tcMar>
          </w:tcPr>
          <w:p>
            <w:pPr>
              <w:spacing w:before="50" w:after="50" w:line="252" w:lineRule="auto"/>
            </w:pPr>
            <w:r>
              <w:rPr>
                <w:rFonts w:ascii="Times New Roman" w:hAnsi="Times New Roman"/>
                <w:b/>
                <w:i w:val="0"/>
                <w:sz w:val="17"/>
              </w:rPr>
              <w:t>666</w:t>
            </w:r>
          </w:p>
        </w:tc>
        <w:tc>
          <w:tcPr>
            <w:tcW w:type="dxa" w:w="851"/>
            <w:tcMar>
              <w:top w:w="60" w:type="dxa"/>
              <w:bottom w:w="60" w:type="dxa"/>
              <w:left w:w="80" w:type="dxa"/>
              <w:right w:w="80" w:type="dxa"/>
            </w:tcMar>
          </w:tcPr>
          <w:p>
            <w:pPr>
              <w:spacing w:before="50" w:after="50" w:line="252" w:lineRule="auto"/>
            </w:pPr>
            <w:r>
              <w:rPr>
                <w:rFonts w:ascii="Times New Roman" w:hAnsi="Times New Roman"/>
                <w:b w:val="0"/>
                <w:i w:val="0"/>
                <w:sz w:val="17"/>
              </w:rPr>
              <w:t>—</w:t>
            </w:r>
          </w:p>
        </w:tc>
        <w:tc>
          <w:tcPr>
            <w:tcW w:type="dxa" w:w="851"/>
            <w:tcMar>
              <w:top w:w="60" w:type="dxa"/>
              <w:bottom w:w="60" w:type="dxa"/>
              <w:left w:w="80" w:type="dxa"/>
              <w:right w:w="80" w:type="dxa"/>
            </w:tcMar>
          </w:tcPr>
          <w:p>
            <w:pPr>
              <w:spacing w:before="50" w:after="50" w:line="252" w:lineRule="auto"/>
            </w:pPr>
            <w:r>
              <w:rPr>
                <w:rFonts w:ascii="Times New Roman" w:hAnsi="Times New Roman"/>
                <w:b w:val="0"/>
                <w:i w:val="0"/>
                <w:sz w:val="17"/>
              </w:rPr>
              <w:t>Verified mention, retweet, and reply interactions</w:t>
            </w:r>
          </w:p>
        </w:tc>
        <w:tc>
          <w:tcPr>
            <w:tcW w:type="dxa" w:w="851"/>
            <w:tcMar>
              <w:top w:w="60" w:type="dxa"/>
              <w:bottom w:w="60" w:type="dxa"/>
              <w:left w:w="80" w:type="dxa"/>
              <w:right w:w="80" w:type="dxa"/>
            </w:tcMar>
          </w:tcPr>
          <w:p>
            <w:pPr>
              <w:spacing w:before="50" w:after="50" w:line="252" w:lineRule="auto"/>
            </w:pPr>
          </w:p>
        </w:tc>
        <w:tc>
          <w:tcPr>
            <w:tcW w:type="dxa" w:w="851"/>
            <w:tcMar>
              <w:top w:w="60" w:type="dxa"/>
              <w:bottom w:w="60" w:type="dxa"/>
              <w:left w:w="80" w:type="dxa"/>
              <w:right w:w="80" w:type="dxa"/>
            </w:tcMar>
          </w:tcPr>
          <w:p>
            <w:pPr>
              <w:spacing w:before="50" w:after="50" w:line="252" w:lineRule="auto"/>
            </w:pPr>
          </w:p>
        </w:tc>
        <w:tc>
          <w:tcPr>
            <w:tcW w:type="dxa" w:w="851"/>
            <w:tcMar>
              <w:top w:w="60" w:type="dxa"/>
              <w:bottom w:w="60" w:type="dxa"/>
              <w:left w:w="80" w:type="dxa"/>
              <w:right w:w="80" w:type="dxa"/>
            </w:tcMar>
          </w:tcPr>
          <w:p>
            <w:pPr>
              <w:spacing w:before="50" w:after="50" w:line="252" w:lineRule="auto"/>
            </w:pPr>
          </w:p>
        </w:tc>
        <w:tc>
          <w:tcPr>
            <w:tcW w:type="dxa" w:w="851"/>
            <w:tcMar>
              <w:top w:w="60" w:type="dxa"/>
              <w:bottom w:w="60" w:type="dxa"/>
              <w:left w:w="80" w:type="dxa"/>
              <w:right w:w="80" w:type="dxa"/>
            </w:tcMar>
          </w:tcPr>
          <w:p>
            <w:pPr>
              <w:spacing w:before="50" w:after="50" w:line="252" w:lineRule="auto"/>
            </w:pPr>
          </w:p>
        </w:tc>
      </w:tr>
      <w:tr>
        <w:tc>
          <w:tcPr>
            <w:tcW w:type="dxa" w:w="851"/>
            <w:tcMar>
              <w:top w:w="60" w:type="dxa"/>
              <w:bottom w:w="60" w:type="dxa"/>
              <w:left w:w="80" w:type="dxa"/>
              <w:right w:w="80" w:type="dxa"/>
            </w:tcMar>
          </w:tcPr>
          <w:p>
            <w:pPr>
              <w:spacing w:before="50" w:after="50" w:line="252" w:lineRule="auto"/>
            </w:pPr>
            <w:r>
              <w:rPr>
                <w:rFonts w:ascii="Times New Roman" w:hAnsi="Times New Roman"/>
                <w:b/>
                <w:i w:val="0"/>
                <w:sz w:val="17"/>
              </w:rPr>
              <w:t>Graph Density</w:t>
            </w:r>
          </w:p>
        </w:tc>
        <w:tc>
          <w:tcPr>
            <w:tcW w:type="dxa" w:w="851"/>
            <w:tcMar>
              <w:top w:w="60" w:type="dxa"/>
              <w:bottom w:w="60" w:type="dxa"/>
              <w:left w:w="80" w:type="dxa"/>
              <w:right w:w="80" w:type="dxa"/>
            </w:tcMar>
          </w:tcPr>
          <w:p>
            <w:pPr>
              <w:spacing w:before="50" w:after="50" w:line="252" w:lineRule="auto"/>
            </w:pPr>
            <w:r/>
            <w:r>
              <w:rPr>
                <w:rFonts w:ascii="Times New Roman" w:hAnsi="Times New Roman"/>
                <w:sz w:val="20"/>
              </w:rPr>
              <w:t>$\rho = \frac{</w:t>
            </w:r>
          </w:p>
        </w:tc>
        <w:tc>
          <w:tcPr>
            <w:tcW w:type="dxa" w:w="851"/>
            <w:tcMar>
              <w:top w:w="60" w:type="dxa"/>
              <w:bottom w:w="60" w:type="dxa"/>
              <w:left w:w="80" w:type="dxa"/>
              <w:right w:w="80" w:type="dxa"/>
            </w:tcMar>
          </w:tcPr>
          <w:p>
            <w:pPr>
              <w:spacing w:before="50" w:after="50" w:line="252" w:lineRule="auto"/>
            </w:pPr>
            <w:r>
              <w:rPr>
                <w:rFonts w:ascii="Times New Roman" w:hAnsi="Times New Roman"/>
                <w:b w:val="0"/>
                <w:i w:val="0"/>
                <w:sz w:val="17"/>
              </w:rPr>
              <w:t>E</w:t>
            </w:r>
          </w:p>
        </w:tc>
        <w:tc>
          <w:tcPr>
            <w:tcW w:type="dxa" w:w="851"/>
            <w:tcMar>
              <w:top w:w="60" w:type="dxa"/>
              <w:bottom w:w="60" w:type="dxa"/>
              <w:left w:w="80" w:type="dxa"/>
              <w:right w:w="80" w:type="dxa"/>
            </w:tcMar>
          </w:tcPr>
          <w:p>
            <w:pPr>
              <w:spacing w:before="50" w:after="50" w:line="252" w:lineRule="auto"/>
            </w:pPr>
            <w:r>
              <w:rPr>
                <w:rFonts w:ascii="Times New Roman" w:hAnsi="Times New Roman"/>
                <w:b w:val="0"/>
                <w:i w:val="0"/>
                <w:sz w:val="17"/>
              </w:rPr>
              <w:t>}{</w:t>
            </w:r>
          </w:p>
        </w:tc>
        <w:tc>
          <w:tcPr>
            <w:tcW w:type="dxa" w:w="851"/>
            <w:tcMar>
              <w:top w:w="60" w:type="dxa"/>
              <w:bottom w:w="60" w:type="dxa"/>
              <w:left w:w="80" w:type="dxa"/>
              <w:right w:w="80" w:type="dxa"/>
            </w:tcMar>
          </w:tcPr>
          <w:p>
            <w:pPr>
              <w:spacing w:before="50" w:after="50" w:line="252" w:lineRule="auto"/>
            </w:pPr>
            <w:r>
              <w:rPr>
                <w:rFonts w:ascii="Times New Roman" w:hAnsi="Times New Roman"/>
                <w:b w:val="0"/>
                <w:i w:val="0"/>
                <w:sz w:val="17"/>
              </w:rPr>
              <w:t>V</w:t>
            </w:r>
          </w:p>
        </w:tc>
        <w:tc>
          <w:tcPr>
            <w:tcW w:type="dxa" w:w="851"/>
            <w:tcMar>
              <w:top w:w="60" w:type="dxa"/>
              <w:bottom w:w="60" w:type="dxa"/>
              <w:left w:w="80" w:type="dxa"/>
              <w:right w:w="80" w:type="dxa"/>
            </w:tcMar>
          </w:tcPr>
          <w:p>
            <w:pPr>
              <w:spacing w:before="50" w:after="50" w:line="252" w:lineRule="auto"/>
            </w:pPr>
            <w:r>
              <w:rPr>
                <w:rFonts w:ascii="Times New Roman" w:hAnsi="Times New Roman"/>
                <w:b w:val="0"/>
                <w:i w:val="0"/>
                <w:sz w:val="17"/>
              </w:rPr>
              <w:t>(</w:t>
            </w:r>
          </w:p>
        </w:tc>
        <w:tc>
          <w:tcPr>
            <w:tcW w:type="dxa" w:w="851"/>
            <w:tcMar>
              <w:top w:w="60" w:type="dxa"/>
              <w:bottom w:w="60" w:type="dxa"/>
              <w:left w:w="80" w:type="dxa"/>
              <w:right w:w="80" w:type="dxa"/>
            </w:tcMar>
          </w:tcPr>
          <w:p>
            <w:pPr>
              <w:spacing w:before="50" w:after="50" w:line="252" w:lineRule="auto"/>
            </w:pPr>
            <w:r>
              <w:rPr>
                <w:rFonts w:ascii="Times New Roman" w:hAnsi="Times New Roman"/>
                <w:b w:val="0"/>
                <w:i w:val="0"/>
                <w:sz w:val="17"/>
              </w:rPr>
              <w:t>V</w:t>
            </w:r>
          </w:p>
        </w:tc>
        <w:tc>
          <w:tcPr>
            <w:tcW w:type="dxa" w:w="851"/>
            <w:tcMar>
              <w:top w:w="60" w:type="dxa"/>
              <w:bottom w:w="60" w:type="dxa"/>
              <w:left w:w="80" w:type="dxa"/>
              <w:right w:w="80" w:type="dxa"/>
            </w:tcMar>
          </w:tcPr>
          <w:p>
            <w:pPr>
              <w:spacing w:before="50" w:after="50" w:line="252" w:lineRule="auto"/>
            </w:pPr>
            <w:r/>
            <w:r>
              <w:rPr>
                <w:rFonts w:ascii="Times New Roman" w:hAnsi="Times New Roman"/>
                <w:sz w:val="20"/>
              </w:rPr>
              <w:t>-1)}$</w:t>
            </w:r>
          </w:p>
        </w:tc>
        <w:tc>
          <w:tcPr>
            <w:tcW w:type="dxa" w:w="851"/>
            <w:tcMar>
              <w:top w:w="60" w:type="dxa"/>
              <w:bottom w:w="60" w:type="dxa"/>
              <w:left w:w="80" w:type="dxa"/>
              <w:right w:w="80" w:type="dxa"/>
            </w:tcMar>
          </w:tcPr>
          <w:p>
            <w:pPr>
              <w:spacing w:before="50" w:after="50" w:line="252" w:lineRule="auto"/>
            </w:pPr>
            <w:r>
              <w:rPr>
                <w:rFonts w:ascii="Times New Roman" w:hAnsi="Times New Roman"/>
                <w:b/>
                <w:i w:val="0"/>
                <w:sz w:val="17"/>
              </w:rPr>
              <w:t>0.000707</w:t>
            </w:r>
          </w:p>
        </w:tc>
        <w:tc>
          <w:tcPr>
            <w:tcW w:type="dxa" w:w="851"/>
            <w:tcMar>
              <w:top w:w="60" w:type="dxa"/>
              <w:bottom w:w="60" w:type="dxa"/>
              <w:left w:w="80" w:type="dxa"/>
              <w:right w:w="80" w:type="dxa"/>
            </w:tcMar>
          </w:tcPr>
          <w:p>
            <w:pPr>
              <w:spacing w:before="50" w:after="50" w:line="252" w:lineRule="auto"/>
            </w:pPr>
            <w:r/>
            <w:r>
              <w:rPr>
                <w:rFonts w:ascii="Times New Roman" w:hAnsi="Times New Roman"/>
                <w:sz w:val="20"/>
              </w:rPr>
              <w:t>$\rho \approx 0.01 - 0.05$ (Dense)</w:t>
            </w:r>
          </w:p>
        </w:tc>
        <w:tc>
          <w:tcPr>
            <w:tcW w:type="dxa" w:w="851"/>
            <w:tcMar>
              <w:top w:w="60" w:type="dxa"/>
              <w:bottom w:w="60" w:type="dxa"/>
              <w:left w:w="80" w:type="dxa"/>
              <w:right w:w="80" w:type="dxa"/>
            </w:tcMar>
          </w:tcPr>
          <w:p>
            <w:pPr>
              <w:spacing w:before="50" w:after="50" w:line="252" w:lineRule="auto"/>
            </w:pPr>
            <w:r>
              <w:rPr>
                <w:rFonts w:ascii="Times New Roman" w:hAnsi="Times New Roman"/>
                <w:b w:val="0"/>
                <w:i w:val="0"/>
                <w:sz w:val="17"/>
              </w:rPr>
              <w:t>Extreme network sparsity; minimal communicative interconnectivity</w:t>
            </w:r>
          </w:p>
        </w:tc>
      </w:tr>
      <w:tr>
        <w:tc>
          <w:tcPr>
            <w:tcW w:type="dxa" w:w="851"/>
            <w:tcMar>
              <w:top w:w="60" w:type="dxa"/>
              <w:bottom w:w="60" w:type="dxa"/>
              <w:left w:w="80" w:type="dxa"/>
              <w:right w:w="80" w:type="dxa"/>
            </w:tcMar>
          </w:tcPr>
          <w:p>
            <w:pPr>
              <w:spacing w:before="50" w:after="50" w:line="252" w:lineRule="auto"/>
            </w:pPr>
            <w:r>
              <w:rPr>
                <w:rFonts w:ascii="Times New Roman" w:hAnsi="Times New Roman"/>
                <w:b/>
                <w:i w:val="0"/>
                <w:sz w:val="17"/>
              </w:rPr>
              <w:t>Dyadic Reciprocity</w:t>
            </w:r>
          </w:p>
        </w:tc>
        <w:tc>
          <w:tcPr>
            <w:tcW w:type="dxa" w:w="851"/>
            <w:tcMar>
              <w:top w:w="60" w:type="dxa"/>
              <w:bottom w:w="60" w:type="dxa"/>
              <w:left w:w="80" w:type="dxa"/>
              <w:right w:w="80" w:type="dxa"/>
            </w:tcMar>
          </w:tcPr>
          <w:p>
            <w:pPr>
              <w:spacing w:before="50" w:after="50" w:line="252" w:lineRule="auto"/>
            </w:pPr>
            <w:r/>
            <w:r>
              <w:rPr>
                <w:rFonts w:ascii="Times New Roman" w:hAnsi="Times New Roman"/>
                <w:sz w:val="20"/>
              </w:rPr>
              <w:t>$r = \frac{</w:t>
            </w:r>
          </w:p>
        </w:tc>
        <w:tc>
          <w:tcPr>
            <w:tcW w:type="dxa" w:w="851"/>
            <w:tcMar>
              <w:top w:w="60" w:type="dxa"/>
              <w:bottom w:w="60" w:type="dxa"/>
              <w:left w:w="80" w:type="dxa"/>
              <w:right w:w="80" w:type="dxa"/>
            </w:tcMar>
          </w:tcPr>
          <w:p>
            <w:pPr>
              <w:spacing w:before="50" w:after="50" w:line="252" w:lineRule="auto"/>
            </w:pPr>
            <w:r>
              <w:rPr>
                <w:rFonts w:ascii="Times New Roman" w:hAnsi="Times New Roman"/>
                <w:b w:val="0"/>
                <w:i w:val="0"/>
                <w:sz w:val="17"/>
              </w:rPr>
              <w:t>E \cap E^T</w:t>
            </w:r>
          </w:p>
        </w:tc>
        <w:tc>
          <w:tcPr>
            <w:tcW w:type="dxa" w:w="851"/>
            <w:tcMar>
              <w:top w:w="60" w:type="dxa"/>
              <w:bottom w:w="60" w:type="dxa"/>
              <w:left w:w="80" w:type="dxa"/>
              <w:right w:w="80" w:type="dxa"/>
            </w:tcMar>
          </w:tcPr>
          <w:p>
            <w:pPr>
              <w:spacing w:before="50" w:after="50" w:line="252" w:lineRule="auto"/>
            </w:pPr>
            <w:r>
              <w:rPr>
                <w:rFonts w:ascii="Times New Roman" w:hAnsi="Times New Roman"/>
                <w:b w:val="0"/>
                <w:i w:val="0"/>
                <w:sz w:val="17"/>
              </w:rPr>
              <w:t>}{</w:t>
            </w:r>
          </w:p>
        </w:tc>
        <w:tc>
          <w:tcPr>
            <w:tcW w:type="dxa" w:w="851"/>
            <w:tcMar>
              <w:top w:w="60" w:type="dxa"/>
              <w:bottom w:w="60" w:type="dxa"/>
              <w:left w:w="80" w:type="dxa"/>
              <w:right w:w="80" w:type="dxa"/>
            </w:tcMar>
          </w:tcPr>
          <w:p>
            <w:pPr>
              <w:spacing w:before="50" w:after="50" w:line="252" w:lineRule="auto"/>
            </w:pPr>
            <w:r>
              <w:rPr>
                <w:rFonts w:ascii="Times New Roman" w:hAnsi="Times New Roman"/>
                <w:b w:val="0"/>
                <w:i w:val="0"/>
                <w:sz w:val="17"/>
              </w:rPr>
              <w:t>E</w:t>
            </w:r>
          </w:p>
        </w:tc>
        <w:tc>
          <w:tcPr>
            <w:tcW w:type="dxa" w:w="851"/>
            <w:tcMar>
              <w:top w:w="60" w:type="dxa"/>
              <w:bottom w:w="60" w:type="dxa"/>
              <w:left w:w="80" w:type="dxa"/>
              <w:right w:w="80" w:type="dxa"/>
            </w:tcMar>
          </w:tcPr>
          <w:p>
            <w:pPr>
              <w:spacing w:before="50" w:after="50" w:line="252" w:lineRule="auto"/>
            </w:pPr>
            <w:r/>
            <w:r>
              <w:rPr>
                <w:rFonts w:ascii="Times New Roman" w:hAnsi="Times New Roman"/>
                <w:sz w:val="20"/>
              </w:rPr>
              <w:t>}$</w:t>
            </w:r>
          </w:p>
        </w:tc>
        <w:tc>
          <w:tcPr>
            <w:tcW w:type="dxa" w:w="851"/>
            <w:tcMar>
              <w:top w:w="60" w:type="dxa"/>
              <w:bottom w:w="60" w:type="dxa"/>
              <w:left w:w="80" w:type="dxa"/>
              <w:right w:w="80" w:type="dxa"/>
            </w:tcMar>
          </w:tcPr>
          <w:p>
            <w:pPr>
              <w:spacing w:before="50" w:after="50" w:line="252" w:lineRule="auto"/>
            </w:pPr>
            <w:r>
              <w:rPr>
                <w:rFonts w:ascii="Times New Roman" w:hAnsi="Times New Roman"/>
                <w:b/>
                <w:i w:val="0"/>
                <w:sz w:val="17"/>
              </w:rPr>
              <w:t>1.20%</w:t>
            </w:r>
            <w:r>
              <w:rPr>
                <w:rFonts w:ascii="Times New Roman" w:hAnsi="Times New Roman"/>
                <w:b w:val="0"/>
                <w:i w:val="0"/>
                <w:sz w:val="17"/>
              </w:rPr>
              <w:t xml:space="preserve"> (0.0120)</w:t>
            </w:r>
          </w:p>
        </w:tc>
        <w:tc>
          <w:tcPr>
            <w:tcW w:type="dxa" w:w="851"/>
            <w:tcMar>
              <w:top w:w="60" w:type="dxa"/>
              <w:bottom w:w="60" w:type="dxa"/>
              <w:left w:w="80" w:type="dxa"/>
              <w:right w:w="80" w:type="dxa"/>
            </w:tcMar>
          </w:tcPr>
          <w:p>
            <w:pPr>
              <w:spacing w:before="50" w:after="50" w:line="252" w:lineRule="auto"/>
            </w:pPr>
            <w:r/>
            <w:r>
              <w:rPr>
                <w:rFonts w:ascii="Times New Roman" w:hAnsi="Times New Roman"/>
                <w:sz w:val="20"/>
              </w:rPr>
              <w:t>$r &gt; 0.20$ (Conversational)</w:t>
            </w:r>
          </w:p>
        </w:tc>
        <w:tc>
          <w:tcPr>
            <w:tcW w:type="dxa" w:w="851"/>
            <w:tcMar>
              <w:top w:w="60" w:type="dxa"/>
              <w:bottom w:w="60" w:type="dxa"/>
              <w:left w:w="80" w:type="dxa"/>
              <w:right w:w="80" w:type="dxa"/>
            </w:tcMar>
          </w:tcPr>
          <w:p>
            <w:pPr>
              <w:spacing w:before="50" w:after="50" w:line="252" w:lineRule="auto"/>
            </w:pPr>
            <w:r>
              <w:rPr>
                <w:rFonts w:ascii="Times New Roman" w:hAnsi="Times New Roman"/>
                <w:b w:val="0"/>
                <w:i w:val="0"/>
                <w:sz w:val="17"/>
              </w:rPr>
              <w:t>Almost zero conversational exchange; pervasive unidirectional broadcast</w:t>
            </w:r>
          </w:p>
        </w:tc>
        <w:tc>
          <w:tcPr>
            <w:tcW w:type="dxa" w:w="851"/>
            <w:tcMar>
              <w:top w:w="60" w:type="dxa"/>
              <w:bottom w:w="60" w:type="dxa"/>
              <w:left w:w="80" w:type="dxa"/>
              <w:right w:w="80" w:type="dxa"/>
            </w:tcMar>
          </w:tcPr>
          <w:p>
            <w:pPr>
              <w:spacing w:before="50" w:after="50" w:line="252" w:lineRule="auto"/>
            </w:pPr>
          </w:p>
        </w:tc>
        <w:tc>
          <w:tcPr>
            <w:tcW w:type="dxa" w:w="851"/>
            <w:tcMar>
              <w:top w:w="60" w:type="dxa"/>
              <w:bottom w:w="60" w:type="dxa"/>
              <w:left w:w="80" w:type="dxa"/>
              <w:right w:w="80" w:type="dxa"/>
            </w:tcMar>
          </w:tcPr>
          <w:p>
            <w:pPr>
              <w:spacing w:before="50" w:after="50" w:line="252" w:lineRule="auto"/>
            </w:pPr>
          </w:p>
        </w:tc>
      </w:tr>
      <w:tr>
        <w:tc>
          <w:tcPr>
            <w:tcW w:type="dxa" w:w="851"/>
            <w:tcMar>
              <w:top w:w="60" w:type="dxa"/>
              <w:bottom w:w="60" w:type="dxa"/>
              <w:left w:w="80" w:type="dxa"/>
              <w:right w:w="80" w:type="dxa"/>
            </w:tcMar>
          </w:tcPr>
          <w:p>
            <w:pPr>
              <w:spacing w:before="50" w:after="50" w:line="252" w:lineRule="auto"/>
            </w:pPr>
            <w:r>
              <w:rPr>
                <w:rFonts w:ascii="Times New Roman" w:hAnsi="Times New Roman"/>
                <w:b/>
                <w:i w:val="0"/>
                <w:sz w:val="17"/>
              </w:rPr>
              <w:t>Weakly Connected Components</w:t>
            </w:r>
          </w:p>
        </w:tc>
        <w:tc>
          <w:tcPr>
            <w:tcW w:type="dxa" w:w="851"/>
            <w:tcMar>
              <w:top w:w="60" w:type="dxa"/>
              <w:bottom w:w="60" w:type="dxa"/>
              <w:left w:w="80" w:type="dxa"/>
              <w:right w:w="80" w:type="dxa"/>
            </w:tcMar>
          </w:tcPr>
          <w:p>
            <w:pPr>
              <w:spacing w:before="50" w:after="50" w:line="252" w:lineRule="auto"/>
            </w:pPr>
            <w:r/>
            <w:r>
              <w:rPr>
                <w:rFonts w:ascii="Times New Roman" w:hAnsi="Times New Roman"/>
                <w:sz w:val="20"/>
              </w:rPr>
              <w:t>$N_{\text{WCC}}$</w:t>
            </w:r>
          </w:p>
        </w:tc>
        <w:tc>
          <w:tcPr>
            <w:tcW w:type="dxa" w:w="851"/>
            <w:tcMar>
              <w:top w:w="60" w:type="dxa"/>
              <w:bottom w:w="60" w:type="dxa"/>
              <w:left w:w="80" w:type="dxa"/>
              <w:right w:w="80" w:type="dxa"/>
            </w:tcMar>
          </w:tcPr>
          <w:p>
            <w:pPr>
              <w:spacing w:before="50" w:after="50" w:line="252" w:lineRule="auto"/>
            </w:pPr>
            <w:r>
              <w:rPr>
                <w:rFonts w:ascii="Times New Roman" w:hAnsi="Times New Roman"/>
                <w:b/>
                <w:i w:val="0"/>
                <w:sz w:val="17"/>
              </w:rPr>
              <w:t>341</w:t>
            </w:r>
          </w:p>
        </w:tc>
        <w:tc>
          <w:tcPr>
            <w:tcW w:type="dxa" w:w="851"/>
            <w:tcMar>
              <w:top w:w="60" w:type="dxa"/>
              <w:bottom w:w="60" w:type="dxa"/>
              <w:left w:w="80" w:type="dxa"/>
              <w:right w:w="80" w:type="dxa"/>
            </w:tcMar>
          </w:tcPr>
          <w:p>
            <w:pPr>
              <w:spacing w:before="50" w:after="50" w:line="252" w:lineRule="auto"/>
            </w:pPr>
            <w:r/>
            <w:r>
              <w:rPr>
                <w:rFonts w:ascii="Times New Roman" w:hAnsi="Times New Roman"/>
                <w:sz w:val="20"/>
              </w:rPr>
              <w:t>$N_{\text{WCC}} \approx 1 - 5$ (Integrated)</w:t>
            </w:r>
          </w:p>
        </w:tc>
        <w:tc>
          <w:tcPr>
            <w:tcW w:type="dxa" w:w="851"/>
            <w:tcMar>
              <w:top w:w="60" w:type="dxa"/>
              <w:bottom w:w="60" w:type="dxa"/>
              <w:left w:w="80" w:type="dxa"/>
              <w:right w:w="80" w:type="dxa"/>
            </w:tcMar>
          </w:tcPr>
          <w:p>
            <w:pPr>
              <w:spacing w:before="50" w:after="50" w:line="252" w:lineRule="auto"/>
            </w:pPr>
            <w:r>
              <w:rPr>
                <w:rFonts w:ascii="Times New Roman" w:hAnsi="Times New Roman"/>
                <w:b w:val="0"/>
                <w:i w:val="0"/>
                <w:sz w:val="17"/>
              </w:rPr>
              <w:t>Hyper-fragmented topology; 341 isolated conversational islands</w:t>
            </w:r>
          </w:p>
        </w:tc>
        <w:tc>
          <w:tcPr>
            <w:tcW w:type="dxa" w:w="851"/>
            <w:tcMar>
              <w:top w:w="60" w:type="dxa"/>
              <w:bottom w:w="60" w:type="dxa"/>
              <w:left w:w="80" w:type="dxa"/>
              <w:right w:w="80" w:type="dxa"/>
            </w:tcMar>
          </w:tcPr>
          <w:p>
            <w:pPr>
              <w:spacing w:before="50" w:after="50" w:line="252" w:lineRule="auto"/>
            </w:pPr>
          </w:p>
        </w:tc>
        <w:tc>
          <w:tcPr>
            <w:tcW w:type="dxa" w:w="851"/>
            <w:tcMar>
              <w:top w:w="60" w:type="dxa"/>
              <w:bottom w:w="60" w:type="dxa"/>
              <w:left w:w="80" w:type="dxa"/>
              <w:right w:w="80" w:type="dxa"/>
            </w:tcMar>
          </w:tcPr>
          <w:p>
            <w:pPr>
              <w:spacing w:before="50" w:after="50" w:line="252" w:lineRule="auto"/>
            </w:pPr>
          </w:p>
        </w:tc>
        <w:tc>
          <w:tcPr>
            <w:tcW w:type="dxa" w:w="851"/>
            <w:tcMar>
              <w:top w:w="60" w:type="dxa"/>
              <w:bottom w:w="60" w:type="dxa"/>
              <w:left w:w="80" w:type="dxa"/>
              <w:right w:w="80" w:type="dxa"/>
            </w:tcMar>
          </w:tcPr>
          <w:p>
            <w:pPr>
              <w:spacing w:before="50" w:after="50" w:line="252" w:lineRule="auto"/>
            </w:pPr>
          </w:p>
        </w:tc>
        <w:tc>
          <w:tcPr>
            <w:tcW w:type="dxa" w:w="851"/>
            <w:tcMar>
              <w:top w:w="60" w:type="dxa"/>
              <w:bottom w:w="60" w:type="dxa"/>
              <w:left w:w="80" w:type="dxa"/>
              <w:right w:w="80" w:type="dxa"/>
            </w:tcMar>
          </w:tcPr>
          <w:p>
            <w:pPr>
              <w:spacing w:before="50" w:after="50" w:line="252" w:lineRule="auto"/>
            </w:pPr>
          </w:p>
        </w:tc>
        <w:tc>
          <w:tcPr>
            <w:tcW w:type="dxa" w:w="851"/>
            <w:tcMar>
              <w:top w:w="60" w:type="dxa"/>
              <w:bottom w:w="60" w:type="dxa"/>
              <w:left w:w="80" w:type="dxa"/>
              <w:right w:w="80" w:type="dxa"/>
            </w:tcMar>
          </w:tcPr>
          <w:p>
            <w:pPr>
              <w:spacing w:before="50" w:after="50" w:line="252" w:lineRule="auto"/>
            </w:pPr>
          </w:p>
        </w:tc>
        <w:tc>
          <w:tcPr>
            <w:tcW w:type="dxa" w:w="851"/>
            <w:tcMar>
              <w:top w:w="60" w:type="dxa"/>
              <w:bottom w:w="60" w:type="dxa"/>
              <w:left w:w="80" w:type="dxa"/>
              <w:right w:w="80" w:type="dxa"/>
            </w:tcMar>
          </w:tcPr>
          <w:p>
            <w:pPr>
              <w:spacing w:before="50" w:after="50" w:line="252" w:lineRule="auto"/>
            </w:pPr>
          </w:p>
        </w:tc>
      </w:tr>
      <w:tr>
        <w:tc>
          <w:tcPr>
            <w:tcW w:type="dxa" w:w="851"/>
            <w:tcMar>
              <w:top w:w="60" w:type="dxa"/>
              <w:bottom w:w="60" w:type="dxa"/>
              <w:left w:w="80" w:type="dxa"/>
              <w:right w:w="80" w:type="dxa"/>
            </w:tcMar>
          </w:tcPr>
          <w:p>
            <w:pPr>
              <w:spacing w:before="50" w:after="50" w:line="252" w:lineRule="auto"/>
            </w:pPr>
            <w:r>
              <w:rPr>
                <w:rFonts w:ascii="Times New Roman" w:hAnsi="Times New Roman"/>
                <w:b/>
                <w:i w:val="0"/>
                <w:sz w:val="17"/>
              </w:rPr>
              <w:t>Giant Component Ratio</w:t>
            </w:r>
          </w:p>
        </w:tc>
        <w:tc>
          <w:tcPr>
            <w:tcW w:type="dxa" w:w="851"/>
            <w:tcMar>
              <w:top w:w="60" w:type="dxa"/>
              <w:bottom w:w="60" w:type="dxa"/>
              <w:left w:w="80" w:type="dxa"/>
              <w:right w:w="80" w:type="dxa"/>
            </w:tcMar>
          </w:tcPr>
          <w:p>
            <w:pPr>
              <w:spacing w:before="50" w:after="50" w:line="252" w:lineRule="auto"/>
            </w:pPr>
            <w:r/>
            <w:r>
              <w:rPr>
                <w:rFonts w:ascii="Times New Roman" w:hAnsi="Times New Roman"/>
                <w:sz w:val="20"/>
              </w:rPr>
              <w:t>$\frac{</w:t>
            </w:r>
          </w:p>
        </w:tc>
        <w:tc>
          <w:tcPr>
            <w:tcW w:type="dxa" w:w="851"/>
            <w:tcMar>
              <w:top w:w="60" w:type="dxa"/>
              <w:bottom w:w="60" w:type="dxa"/>
              <w:left w:w="80" w:type="dxa"/>
              <w:right w:w="80" w:type="dxa"/>
            </w:tcMar>
          </w:tcPr>
          <w:p>
            <w:pPr>
              <w:spacing w:before="50" w:after="50" w:line="252" w:lineRule="auto"/>
            </w:pPr>
            <w:r>
              <w:rPr>
                <w:rFonts w:ascii="Times New Roman" w:hAnsi="Times New Roman"/>
                <w:b w:val="0"/>
                <w:i w:val="0"/>
                <w:sz w:val="17"/>
              </w:rPr>
              <w:t>V_{\text{giant}}</w:t>
            </w:r>
          </w:p>
        </w:tc>
        <w:tc>
          <w:tcPr>
            <w:tcW w:type="dxa" w:w="851"/>
            <w:tcMar>
              <w:top w:w="60" w:type="dxa"/>
              <w:bottom w:w="60" w:type="dxa"/>
              <w:left w:w="80" w:type="dxa"/>
              <w:right w:w="80" w:type="dxa"/>
            </w:tcMar>
          </w:tcPr>
          <w:p>
            <w:pPr>
              <w:spacing w:before="50" w:after="50" w:line="252" w:lineRule="auto"/>
            </w:pPr>
            <w:r>
              <w:rPr>
                <w:rFonts w:ascii="Times New Roman" w:hAnsi="Times New Roman"/>
                <w:b w:val="0"/>
                <w:i w:val="0"/>
                <w:sz w:val="17"/>
              </w:rPr>
              <w:t>}{</w:t>
            </w:r>
          </w:p>
        </w:tc>
        <w:tc>
          <w:tcPr>
            <w:tcW w:type="dxa" w:w="851"/>
            <w:tcMar>
              <w:top w:w="60" w:type="dxa"/>
              <w:bottom w:w="60" w:type="dxa"/>
              <w:left w:w="80" w:type="dxa"/>
              <w:right w:w="80" w:type="dxa"/>
            </w:tcMar>
          </w:tcPr>
          <w:p>
            <w:pPr>
              <w:spacing w:before="50" w:after="50" w:line="252" w:lineRule="auto"/>
            </w:pPr>
            <w:r>
              <w:rPr>
                <w:rFonts w:ascii="Times New Roman" w:hAnsi="Times New Roman"/>
                <w:b w:val="0"/>
                <w:i w:val="0"/>
                <w:sz w:val="17"/>
              </w:rPr>
              <w:t>V</w:t>
            </w:r>
          </w:p>
        </w:tc>
        <w:tc>
          <w:tcPr>
            <w:tcW w:type="dxa" w:w="851"/>
            <w:tcMar>
              <w:top w:w="60" w:type="dxa"/>
              <w:bottom w:w="60" w:type="dxa"/>
              <w:left w:w="80" w:type="dxa"/>
              <w:right w:w="80" w:type="dxa"/>
            </w:tcMar>
          </w:tcPr>
          <w:p>
            <w:pPr>
              <w:spacing w:before="50" w:after="50" w:line="252" w:lineRule="auto"/>
            </w:pPr>
            <w:r/>
            <w:r>
              <w:rPr>
                <w:rFonts w:ascii="Times New Roman" w:hAnsi="Times New Roman"/>
                <w:sz w:val="20"/>
              </w:rPr>
              <w:t>}$</w:t>
            </w:r>
          </w:p>
        </w:tc>
        <w:tc>
          <w:tcPr>
            <w:tcW w:type="dxa" w:w="851"/>
            <w:tcMar>
              <w:top w:w="60" w:type="dxa"/>
              <w:bottom w:w="60" w:type="dxa"/>
              <w:left w:w="80" w:type="dxa"/>
              <w:right w:w="80" w:type="dxa"/>
            </w:tcMar>
          </w:tcPr>
          <w:p>
            <w:pPr>
              <w:spacing w:before="50" w:after="50" w:line="252" w:lineRule="auto"/>
            </w:pPr>
            <w:r>
              <w:rPr>
                <w:rFonts w:ascii="Times New Roman" w:hAnsi="Times New Roman"/>
                <w:b/>
                <w:i w:val="0"/>
                <w:sz w:val="17"/>
              </w:rPr>
              <w:t>9.17%</w:t>
            </w:r>
            <w:r>
              <w:rPr>
                <w:rFonts w:ascii="Times New Roman" w:hAnsi="Times New Roman"/>
                <w:b w:val="0"/>
                <w:i w:val="0"/>
                <w:sz w:val="17"/>
              </w:rPr>
              <w:t xml:space="preserve"> (89 nodes)</w:t>
            </w:r>
          </w:p>
        </w:tc>
        <w:tc>
          <w:tcPr>
            <w:tcW w:type="dxa" w:w="851"/>
            <w:tcMar>
              <w:top w:w="60" w:type="dxa"/>
              <w:bottom w:w="60" w:type="dxa"/>
              <w:left w:w="80" w:type="dxa"/>
              <w:right w:w="80" w:type="dxa"/>
            </w:tcMar>
          </w:tcPr>
          <w:p>
            <w:pPr>
              <w:spacing w:before="50" w:after="50" w:line="252" w:lineRule="auto"/>
            </w:pPr>
            <w:r/>
            <w:r>
              <w:rPr>
                <w:rFonts w:ascii="Times New Roman" w:hAnsi="Times New Roman"/>
                <w:sz w:val="20"/>
              </w:rPr>
              <w:t>$&gt; 80\%$ (Standard Social)</w:t>
            </w:r>
          </w:p>
        </w:tc>
        <w:tc>
          <w:tcPr>
            <w:tcW w:type="dxa" w:w="851"/>
            <w:tcMar>
              <w:top w:w="60" w:type="dxa"/>
              <w:bottom w:w="60" w:type="dxa"/>
              <w:left w:w="80" w:type="dxa"/>
              <w:right w:w="80" w:type="dxa"/>
            </w:tcMar>
          </w:tcPr>
          <w:p>
            <w:pPr>
              <w:spacing w:before="50" w:after="50" w:line="252" w:lineRule="auto"/>
            </w:pPr>
            <w:r>
              <w:rPr>
                <w:rFonts w:ascii="Times New Roman" w:hAnsi="Times New Roman"/>
                <w:b w:val="0"/>
                <w:i w:val="0"/>
                <w:sz w:val="17"/>
              </w:rPr>
              <w:t>Absence of a dominant communicative backbone</w:t>
            </w:r>
          </w:p>
        </w:tc>
        <w:tc>
          <w:tcPr>
            <w:tcW w:type="dxa" w:w="851"/>
            <w:tcMar>
              <w:top w:w="60" w:type="dxa"/>
              <w:bottom w:w="60" w:type="dxa"/>
              <w:left w:w="80" w:type="dxa"/>
              <w:right w:w="80" w:type="dxa"/>
            </w:tcMar>
          </w:tcPr>
          <w:p>
            <w:pPr>
              <w:spacing w:before="50" w:after="50" w:line="252" w:lineRule="auto"/>
            </w:pPr>
          </w:p>
        </w:tc>
        <w:tc>
          <w:tcPr>
            <w:tcW w:type="dxa" w:w="851"/>
            <w:tcMar>
              <w:top w:w="60" w:type="dxa"/>
              <w:bottom w:w="60" w:type="dxa"/>
              <w:left w:w="80" w:type="dxa"/>
              <w:right w:w="80" w:type="dxa"/>
            </w:tcMar>
          </w:tcPr>
          <w:p>
            <w:pPr>
              <w:spacing w:before="50" w:after="50" w:line="252" w:lineRule="auto"/>
            </w:pPr>
          </w:p>
        </w:tc>
      </w:tr>
      <w:tr>
        <w:tc>
          <w:tcPr>
            <w:tcW w:type="dxa" w:w="851"/>
            <w:tcMar>
              <w:top w:w="60" w:type="dxa"/>
              <w:bottom w:w="60" w:type="dxa"/>
              <w:left w:w="80" w:type="dxa"/>
              <w:right w:w="80" w:type="dxa"/>
            </w:tcMar>
          </w:tcPr>
          <w:p>
            <w:pPr>
              <w:spacing w:before="50" w:after="50" w:line="252" w:lineRule="auto"/>
            </w:pPr>
            <w:r>
              <w:rPr>
                <w:rFonts w:ascii="Times New Roman" w:hAnsi="Times New Roman"/>
                <w:b/>
                <w:i w:val="0"/>
                <w:sz w:val="17"/>
              </w:rPr>
              <w:t>Louvain Modularity</w:t>
            </w:r>
          </w:p>
        </w:tc>
        <w:tc>
          <w:tcPr>
            <w:tcW w:type="dxa" w:w="851"/>
            <w:tcMar>
              <w:top w:w="60" w:type="dxa"/>
              <w:bottom w:w="60" w:type="dxa"/>
              <w:left w:w="80" w:type="dxa"/>
              <w:right w:w="80" w:type="dxa"/>
            </w:tcMar>
          </w:tcPr>
          <w:p>
            <w:pPr>
              <w:spacing w:before="50" w:after="50" w:line="252" w:lineRule="auto"/>
            </w:pPr>
            <w:r/>
            <w:r>
              <w:rPr>
                <w:rFonts w:ascii="Times New Roman" w:hAnsi="Times New Roman"/>
                <w:sz w:val="20"/>
              </w:rPr>
              <w:t>Q</w:t>
            </w:r>
          </w:p>
        </w:tc>
        <w:tc>
          <w:tcPr>
            <w:tcW w:type="dxa" w:w="851"/>
            <w:tcMar>
              <w:top w:w="60" w:type="dxa"/>
              <w:bottom w:w="60" w:type="dxa"/>
              <w:left w:w="80" w:type="dxa"/>
              <w:right w:w="80" w:type="dxa"/>
            </w:tcMar>
          </w:tcPr>
          <w:p>
            <w:pPr>
              <w:spacing w:before="50" w:after="50" w:line="252" w:lineRule="auto"/>
            </w:pPr>
            <w:r>
              <w:rPr>
                <w:rFonts w:ascii="Times New Roman" w:hAnsi="Times New Roman"/>
                <w:b/>
                <w:i w:val="0"/>
                <w:sz w:val="17"/>
              </w:rPr>
              <w:t>0.9837</w:t>
            </w:r>
          </w:p>
        </w:tc>
        <w:tc>
          <w:tcPr>
            <w:tcW w:type="dxa" w:w="851"/>
            <w:tcMar>
              <w:top w:w="60" w:type="dxa"/>
              <w:bottom w:w="60" w:type="dxa"/>
              <w:left w:w="80" w:type="dxa"/>
              <w:right w:w="80" w:type="dxa"/>
            </w:tcMar>
          </w:tcPr>
          <w:p>
            <w:pPr>
              <w:spacing w:before="50" w:after="50" w:line="252" w:lineRule="auto"/>
            </w:pPr>
            <w:r/>
            <w:r>
              <w:rPr>
                <w:rFonts w:ascii="Times New Roman" w:hAnsi="Times New Roman"/>
                <w:sz w:val="20"/>
              </w:rPr>
              <w:t>$Q &gt; 0.40$ (Fragmented)</w:t>
            </w:r>
          </w:p>
        </w:tc>
        <w:tc>
          <w:tcPr>
            <w:tcW w:type="dxa" w:w="851"/>
            <w:tcMar>
              <w:top w:w="60" w:type="dxa"/>
              <w:bottom w:w="60" w:type="dxa"/>
              <w:left w:w="80" w:type="dxa"/>
              <w:right w:w="80" w:type="dxa"/>
            </w:tcMar>
          </w:tcPr>
          <w:p>
            <w:pPr>
              <w:spacing w:before="50" w:after="50" w:line="252" w:lineRule="auto"/>
            </w:pPr>
            <w:r>
              <w:rPr>
                <w:rFonts w:ascii="Times New Roman" w:hAnsi="Times New Roman"/>
                <w:b w:val="0"/>
                <w:i w:val="0"/>
                <w:sz w:val="17"/>
              </w:rPr>
              <w:t>Extreme community segregation; near-total isolation among clusters</w:t>
            </w:r>
          </w:p>
        </w:tc>
        <w:tc>
          <w:tcPr>
            <w:tcW w:type="dxa" w:w="851"/>
            <w:tcMar>
              <w:top w:w="60" w:type="dxa"/>
              <w:bottom w:w="60" w:type="dxa"/>
              <w:left w:w="80" w:type="dxa"/>
              <w:right w:w="80" w:type="dxa"/>
            </w:tcMar>
          </w:tcPr>
          <w:p>
            <w:pPr>
              <w:spacing w:before="50" w:after="50" w:line="252" w:lineRule="auto"/>
            </w:pPr>
          </w:p>
        </w:tc>
        <w:tc>
          <w:tcPr>
            <w:tcW w:type="dxa" w:w="851"/>
            <w:tcMar>
              <w:top w:w="60" w:type="dxa"/>
              <w:bottom w:w="60" w:type="dxa"/>
              <w:left w:w="80" w:type="dxa"/>
              <w:right w:w="80" w:type="dxa"/>
            </w:tcMar>
          </w:tcPr>
          <w:p>
            <w:pPr>
              <w:spacing w:before="50" w:after="50" w:line="252" w:lineRule="auto"/>
            </w:pPr>
          </w:p>
        </w:tc>
        <w:tc>
          <w:tcPr>
            <w:tcW w:type="dxa" w:w="851"/>
            <w:tcMar>
              <w:top w:w="60" w:type="dxa"/>
              <w:bottom w:w="60" w:type="dxa"/>
              <w:left w:w="80" w:type="dxa"/>
              <w:right w:w="80" w:type="dxa"/>
            </w:tcMar>
          </w:tcPr>
          <w:p>
            <w:pPr>
              <w:spacing w:before="50" w:after="50" w:line="252" w:lineRule="auto"/>
            </w:pPr>
          </w:p>
        </w:tc>
        <w:tc>
          <w:tcPr>
            <w:tcW w:type="dxa" w:w="851"/>
            <w:tcMar>
              <w:top w:w="60" w:type="dxa"/>
              <w:bottom w:w="60" w:type="dxa"/>
              <w:left w:w="80" w:type="dxa"/>
              <w:right w:w="80" w:type="dxa"/>
            </w:tcMar>
          </w:tcPr>
          <w:p>
            <w:pPr>
              <w:spacing w:before="50" w:after="50" w:line="252" w:lineRule="auto"/>
            </w:pPr>
          </w:p>
        </w:tc>
        <w:tc>
          <w:tcPr>
            <w:tcW w:type="dxa" w:w="851"/>
            <w:tcMar>
              <w:top w:w="60" w:type="dxa"/>
              <w:bottom w:w="60" w:type="dxa"/>
              <w:left w:w="80" w:type="dxa"/>
              <w:right w:w="80" w:type="dxa"/>
            </w:tcMar>
          </w:tcPr>
          <w:p>
            <w:pPr>
              <w:spacing w:before="50" w:after="50" w:line="252" w:lineRule="auto"/>
            </w:pPr>
          </w:p>
        </w:tc>
        <w:tc>
          <w:tcPr>
            <w:tcW w:type="dxa" w:w="851"/>
            <w:tcMar>
              <w:top w:w="60" w:type="dxa"/>
              <w:bottom w:w="60" w:type="dxa"/>
              <w:left w:w="80" w:type="dxa"/>
              <w:right w:w="80" w:type="dxa"/>
            </w:tcMar>
          </w:tcPr>
          <w:p>
            <w:pPr>
              <w:spacing w:before="50" w:after="50" w:line="252" w:lineRule="auto"/>
            </w:pPr>
          </w:p>
        </w:tc>
      </w:tr>
      <w:tr>
        <w:tc>
          <w:tcPr>
            <w:tcW w:type="dxa" w:w="851"/>
            <w:tcMar>
              <w:top w:w="60" w:type="dxa"/>
              <w:bottom w:w="60" w:type="dxa"/>
              <w:left w:w="80" w:type="dxa"/>
              <w:right w:w="80" w:type="dxa"/>
            </w:tcMar>
          </w:tcPr>
          <w:p>
            <w:pPr>
              <w:spacing w:before="50" w:after="50" w:line="252" w:lineRule="auto"/>
            </w:pPr>
            <w:r>
              <w:rPr>
                <w:rFonts w:ascii="Times New Roman" w:hAnsi="Times New Roman"/>
                <w:b/>
                <w:i w:val="0"/>
                <w:sz w:val="17"/>
              </w:rPr>
              <w:t>Degree Assortativity</w:t>
            </w:r>
          </w:p>
        </w:tc>
        <w:tc>
          <w:tcPr>
            <w:tcW w:type="dxa" w:w="851"/>
            <w:tcMar>
              <w:top w:w="60" w:type="dxa"/>
              <w:bottom w:w="60" w:type="dxa"/>
              <w:left w:w="80" w:type="dxa"/>
              <w:right w:w="80" w:type="dxa"/>
            </w:tcMar>
          </w:tcPr>
          <w:p>
            <w:pPr>
              <w:spacing w:before="50" w:after="50" w:line="252" w:lineRule="auto"/>
            </w:pPr>
            <w:r/>
            <w:r>
              <w:rPr>
                <w:rFonts w:ascii="Times New Roman" w:hAnsi="Times New Roman"/>
                <w:sz w:val="20"/>
              </w:rPr>
              <w:t>$r_{\text{assort}}$</w:t>
            </w:r>
          </w:p>
        </w:tc>
        <w:tc>
          <w:tcPr>
            <w:tcW w:type="dxa" w:w="851"/>
            <w:tcMar>
              <w:top w:w="60" w:type="dxa"/>
              <w:bottom w:w="60" w:type="dxa"/>
              <w:left w:w="80" w:type="dxa"/>
              <w:right w:w="80" w:type="dxa"/>
            </w:tcMar>
          </w:tcPr>
          <w:p>
            <w:pPr>
              <w:spacing w:before="50" w:after="50" w:line="252" w:lineRule="auto"/>
            </w:pPr>
            <w:r>
              <w:rPr>
                <w:rFonts w:ascii="Times New Roman" w:hAnsi="Times New Roman"/>
                <w:b/>
                <w:i w:val="0"/>
                <w:sz w:val="17"/>
              </w:rPr>
              <w:t>-0.0847</w:t>
            </w:r>
          </w:p>
        </w:tc>
        <w:tc>
          <w:tcPr>
            <w:tcW w:type="dxa" w:w="851"/>
            <w:tcMar>
              <w:top w:w="60" w:type="dxa"/>
              <w:bottom w:w="60" w:type="dxa"/>
              <w:left w:w="80" w:type="dxa"/>
              <w:right w:w="80" w:type="dxa"/>
            </w:tcMar>
          </w:tcPr>
          <w:p>
            <w:pPr>
              <w:spacing w:before="50" w:after="50" w:line="252" w:lineRule="auto"/>
            </w:pPr>
            <w:r/>
            <w:r>
              <w:rPr>
                <w:rFonts w:ascii="Times New Roman" w:hAnsi="Times New Roman"/>
                <w:sz w:val="20"/>
              </w:rPr>
              <w:t>$r &gt; 0$ (Assortative)</w:t>
            </w:r>
          </w:p>
        </w:tc>
        <w:tc>
          <w:tcPr>
            <w:tcW w:type="dxa" w:w="851"/>
            <w:tcMar>
              <w:top w:w="60" w:type="dxa"/>
              <w:bottom w:w="60" w:type="dxa"/>
              <w:left w:w="80" w:type="dxa"/>
              <w:right w:w="80" w:type="dxa"/>
            </w:tcMar>
          </w:tcPr>
          <w:p>
            <w:pPr>
              <w:spacing w:before="50" w:after="50" w:line="252" w:lineRule="auto"/>
            </w:pPr>
            <w:r>
              <w:rPr>
                <w:rFonts w:ascii="Times New Roman" w:hAnsi="Times New Roman"/>
                <w:b w:val="0"/>
                <w:i w:val="0"/>
                <w:sz w:val="17"/>
              </w:rPr>
              <w:t>Disassortative hub-and-spoke mixing; peripheral nodes attach to lone hubs</w:t>
            </w:r>
          </w:p>
        </w:tc>
        <w:tc>
          <w:tcPr>
            <w:tcW w:type="dxa" w:w="851"/>
            <w:tcMar>
              <w:top w:w="60" w:type="dxa"/>
              <w:bottom w:w="60" w:type="dxa"/>
              <w:left w:w="80" w:type="dxa"/>
              <w:right w:w="80" w:type="dxa"/>
            </w:tcMar>
          </w:tcPr>
          <w:p>
            <w:pPr>
              <w:spacing w:before="50" w:after="50" w:line="252" w:lineRule="auto"/>
            </w:pPr>
          </w:p>
        </w:tc>
        <w:tc>
          <w:tcPr>
            <w:tcW w:type="dxa" w:w="851"/>
            <w:tcMar>
              <w:top w:w="60" w:type="dxa"/>
              <w:bottom w:w="60" w:type="dxa"/>
              <w:left w:w="80" w:type="dxa"/>
              <w:right w:w="80" w:type="dxa"/>
            </w:tcMar>
          </w:tcPr>
          <w:p>
            <w:pPr>
              <w:spacing w:before="50" w:after="50" w:line="252" w:lineRule="auto"/>
            </w:pPr>
          </w:p>
        </w:tc>
        <w:tc>
          <w:tcPr>
            <w:tcW w:type="dxa" w:w="851"/>
            <w:tcMar>
              <w:top w:w="60" w:type="dxa"/>
              <w:bottom w:w="60" w:type="dxa"/>
              <w:left w:w="80" w:type="dxa"/>
              <w:right w:w="80" w:type="dxa"/>
            </w:tcMar>
          </w:tcPr>
          <w:p>
            <w:pPr>
              <w:spacing w:before="50" w:after="50" w:line="252" w:lineRule="auto"/>
            </w:pPr>
          </w:p>
        </w:tc>
        <w:tc>
          <w:tcPr>
            <w:tcW w:type="dxa" w:w="851"/>
            <w:tcMar>
              <w:top w:w="60" w:type="dxa"/>
              <w:bottom w:w="60" w:type="dxa"/>
              <w:left w:w="80" w:type="dxa"/>
              <w:right w:w="80" w:type="dxa"/>
            </w:tcMar>
          </w:tcPr>
          <w:p>
            <w:pPr>
              <w:spacing w:before="50" w:after="50" w:line="252" w:lineRule="auto"/>
            </w:pPr>
          </w:p>
        </w:tc>
        <w:tc>
          <w:tcPr>
            <w:tcW w:type="dxa" w:w="851"/>
            <w:tcMar>
              <w:top w:w="60" w:type="dxa"/>
              <w:bottom w:w="60" w:type="dxa"/>
              <w:left w:w="80" w:type="dxa"/>
              <w:right w:w="80" w:type="dxa"/>
            </w:tcMar>
          </w:tcPr>
          <w:p>
            <w:pPr>
              <w:spacing w:before="50" w:after="50" w:line="252" w:lineRule="auto"/>
            </w:pPr>
          </w:p>
        </w:tc>
        <w:tc>
          <w:tcPr>
            <w:tcW w:type="dxa" w:w="851"/>
            <w:tcMar>
              <w:top w:w="60" w:type="dxa"/>
              <w:bottom w:w="60" w:type="dxa"/>
              <w:left w:w="80" w:type="dxa"/>
              <w:right w:w="80" w:type="dxa"/>
            </w:tcMar>
          </w:tcPr>
          <w:p>
            <w:pPr>
              <w:spacing w:before="50" w:after="50" w:line="252" w:lineRule="auto"/>
            </w:pPr>
          </w:p>
        </w:tc>
      </w:tr>
      <w:tr>
        <w:tc>
          <w:tcPr>
            <w:tcW w:type="dxa" w:w="851"/>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i w:val="0"/>
                <w:sz w:val="17"/>
              </w:rPr>
              <w:t>Power-Law Degree Exponent</w:t>
            </w:r>
          </w:p>
        </w:tc>
        <w:tc>
          <w:tcPr>
            <w:tcW w:type="dxa" w:w="851"/>
            <w:tcMar>
              <w:top w:w="60" w:type="dxa"/>
              <w:bottom w:w="60" w:type="dxa"/>
              <w:left w:w="80" w:type="dxa"/>
              <w:right w:w="80" w:type="dxa"/>
            </w:tcMar>
            <w:tcBorders>
              <w:bottom w:val="single" w:sz="10" w:space="0" w:color="000000"/>
            </w:tcBorders>
          </w:tcPr>
          <w:p>
            <w:pPr>
              <w:spacing w:before="50" w:after="50" w:line="252" w:lineRule="auto"/>
            </w:pPr>
            <w:r/>
            <w:r>
              <w:rPr>
                <w:rFonts w:ascii="Times New Roman" w:hAnsi="Times New Roman"/>
                <w:sz w:val="20"/>
              </w:rPr>
              <w:t>\alpha</w:t>
            </w:r>
          </w:p>
        </w:tc>
        <w:tc>
          <w:tcPr>
            <w:tcW w:type="dxa" w:w="851"/>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i w:val="0"/>
                <w:sz w:val="17"/>
              </w:rPr>
              <w:t>2.168</w:t>
            </w:r>
          </w:p>
        </w:tc>
        <w:tc>
          <w:tcPr>
            <w:tcW w:type="dxa" w:w="851"/>
            <w:tcMar>
              <w:top w:w="60" w:type="dxa"/>
              <w:bottom w:w="60" w:type="dxa"/>
              <w:left w:w="80" w:type="dxa"/>
              <w:right w:w="80" w:type="dxa"/>
            </w:tcMar>
            <w:tcBorders>
              <w:bottom w:val="single" w:sz="10" w:space="0" w:color="000000"/>
            </w:tcBorders>
          </w:tcPr>
          <w:p>
            <w:pPr>
              <w:spacing w:before="50" w:after="50" w:line="252" w:lineRule="auto"/>
            </w:pPr>
            <w:r/>
            <w:r>
              <w:rPr>
                <w:rFonts w:ascii="Times New Roman" w:hAnsi="Times New Roman"/>
                <w:sz w:val="20"/>
              </w:rPr>
              <w:t>$2.0 &lt; \alpha &lt; 3.0$ (Scale-Free)</w:t>
            </w:r>
          </w:p>
        </w:tc>
        <w:tc>
          <w:tcPr>
            <w:tcW w:type="dxa" w:w="851"/>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val="0"/>
                <w:i w:val="0"/>
                <w:sz w:val="17"/>
              </w:rPr>
              <w:t>Heavy-tailed scale-free topology; profound structural inequality</w:t>
            </w:r>
          </w:p>
        </w:tc>
        <w:tc>
          <w:tcPr>
            <w:tcW w:type="dxa" w:w="851"/>
            <w:tcMar>
              <w:top w:w="60" w:type="dxa"/>
              <w:bottom w:w="60" w:type="dxa"/>
              <w:left w:w="80" w:type="dxa"/>
              <w:right w:w="80" w:type="dxa"/>
            </w:tcMar>
            <w:tcBorders>
              <w:bottom w:val="single" w:sz="10" w:space="0" w:color="000000"/>
            </w:tcBorders>
          </w:tcPr>
          <w:p>
            <w:pPr>
              <w:spacing w:before="50" w:after="50" w:line="252" w:lineRule="auto"/>
            </w:pPr>
          </w:p>
        </w:tc>
        <w:tc>
          <w:tcPr>
            <w:tcW w:type="dxa" w:w="851"/>
            <w:tcMar>
              <w:top w:w="60" w:type="dxa"/>
              <w:bottom w:w="60" w:type="dxa"/>
              <w:left w:w="80" w:type="dxa"/>
              <w:right w:w="80" w:type="dxa"/>
            </w:tcMar>
            <w:tcBorders>
              <w:bottom w:val="single" w:sz="10" w:space="0" w:color="000000"/>
            </w:tcBorders>
          </w:tcPr>
          <w:p>
            <w:pPr>
              <w:spacing w:before="50" w:after="50" w:line="252" w:lineRule="auto"/>
            </w:pPr>
          </w:p>
        </w:tc>
        <w:tc>
          <w:tcPr>
            <w:tcW w:type="dxa" w:w="851"/>
            <w:tcMar>
              <w:top w:w="60" w:type="dxa"/>
              <w:bottom w:w="60" w:type="dxa"/>
              <w:left w:w="80" w:type="dxa"/>
              <w:right w:w="80" w:type="dxa"/>
            </w:tcMar>
            <w:tcBorders>
              <w:bottom w:val="single" w:sz="10" w:space="0" w:color="000000"/>
            </w:tcBorders>
          </w:tcPr>
          <w:p>
            <w:pPr>
              <w:spacing w:before="50" w:after="50" w:line="252" w:lineRule="auto"/>
            </w:pPr>
          </w:p>
        </w:tc>
        <w:tc>
          <w:tcPr>
            <w:tcW w:type="dxa" w:w="851"/>
            <w:tcMar>
              <w:top w:w="60" w:type="dxa"/>
              <w:bottom w:w="60" w:type="dxa"/>
              <w:left w:w="80" w:type="dxa"/>
              <w:right w:w="80" w:type="dxa"/>
            </w:tcMar>
            <w:tcBorders>
              <w:bottom w:val="single" w:sz="10" w:space="0" w:color="000000"/>
            </w:tcBorders>
          </w:tcPr>
          <w:p>
            <w:pPr>
              <w:spacing w:before="50" w:after="50" w:line="252" w:lineRule="auto"/>
            </w:pPr>
          </w:p>
        </w:tc>
        <w:tc>
          <w:tcPr>
            <w:tcW w:type="dxa" w:w="851"/>
            <w:tcMar>
              <w:top w:w="60" w:type="dxa"/>
              <w:bottom w:w="60" w:type="dxa"/>
              <w:left w:w="80" w:type="dxa"/>
              <w:right w:w="80" w:type="dxa"/>
            </w:tcMar>
            <w:tcBorders>
              <w:bottom w:val="single" w:sz="10" w:space="0" w:color="000000"/>
            </w:tcBorders>
          </w:tcPr>
          <w:p>
            <w:pPr>
              <w:spacing w:before="50" w:after="50" w:line="252" w:lineRule="auto"/>
            </w:pPr>
          </w:p>
        </w:tc>
        <w:tc>
          <w:tcPr>
            <w:tcW w:type="dxa" w:w="851"/>
            <w:tcMar>
              <w:top w:w="60" w:type="dxa"/>
              <w:bottom w:w="60" w:type="dxa"/>
              <w:left w:w="80" w:type="dxa"/>
              <w:right w:w="80" w:type="dxa"/>
            </w:tcMar>
            <w:tcBorders>
              <w:bottom w:val="single" w:sz="10" w:space="0" w:color="000000"/>
            </w:tcBorders>
          </w:tcPr>
          <w:p>
            <w:pPr>
              <w:spacing w:before="50" w:after="50" w:line="252" w:lineRule="auto"/>
            </w:pPr>
          </w:p>
        </w:tc>
      </w:tr>
    </w:tbl>
    <w:p>
      <w:pPr>
        <w:spacing w:after="120"/>
      </w:pPr>
    </w:p>
    <w:p>
      <w:pPr>
        <w:spacing w:before="200" w:after="60"/>
        <w:jc w:val="center"/>
      </w:pPr>
      <w:r>
        <w:drawing>
          <wp:inline xmlns:a="http://schemas.openxmlformats.org/drawingml/2006/main" xmlns:pic="http://schemas.openxmlformats.org/drawingml/2006/picture">
            <wp:extent cx="5303520" cy="3660207"/>
            <wp:docPr id="2" name="Picture 2"/>
            <wp:cNvGraphicFramePr>
              <a:graphicFrameLocks noChangeAspect="1"/>
            </wp:cNvGraphicFramePr>
            <a:graphic>
              <a:graphicData uri="http://schemas.openxmlformats.org/drawingml/2006/picture">
                <pic:pic>
                  <pic:nvPicPr>
                    <pic:cNvPr id="0" name="17_macro_topology_metrics.png"/>
                    <pic:cNvPicPr/>
                  </pic:nvPicPr>
                  <pic:blipFill>
                    <a:blip r:embed="rId12"/>
                    <a:stretch>
                      <a:fillRect/>
                    </a:stretch>
                  </pic:blipFill>
                  <pic:spPr>
                    <a:xfrm>
                      <a:off x="0" y="0"/>
                      <a:ext cx="5303520" cy="3660207"/>
                    </a:xfrm>
                    <a:prstGeom prst="rect"/>
                  </pic:spPr>
                </pic:pic>
              </a:graphicData>
            </a:graphic>
          </wp:inline>
        </w:drawing>
      </w:r>
    </w:p>
    <w:p>
      <w:pPr>
        <w:spacing w:before="40" w:after="240" w:line="264" w:lineRule="auto"/>
        <w:jc w:val="center"/>
      </w:pPr>
      <w:r>
        <w:rPr>
          <w:rFonts w:ascii="Times New Roman" w:hAnsi="Times New Roman"/>
          <w:b w:val="0"/>
          <w:i/>
          <w:color w:val="334155"/>
          <w:sz w:val="19"/>
        </w:rPr>
        <w:t>Figure 2: Macro Network Topology and Power-Law Degree Distribution</w:t>
      </w:r>
    </w:p>
    <w:p>
      <w:pPr>
        <w:spacing w:before="0" w:after="100" w:line="384" w:lineRule="auto"/>
        <w:ind w:firstLine="360"/>
        <w:jc w:val="both"/>
      </w:pPr>
      <w:r/>
      <w:r>
        <w:rPr>
          <w:rFonts w:ascii="Times New Roman" w:hAnsi="Times New Roman"/>
          <w:sz w:val="24"/>
        </w:rPr>
        <w:t>Figure 2: Macro network topology metrics and heavy-tailed scale-free degree distribution ($\alpha = 2.168$).</w:t>
      </w:r>
    </w:p>
    <w:p>
      <w:pPr>
        <w:spacing w:before="200" w:after="60"/>
        <w:jc w:val="center"/>
      </w:pPr>
      <w:r>
        <w:drawing>
          <wp:inline xmlns:a="http://schemas.openxmlformats.org/drawingml/2006/main" xmlns:pic="http://schemas.openxmlformats.org/drawingml/2006/picture">
            <wp:extent cx="5303520" cy="4192046"/>
            <wp:docPr id="3" name="Picture 3"/>
            <wp:cNvGraphicFramePr>
              <a:graphicFrameLocks noChangeAspect="1"/>
            </wp:cNvGraphicFramePr>
            <a:graphic>
              <a:graphicData uri="http://schemas.openxmlformats.org/drawingml/2006/picture">
                <pic:pic>
                  <pic:nvPicPr>
                    <pic:cNvPr id="0" name="16_nodexl_graph_visualization.png"/>
                    <pic:cNvPicPr/>
                  </pic:nvPicPr>
                  <pic:blipFill>
                    <a:blip r:embed="rId13"/>
                    <a:stretch>
                      <a:fillRect/>
                    </a:stretch>
                  </pic:blipFill>
                  <pic:spPr>
                    <a:xfrm>
                      <a:off x="0" y="0"/>
                      <a:ext cx="5303520" cy="4192046"/>
                    </a:xfrm>
                    <a:prstGeom prst="rect"/>
                  </pic:spPr>
                </pic:pic>
              </a:graphicData>
            </a:graphic>
          </wp:inline>
        </w:drawing>
      </w:r>
    </w:p>
    <w:p>
      <w:pPr>
        <w:spacing w:before="40" w:after="240" w:line="264" w:lineRule="auto"/>
        <w:jc w:val="center"/>
      </w:pPr>
      <w:r>
        <w:rPr>
          <w:rFonts w:ascii="Times New Roman" w:hAnsi="Times New Roman"/>
          <w:b w:val="0"/>
          <w:i/>
          <w:color w:val="334155"/>
          <w:sz w:val="19"/>
        </w:rPr>
        <w:t>Figure 3: Global Network Graph Visualization with Louvain Community Grouping</w:t>
      </w:r>
    </w:p>
    <w:p>
      <w:pPr>
        <w:spacing w:before="0" w:after="100" w:line="384" w:lineRule="auto"/>
        <w:ind w:firstLine="360"/>
        <w:jc w:val="both"/>
      </w:pPr>
      <w:r/>
      <w:r>
        <w:rPr>
          <w:rFonts w:ascii="Times New Roman" w:hAnsi="Times New Roman"/>
          <w:sz w:val="24"/>
        </w:rPr>
        <w:t>Figure 3: Directed graph visualization ($|V|=971, |E|=666$) clustered by Louvain algorithm ($Q = 0.9837$), illustrating the atomized archipelago structure.</w:t>
      </w:r>
    </w:p>
    <w:p>
      <w:pPr>
        <w:spacing w:before="0" w:after="100" w:line="384" w:lineRule="auto"/>
        <w:ind w:firstLine="360"/>
        <w:jc w:val="both"/>
      </w:pPr>
      <w:r/>
      <w:r>
        <w:rPr>
          <w:rFonts w:ascii="Times New Roman" w:hAnsi="Times New Roman"/>
          <w:sz w:val="24"/>
        </w:rPr>
        <w:t>The extreme modularity score ($Q = 0.9837$) combined with 341 weakly connected components proves that the digital public sphere did not coalesce into structured ideological coalitions. Instead, public communication fractured into an archipelago of atomized grievance networks—ephemeral, disconnected pockets of frustrated citizens independently expressing outrage over local food conditions without coalescing into organized civic action.</w:t>
      </w:r>
    </w:p>
    <w:p>
      <w:pPr>
        <w:spacing w:before="200" w:after="60"/>
        <w:jc w:val="center"/>
      </w:pPr>
      <w:r>
        <w:drawing>
          <wp:inline xmlns:a="http://schemas.openxmlformats.org/drawingml/2006/main" xmlns:pic="http://schemas.openxmlformats.org/drawingml/2006/picture">
            <wp:extent cx="5303520" cy="3641867"/>
            <wp:docPr id="4" name="Picture 4"/>
            <wp:cNvGraphicFramePr>
              <a:graphicFrameLocks noChangeAspect="1"/>
            </wp:cNvGraphicFramePr>
            <a:graphic>
              <a:graphicData uri="http://schemas.openxmlformats.org/drawingml/2006/picture">
                <pic:pic>
                  <pic:nvPicPr>
                    <pic:cNvPr id="0" name="19_community_echo_chambers.png"/>
                    <pic:cNvPicPr/>
                  </pic:nvPicPr>
                  <pic:blipFill>
                    <a:blip r:embed="rId14"/>
                    <a:stretch>
                      <a:fillRect/>
                    </a:stretch>
                  </pic:blipFill>
                  <pic:spPr>
                    <a:xfrm>
                      <a:off x="0" y="0"/>
                      <a:ext cx="5303520" cy="3641867"/>
                    </a:xfrm>
                    <a:prstGeom prst="rect"/>
                  </pic:spPr>
                </pic:pic>
              </a:graphicData>
            </a:graphic>
          </wp:inline>
        </w:drawing>
      </w:r>
    </w:p>
    <w:p>
      <w:pPr>
        <w:spacing w:before="40" w:after="240" w:line="264" w:lineRule="auto"/>
        <w:jc w:val="center"/>
      </w:pPr>
      <w:r>
        <w:rPr>
          <w:rFonts w:ascii="Times New Roman" w:hAnsi="Times New Roman"/>
          <w:b w:val="0"/>
          <w:i/>
          <w:color w:val="334155"/>
          <w:sz w:val="19"/>
        </w:rPr>
        <w:t>Figure 4: Community Echo Chamber Polarization and Sarcasm Concentrations</w:t>
      </w:r>
    </w:p>
    <w:p>
      <w:pPr>
        <w:spacing w:before="0" w:after="100" w:line="384" w:lineRule="auto"/>
        <w:ind w:firstLine="360"/>
        <w:jc w:val="both"/>
      </w:pPr>
      <w:r>
        <w:rPr>
          <w:rFonts w:ascii="Times New Roman" w:hAnsi="Times New Roman"/>
          <w:b w:val="0"/>
          <w:i/>
          <w:sz w:val="21"/>
        </w:rPr>
        <w:t>Figure 4: Community echo chamber modularity profiles and localized concentrations of digital sarcasm across clusters.</w:t>
      </w:r>
    </w:p>
    <w:p>
      <w:pPr>
        <w:spacing w:before="240" w:after="60" w:line="384" w:lineRule="auto"/>
        <w:jc w:val="left"/>
      </w:pPr>
      <w:r>
        <w:rPr>
          <w:rFonts w:ascii="Times New Roman" w:hAnsi="Times New Roman"/>
          <w:b/>
          <w:i w:val="0"/>
          <w:color w:val="1E293B"/>
          <w:sz w:val="23"/>
        </w:rPr>
        <w:t>4.2 Topological Decomposition of Dominant Louvain Communities</w:t>
      </w:r>
    </w:p>
    <w:p>
      <w:pPr>
        <w:spacing w:before="0" w:after="100" w:line="384" w:lineRule="auto"/>
        <w:ind w:firstLine="360"/>
        <w:jc w:val="both"/>
      </w:pPr>
      <w:r/>
      <w:r>
        <w:rPr>
          <w:rFonts w:ascii="Times New Roman" w:hAnsi="Times New Roman"/>
          <w:sz w:val="24"/>
        </w:rPr>
        <w:t>Community detection via the Louvain modularity optimization algorithm partitioned the 971-node network into 342 discrete clusters ( = 0.9837$). Examining the internal semantic and affective profiles of the five largest communities reveals how discourse segregated across thematic silos.</w:t>
      </w:r>
    </w:p>
    <w:p>
      <w:pPr>
        <w:spacing w:before="280" w:after="60" w:line="276" w:lineRule="auto"/>
        <w:jc w:val="left"/>
      </w:pPr>
      <w:r>
        <w:rPr>
          <w:rFonts w:ascii="Times New Roman" w:hAnsi="Times New Roman"/>
          <w:b/>
          <w:i w:val="0"/>
          <w:color w:val="0F172A"/>
          <w:sz w:val="21"/>
        </w:rPr>
        <w:t>Table 1B: Thematic Profile and Affective Signatures of Dominant Louvain Communities</w:t>
      </w:r>
    </w:p>
    <w:tbl>
      <w:tblPr>
        <w:tblW w:type="auto" w:w="0"/>
        <w:jc w:val="center"/>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Community ID</w:t>
            </w:r>
          </w:p>
        </w:tc>
        <w:tc>
          <w:tcPr>
            <w:tcW w:type="dxa" w:w="104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
              <w:rPr>
                <w:rFonts w:ascii="Times New Roman" w:hAnsi="Times New Roman"/>
                <w:sz w:val="20"/>
              </w:rPr>
              <w:t>Node Count ($</w:t>
            </w:r>
          </w:p>
        </w:tc>
        <w:tc>
          <w:tcPr>
            <w:tcW w:type="dxa" w:w="104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V_c</w:t>
            </w:r>
          </w:p>
        </w:tc>
        <w:tc>
          <w:tcPr>
            <w:tcW w:type="dxa" w:w="104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
              <w:rPr>
                <w:rFonts w:ascii="Times New Roman" w:hAnsi="Times New Roman"/>
                <w:sz w:val="20"/>
              </w:rPr>
              <w:t>$)</w:t>
            </w:r>
          </w:p>
        </w:tc>
        <w:tc>
          <w:tcPr>
            <w:tcW w:type="dxa" w:w="104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Proportional Share (%)</w:t>
            </w:r>
          </w:p>
        </w:tc>
        <w:tc>
          <w:tcPr>
            <w:tcW w:type="dxa" w:w="104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Internal Edge Ratio (%)</w:t>
            </w:r>
          </w:p>
        </w:tc>
        <w:tc>
          <w:tcPr>
            <w:tcW w:type="dxa" w:w="104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Dominant Affective Orientation</w:t>
            </w:r>
          </w:p>
        </w:tc>
        <w:tc>
          <w:tcPr>
            <w:tcW w:type="dxa" w:w="104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Core Thematic Sub-Discourse</w:t>
            </w:r>
          </w:p>
        </w:tc>
        <w:tc>
          <w:tcPr>
            <w:tcW w:type="dxa" w:w="104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Representative Key Tokens</w:t>
            </w:r>
          </w:p>
        </w:tc>
      </w:tr>
      <w:tr>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Cluster 0</w:t>
            </w:r>
          </w:p>
        </w:tc>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184</w:t>
            </w:r>
          </w:p>
        </w:tc>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18.95%</w:t>
            </w:r>
          </w:p>
        </w:tc>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99.46%</w:t>
            </w:r>
          </w:p>
        </w:tc>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Disgust (88.4%)</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Grassroots Citizen Grievance &amp; Spoilage Exposés</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sz w:val="17"/>
              </w:rPr>
              <w:t>basi, bau, ulat, belatung, buang, muntah, diare, gak layak, vendor nakal</w:t>
            </w:r>
          </w:p>
        </w:tc>
        <w:tc>
          <w:tcPr>
            <w:tcW w:type="dxa" w:w="1040"/>
            <w:tcMar>
              <w:top w:w="60" w:type="dxa"/>
              <w:bottom w:w="60" w:type="dxa"/>
              <w:left w:w="80" w:type="dxa"/>
              <w:right w:w="80" w:type="dxa"/>
            </w:tcMar>
          </w:tcPr>
          <w:p>
            <w:pPr>
              <w:spacing w:before="50" w:after="50" w:line="252" w:lineRule="auto"/>
            </w:pPr>
          </w:p>
        </w:tc>
        <w:tc>
          <w:tcPr>
            <w:tcW w:type="dxa" w:w="1040"/>
            <w:tcMar>
              <w:top w:w="60" w:type="dxa"/>
              <w:bottom w:w="60" w:type="dxa"/>
              <w:left w:w="80" w:type="dxa"/>
              <w:right w:w="80" w:type="dxa"/>
            </w:tcMar>
          </w:tcPr>
          <w:p>
            <w:pPr>
              <w:spacing w:before="50" w:after="50" w:line="252" w:lineRule="auto"/>
            </w:pPr>
          </w:p>
        </w:tc>
      </w:tr>
      <w:tr>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Cluster 1</w:t>
            </w:r>
          </w:p>
        </w:tc>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142</w:t>
            </w:r>
          </w:p>
        </w:tc>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14.62%</w:t>
            </w:r>
          </w:p>
        </w:tc>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98.82%</w:t>
            </w:r>
          </w:p>
        </w:tc>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Neutral / Trust (62.1%)</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Macro-Fiscal Reallocation &amp; APBN Budget Debates</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sz w:val="17"/>
              </w:rPr>
              <w:t>anggaran, bgn, rapat, menkeu, sasar, apbn, triliun, uji coba, tanggal, rilis</w:t>
            </w:r>
          </w:p>
        </w:tc>
        <w:tc>
          <w:tcPr>
            <w:tcW w:type="dxa" w:w="1040"/>
            <w:tcMar>
              <w:top w:w="60" w:type="dxa"/>
              <w:bottom w:w="60" w:type="dxa"/>
              <w:left w:w="80" w:type="dxa"/>
              <w:right w:w="80" w:type="dxa"/>
            </w:tcMar>
          </w:tcPr>
          <w:p>
            <w:pPr>
              <w:spacing w:before="50" w:after="50" w:line="252" w:lineRule="auto"/>
            </w:pPr>
          </w:p>
        </w:tc>
        <w:tc>
          <w:tcPr>
            <w:tcW w:type="dxa" w:w="1040"/>
            <w:tcMar>
              <w:top w:w="60" w:type="dxa"/>
              <w:bottom w:w="60" w:type="dxa"/>
              <w:left w:w="80" w:type="dxa"/>
              <w:right w:w="80" w:type="dxa"/>
            </w:tcMar>
          </w:tcPr>
          <w:p>
            <w:pPr>
              <w:spacing w:before="50" w:after="50" w:line="252" w:lineRule="auto"/>
            </w:pPr>
          </w:p>
        </w:tc>
      </w:tr>
      <w:tr>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Cluster 2</w:t>
            </w:r>
          </w:p>
        </w:tc>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98</w:t>
            </w:r>
          </w:p>
        </w:tc>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10.09%</w:t>
            </w:r>
          </w:p>
        </w:tc>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97.65%</w:t>
            </w:r>
          </w:p>
        </w:tc>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Trust (74.2%)</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SPPG Vendor Defense &amp; Government Counter-Framing</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sz w:val="17"/>
              </w:rPr>
              <w:t>mendukung, gizi, sehat, berkah, anak bangsa, prabowo, program bagus, optimis</w:t>
            </w:r>
          </w:p>
        </w:tc>
        <w:tc>
          <w:tcPr>
            <w:tcW w:type="dxa" w:w="1040"/>
            <w:tcMar>
              <w:top w:w="60" w:type="dxa"/>
              <w:bottom w:w="60" w:type="dxa"/>
              <w:left w:w="80" w:type="dxa"/>
              <w:right w:w="80" w:type="dxa"/>
            </w:tcMar>
          </w:tcPr>
          <w:p>
            <w:pPr>
              <w:spacing w:before="50" w:after="50" w:line="252" w:lineRule="auto"/>
            </w:pPr>
          </w:p>
        </w:tc>
        <w:tc>
          <w:tcPr>
            <w:tcW w:type="dxa" w:w="1040"/>
            <w:tcMar>
              <w:top w:w="60" w:type="dxa"/>
              <w:bottom w:w="60" w:type="dxa"/>
              <w:left w:w="80" w:type="dxa"/>
              <w:right w:w="80" w:type="dxa"/>
            </w:tcMar>
          </w:tcPr>
          <w:p>
            <w:pPr>
              <w:spacing w:before="50" w:after="50" w:line="252" w:lineRule="auto"/>
            </w:pPr>
          </w:p>
        </w:tc>
      </w:tr>
      <w:tr>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Cluster 3</w:t>
            </w:r>
          </w:p>
        </w:tc>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76</w:t>
            </w:r>
          </w:p>
        </w:tc>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7.83%</w:t>
            </w:r>
          </w:p>
        </w:tc>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96.88%</w:t>
            </w:r>
          </w:p>
        </w:tc>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Disgust / Fear (81.6%)</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Pediatric Epidemiological Surveillance &amp; Hospitalizations</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sz w:val="17"/>
              </w:rPr>
              <w:t>keracunan, rumah sakit, puskesmas, rawat inap, dinkes, sampel lab, bakteri</w:t>
            </w:r>
          </w:p>
        </w:tc>
        <w:tc>
          <w:tcPr>
            <w:tcW w:type="dxa" w:w="1040"/>
            <w:tcMar>
              <w:top w:w="60" w:type="dxa"/>
              <w:bottom w:w="60" w:type="dxa"/>
              <w:left w:w="80" w:type="dxa"/>
              <w:right w:w="80" w:type="dxa"/>
            </w:tcMar>
          </w:tcPr>
          <w:p>
            <w:pPr>
              <w:spacing w:before="50" w:after="50" w:line="252" w:lineRule="auto"/>
            </w:pPr>
          </w:p>
        </w:tc>
        <w:tc>
          <w:tcPr>
            <w:tcW w:type="dxa" w:w="1040"/>
            <w:tcMar>
              <w:top w:w="60" w:type="dxa"/>
              <w:bottom w:w="60" w:type="dxa"/>
              <w:left w:w="80" w:type="dxa"/>
              <w:right w:w="80" w:type="dxa"/>
            </w:tcMar>
          </w:tcPr>
          <w:p>
            <w:pPr>
              <w:spacing w:before="50" w:after="50" w:line="252" w:lineRule="auto"/>
            </w:pPr>
          </w:p>
        </w:tc>
      </w:tr>
      <w:tr>
        <w:tc>
          <w:tcPr>
            <w:tcW w:type="dxa" w:w="104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i w:val="0"/>
                <w:sz w:val="17"/>
              </w:rPr>
              <w:t>Cluster 4</w:t>
            </w:r>
          </w:p>
        </w:tc>
        <w:tc>
          <w:tcPr>
            <w:tcW w:type="dxa" w:w="104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i w:val="0"/>
                <w:sz w:val="17"/>
              </w:rPr>
              <w:t>64</w:t>
            </w:r>
          </w:p>
        </w:tc>
        <w:tc>
          <w:tcPr>
            <w:tcW w:type="dxa" w:w="104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i w:val="0"/>
                <w:sz w:val="17"/>
              </w:rPr>
              <w:t>6.59%</w:t>
            </w:r>
          </w:p>
        </w:tc>
        <w:tc>
          <w:tcPr>
            <w:tcW w:type="dxa" w:w="104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i w:val="0"/>
                <w:sz w:val="17"/>
              </w:rPr>
              <w:t>95.12%</w:t>
            </w:r>
          </w:p>
        </w:tc>
        <w:tc>
          <w:tcPr>
            <w:tcW w:type="dxa" w:w="104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i w:val="0"/>
                <w:sz w:val="17"/>
              </w:rPr>
              <w:t>Sarcasm / Disgust (92.5%)</w:t>
            </w:r>
          </w:p>
        </w:tc>
        <w:tc>
          <w:tcPr>
            <w:tcW w:type="dxa" w:w="104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val="0"/>
                <w:i w:val="0"/>
                <w:sz w:val="17"/>
              </w:rPr>
              <w:t>Paralinguistic Mockery &amp; AI Oracle Inquiries</w:t>
            </w:r>
          </w:p>
        </w:tc>
        <w:tc>
          <w:tcPr>
            <w:tcW w:type="dxa" w:w="104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val="0"/>
                <w:i/>
                <w:sz w:val="17"/>
              </w:rPr>
              <w:t>mewah, enak bgt, mantap lanjutkan, @grok, logika, fakta, 🤡, 🤮, 😭</w:t>
            </w:r>
          </w:p>
        </w:tc>
        <w:tc>
          <w:tcPr>
            <w:tcW w:type="dxa" w:w="1040"/>
            <w:tcMar>
              <w:top w:w="60" w:type="dxa"/>
              <w:bottom w:w="60" w:type="dxa"/>
              <w:left w:w="80" w:type="dxa"/>
              <w:right w:w="80" w:type="dxa"/>
            </w:tcMar>
            <w:tcBorders>
              <w:bottom w:val="single" w:sz="10" w:space="0" w:color="000000"/>
            </w:tcBorders>
          </w:tcPr>
          <w:p>
            <w:pPr>
              <w:spacing w:before="50" w:after="50" w:line="252" w:lineRule="auto"/>
            </w:pPr>
          </w:p>
        </w:tc>
        <w:tc>
          <w:tcPr>
            <w:tcW w:type="dxa" w:w="1040"/>
            <w:tcMar>
              <w:top w:w="60" w:type="dxa"/>
              <w:bottom w:w="60" w:type="dxa"/>
              <w:left w:w="80" w:type="dxa"/>
              <w:right w:w="80" w:type="dxa"/>
            </w:tcMar>
            <w:tcBorders>
              <w:bottom w:val="single" w:sz="10" w:space="0" w:color="000000"/>
            </w:tcBorders>
          </w:tcPr>
          <w:p>
            <w:pPr>
              <w:spacing w:before="50" w:after="50" w:line="252" w:lineRule="auto"/>
            </w:pPr>
          </w:p>
        </w:tc>
      </w:tr>
    </w:tbl>
    <w:p>
      <w:pPr>
        <w:spacing w:after="120"/>
      </w:pPr>
    </w:p>
    <w:p>
      <w:pPr>
        <w:spacing w:before="0" w:after="100" w:line="384" w:lineRule="auto"/>
        <w:ind w:firstLine="360"/>
        <w:jc w:val="both"/>
      </w:pPr>
      <w:r/>
      <w:r>
        <w:rPr>
          <w:rFonts w:ascii="Times New Roman" w:hAnsi="Times New Roman"/>
          <w:sz w:val="24"/>
        </w:rPr>
        <w:t>As detailed in Table 1B, Cluster 0 and Cluster 4 represent intense zones of visceral resistance where moral disgust exceeds \%$. In contrast, Cluster 2 represents an isolated pro-government enclave where official vendor accounts and loyalist influencers recirculate sanitized public relations talking points. Crucially, the internal edge ratio exceeds \%$ across all communities, confirming that communication circulated almost entirely within inward-facing clusters, with virtually zero cross-cluster dialogue between critics and defenders.</w:t>
      </w:r>
    </w:p>
    <w:p>
      <w:pPr>
        <w:spacing w:before="320" w:after="100" w:line="288" w:lineRule="auto"/>
        <w:jc w:val="left"/>
      </w:pPr>
      <w:r>
        <w:rPr>
          <w:rFonts w:ascii="Times New Roman" w:hAnsi="Times New Roman"/>
          <w:b/>
          <w:i w:val="0"/>
          <w:color w:val="0F172A"/>
          <w:sz w:val="24"/>
        </w:rPr>
        <w:t>5. STRUCTURAL POWER ASYMMETRY AND THE RISE OF THE ALGORITHMIC ORACLE</w:t>
      </w:r>
    </w:p>
    <w:p>
      <w:pPr>
        <w:spacing w:before="240" w:after="60" w:line="384" w:lineRule="auto"/>
        <w:jc w:val="left"/>
      </w:pPr>
      <w:r>
        <w:rPr>
          <w:rFonts w:ascii="Times New Roman" w:hAnsi="Times New Roman"/>
          <w:b/>
          <w:i w:val="0"/>
          <w:color w:val="1E293B"/>
          <w:sz w:val="23"/>
        </w:rPr>
        <w:t>5.1 Centrality Decomposition and Institutional Silence</w:t>
      </w:r>
    </w:p>
    <w:p>
      <w:pPr>
        <w:spacing w:before="0" w:after="100" w:line="384" w:lineRule="auto"/>
        <w:ind w:firstLine="360"/>
        <w:jc w:val="both"/>
      </w:pPr>
      <w:r>
        <w:rPr>
          <w:rFonts w:ascii="Times New Roman" w:hAnsi="Times New Roman"/>
          <w:b w:val="0"/>
          <w:i w:val="0"/>
          <w:sz w:val="21"/>
        </w:rPr>
        <w:t>Nodal centrality analysis uncovers an acute structural power asymmetry between state authorities and ordinary citizens. Official government actors manifestation high in-degree centrality but zero out-degree conversational engagement.</w:t>
      </w:r>
    </w:p>
    <w:p>
      <w:pPr>
        <w:spacing w:before="280" w:after="60" w:line="276" w:lineRule="auto"/>
        <w:jc w:val="left"/>
      </w:pPr>
      <w:r>
        <w:rPr>
          <w:rFonts w:ascii="Times New Roman" w:hAnsi="Times New Roman"/>
          <w:b/>
          <w:i w:val="0"/>
          <w:color w:val="0F172A"/>
          <w:sz w:val="21"/>
        </w:rPr>
        <w:t>Table 2: Top Fifteen Actors Ranked by Network Degree and Centrality Metrics (AoIR 3.0 Pseudonymized)</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Rank</w:t>
            </w:r>
          </w:p>
        </w:tc>
        <w:tc>
          <w:tcPr>
            <w:tcW w:type="dxa" w:w="117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Account Identifier</w:t>
            </w:r>
          </w:p>
        </w:tc>
        <w:tc>
          <w:tcPr>
            <w:tcW w:type="dxa" w:w="117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Affiliation / Sociological Role</w:t>
            </w:r>
          </w:p>
        </w:tc>
        <w:tc>
          <w:tcPr>
            <w:tcW w:type="dxa" w:w="117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In-Degree</w:t>
            </w:r>
          </w:p>
        </w:tc>
        <w:tc>
          <w:tcPr>
            <w:tcW w:type="dxa" w:w="117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Out-Degree</w:t>
            </w:r>
          </w:p>
        </w:tc>
        <w:tc>
          <w:tcPr>
            <w:tcW w:type="dxa" w:w="117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
              <w:rPr>
                <w:rFonts w:ascii="Times New Roman" w:hAnsi="Times New Roman"/>
                <w:sz w:val="20"/>
              </w:rPr>
              <w:t>Total Degree (C_D)</w:t>
            </w:r>
          </w:p>
        </w:tc>
        <w:tc>
          <w:tcPr>
            <w:tcW w:type="dxa" w:w="117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
              <w:rPr>
                <w:rFonts w:ascii="Times New Roman" w:hAnsi="Times New Roman"/>
                <w:sz w:val="20"/>
              </w:rPr>
              <w:t>Betweenness (C_B)</w:t>
            </w:r>
          </w:p>
        </w:tc>
        <w:tc>
          <w:tcPr>
            <w:tcW w:type="dxa" w:w="117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
              <w:rPr>
                <w:rFonts w:ascii="Times New Roman" w:hAnsi="Times New Roman"/>
                <w:sz w:val="20"/>
              </w:rPr>
              <w:t>Closeness (C_C)</w:t>
            </w:r>
          </w:p>
        </w:tc>
      </w:tr>
      <w:tr>
        <w:tc>
          <w:tcPr>
            <w:tcW w:type="dxa" w:w="1170"/>
            <w:tcMar>
              <w:top w:w="60" w:type="dxa"/>
              <w:bottom w:w="60" w:type="dxa"/>
              <w:left w:w="80" w:type="dxa"/>
              <w:right w:w="80" w:type="dxa"/>
            </w:tcMar>
          </w:tcPr>
          <w:p>
            <w:pPr>
              <w:spacing w:before="50" w:after="50" w:line="252" w:lineRule="auto"/>
            </w:pPr>
            <w:r>
              <w:rPr>
                <w:rFonts w:ascii="Times New Roman" w:hAnsi="Times New Roman"/>
                <w:b/>
                <w:i w:val="0"/>
                <w:sz w:val="17"/>
              </w:rPr>
              <w:t>1</w:t>
            </w:r>
          </w:p>
        </w:tc>
        <w:tc>
          <w:tcPr>
            <w:tcW w:type="dxa" w:w="1170"/>
            <w:tcMar>
              <w:top w:w="60" w:type="dxa"/>
              <w:bottom w:w="60" w:type="dxa"/>
              <w:left w:w="80" w:type="dxa"/>
              <w:right w:w="80" w:type="dxa"/>
            </w:tcMar>
          </w:tcPr>
          <w:p>
            <w:pPr>
              <w:spacing w:before="50" w:after="50" w:line="252" w:lineRule="auto"/>
            </w:pPr>
            <w:r>
              <w:rPr>
                <w:rFonts w:ascii="Courier New" w:hAnsi="Courier New"/>
                <w:sz w:val="16"/>
              </w:rPr>
              <w:t>@grok</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Autonomous Generative AI Oracle</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w:t>
            </w:r>
          </w:p>
        </w:tc>
        <w:tc>
          <w:tcPr>
            <w:tcW w:type="dxa" w:w="1170"/>
            <w:tcMar>
              <w:top w:w="60" w:type="dxa"/>
              <w:bottom w:w="60" w:type="dxa"/>
              <w:left w:w="80" w:type="dxa"/>
              <w:right w:w="80" w:type="dxa"/>
            </w:tcMar>
          </w:tcPr>
          <w:p>
            <w:pPr>
              <w:spacing w:before="50" w:after="50" w:line="252" w:lineRule="auto"/>
            </w:pPr>
            <w:r>
              <w:rPr>
                <w:rFonts w:ascii="Times New Roman" w:hAnsi="Times New Roman"/>
                <w:b/>
                <w:i w:val="0"/>
                <w:sz w:val="17"/>
              </w:rPr>
              <w:t>42</w:t>
            </w:r>
          </w:p>
        </w:tc>
        <w:tc>
          <w:tcPr>
            <w:tcW w:type="dxa" w:w="1170"/>
            <w:tcMar>
              <w:top w:w="60" w:type="dxa"/>
              <w:bottom w:w="60" w:type="dxa"/>
              <w:left w:w="80" w:type="dxa"/>
              <w:right w:w="80" w:type="dxa"/>
            </w:tcMar>
          </w:tcPr>
          <w:p>
            <w:pPr>
              <w:spacing w:before="50" w:after="50" w:line="252" w:lineRule="auto"/>
            </w:pPr>
            <w:r>
              <w:rPr>
                <w:rFonts w:ascii="Times New Roman" w:hAnsi="Times New Roman"/>
                <w:b/>
                <w:i w:val="0"/>
                <w:sz w:val="17"/>
              </w:rPr>
              <w:t>0.0433</w:t>
            </w:r>
          </w:p>
        </w:tc>
        <w:tc>
          <w:tcPr>
            <w:tcW w:type="dxa" w:w="1170"/>
            <w:tcMar>
              <w:top w:w="60" w:type="dxa"/>
              <w:bottom w:w="60" w:type="dxa"/>
              <w:left w:w="80" w:type="dxa"/>
              <w:right w:w="80" w:type="dxa"/>
            </w:tcMar>
          </w:tcPr>
          <w:p>
            <w:pPr>
              <w:spacing w:before="50" w:after="50" w:line="252" w:lineRule="auto"/>
            </w:pPr>
            <w:r>
              <w:rPr>
                <w:rFonts w:ascii="Times New Roman" w:hAnsi="Times New Roman"/>
                <w:b/>
                <w:i w:val="0"/>
                <w:sz w:val="17"/>
              </w:rPr>
              <w:t>0.0059</w:t>
            </w:r>
          </w:p>
        </w:tc>
        <w:tc>
          <w:tcPr>
            <w:tcW w:type="dxa" w:w="1170"/>
            <w:tcMar>
              <w:top w:w="60" w:type="dxa"/>
              <w:bottom w:w="60" w:type="dxa"/>
              <w:left w:w="80" w:type="dxa"/>
              <w:right w:w="80" w:type="dxa"/>
            </w:tcMar>
          </w:tcPr>
          <w:p>
            <w:pPr>
              <w:spacing w:before="50" w:after="50" w:line="252" w:lineRule="auto"/>
            </w:pPr>
            <w:r>
              <w:rPr>
                <w:rFonts w:ascii="Times New Roman" w:hAnsi="Times New Roman"/>
                <w:b/>
                <w:i w:val="0"/>
                <w:sz w:val="17"/>
              </w:rPr>
              <w:t>0.0433</w:t>
            </w:r>
          </w:p>
        </w:tc>
      </w:tr>
      <w:tr>
        <w:tc>
          <w:tcPr>
            <w:tcW w:type="dxa" w:w="1170"/>
            <w:tcMar>
              <w:top w:w="60" w:type="dxa"/>
              <w:bottom w:w="60" w:type="dxa"/>
              <w:left w:w="80" w:type="dxa"/>
              <w:right w:w="80" w:type="dxa"/>
            </w:tcMar>
          </w:tcPr>
          <w:p>
            <w:pPr>
              <w:spacing w:before="50" w:after="50" w:line="252" w:lineRule="auto"/>
            </w:pPr>
            <w:r>
              <w:rPr>
                <w:rFonts w:ascii="Times New Roman" w:hAnsi="Times New Roman"/>
                <w:b/>
                <w:i w:val="0"/>
                <w:sz w:val="17"/>
              </w:rPr>
              <w:t>2</w:t>
            </w:r>
          </w:p>
        </w:tc>
        <w:tc>
          <w:tcPr>
            <w:tcW w:type="dxa" w:w="1170"/>
            <w:tcMar>
              <w:top w:w="60" w:type="dxa"/>
              <w:bottom w:w="60" w:type="dxa"/>
              <w:left w:w="80" w:type="dxa"/>
              <w:right w:w="80" w:type="dxa"/>
            </w:tcMar>
          </w:tcPr>
          <w:p>
            <w:pPr>
              <w:spacing w:before="50" w:after="50" w:line="252" w:lineRule="auto"/>
            </w:pPr>
            <w:r>
              <w:rPr>
                <w:rFonts w:ascii="Courier New" w:hAnsi="Courier New"/>
                <w:sz w:val="16"/>
              </w:rPr>
              <w:t>@prabowo</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Head of State / Executive Authority</w:t>
            </w:r>
          </w:p>
        </w:tc>
        <w:tc>
          <w:tcPr>
            <w:tcW w:type="dxa" w:w="1170"/>
            <w:tcMar>
              <w:top w:w="60" w:type="dxa"/>
              <w:bottom w:w="60" w:type="dxa"/>
              <w:left w:w="80" w:type="dxa"/>
              <w:right w:w="80" w:type="dxa"/>
            </w:tcMar>
          </w:tcPr>
          <w:p>
            <w:pPr>
              <w:spacing w:before="50" w:after="50" w:line="252" w:lineRule="auto"/>
            </w:pPr>
            <w:r>
              <w:rPr>
                <w:rFonts w:ascii="Times New Roman" w:hAnsi="Times New Roman"/>
                <w:b/>
                <w:i w:val="0"/>
                <w:sz w:val="17"/>
              </w:rPr>
              <w:t>17</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w:t>
            </w:r>
          </w:p>
        </w:tc>
        <w:tc>
          <w:tcPr>
            <w:tcW w:type="dxa" w:w="1170"/>
            <w:tcMar>
              <w:top w:w="60" w:type="dxa"/>
              <w:bottom w:w="60" w:type="dxa"/>
              <w:left w:w="80" w:type="dxa"/>
              <w:right w:w="80" w:type="dxa"/>
            </w:tcMar>
          </w:tcPr>
          <w:p>
            <w:pPr>
              <w:spacing w:before="50" w:after="50" w:line="252" w:lineRule="auto"/>
            </w:pPr>
            <w:r>
              <w:rPr>
                <w:rFonts w:ascii="Times New Roman" w:hAnsi="Times New Roman"/>
                <w:b/>
                <w:i w:val="0"/>
                <w:sz w:val="17"/>
              </w:rPr>
              <w:t>0.0175</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0.0000</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0.0175</w:t>
            </w:r>
          </w:p>
        </w:tc>
      </w:tr>
      <w:tr>
        <w:tc>
          <w:tcPr>
            <w:tcW w:type="dxa" w:w="1170"/>
            <w:tcMar>
              <w:top w:w="60" w:type="dxa"/>
              <w:bottom w:w="60" w:type="dxa"/>
              <w:left w:w="80" w:type="dxa"/>
              <w:right w:w="80" w:type="dxa"/>
            </w:tcMar>
          </w:tcPr>
          <w:p>
            <w:pPr>
              <w:spacing w:before="50" w:after="50" w:line="252" w:lineRule="auto"/>
            </w:pPr>
            <w:r>
              <w:rPr>
                <w:rFonts w:ascii="Times New Roman" w:hAnsi="Times New Roman"/>
                <w:b/>
                <w:i w:val="0"/>
                <w:sz w:val="17"/>
              </w:rPr>
              <w:t>3</w:t>
            </w:r>
          </w:p>
        </w:tc>
        <w:tc>
          <w:tcPr>
            <w:tcW w:type="dxa" w:w="1170"/>
            <w:tcMar>
              <w:top w:w="60" w:type="dxa"/>
              <w:bottom w:w="60" w:type="dxa"/>
              <w:left w:w="80" w:type="dxa"/>
              <w:right w:w="80" w:type="dxa"/>
            </w:tcMar>
          </w:tcPr>
          <w:p>
            <w:pPr>
              <w:spacing w:before="50" w:after="50" w:line="252" w:lineRule="auto"/>
            </w:pPr>
            <w:r>
              <w:rPr>
                <w:rFonts w:ascii="Courier New" w:hAnsi="Courier New"/>
                <w:sz w:val="16"/>
              </w:rPr>
              <w:t>Actor_Civic_01</w:t>
            </w:r>
            <w:r>
              <w:rPr>
                <w:rFonts w:ascii="Times New Roman" w:hAnsi="Times New Roman"/>
                <w:b w:val="0"/>
                <w:i/>
                <w:sz w:val="17"/>
              </w:rPr>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Investigative Citizen Journalist</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4</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2</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0.0062</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0.0014</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0.0078</w:t>
            </w:r>
          </w:p>
        </w:tc>
      </w:tr>
      <w:tr>
        <w:tc>
          <w:tcPr>
            <w:tcW w:type="dxa" w:w="1170"/>
            <w:tcMar>
              <w:top w:w="60" w:type="dxa"/>
              <w:bottom w:w="60" w:type="dxa"/>
              <w:left w:w="80" w:type="dxa"/>
              <w:right w:w="80" w:type="dxa"/>
            </w:tcMar>
          </w:tcPr>
          <w:p>
            <w:pPr>
              <w:spacing w:before="50" w:after="50" w:line="252" w:lineRule="auto"/>
            </w:pPr>
            <w:r>
              <w:rPr>
                <w:rFonts w:ascii="Times New Roman" w:hAnsi="Times New Roman"/>
                <w:b/>
                <w:i w:val="0"/>
                <w:sz w:val="17"/>
              </w:rPr>
              <w:t>4</w:t>
            </w:r>
          </w:p>
        </w:tc>
        <w:tc>
          <w:tcPr>
            <w:tcW w:type="dxa" w:w="1170"/>
            <w:tcMar>
              <w:top w:w="60" w:type="dxa"/>
              <w:bottom w:w="60" w:type="dxa"/>
              <w:left w:w="80" w:type="dxa"/>
              <w:right w:w="80" w:type="dxa"/>
            </w:tcMar>
          </w:tcPr>
          <w:p>
            <w:pPr>
              <w:spacing w:before="50" w:after="50" w:line="252" w:lineRule="auto"/>
            </w:pPr>
            <w:r>
              <w:rPr>
                <w:rFonts w:ascii="Courier New" w:hAnsi="Courier New"/>
                <w:sz w:val="16"/>
              </w:rPr>
              <w:t>Actor_Parent_02</w:t>
            </w:r>
            <w:r>
              <w:rPr>
                <w:rFonts w:ascii="Times New Roman" w:hAnsi="Times New Roman"/>
                <w:b w:val="0"/>
                <w:i/>
                <w:sz w:val="17"/>
              </w:rPr>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School Parent Association Activist</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3</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2</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0.0051</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0.0009</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0.0067</w:t>
            </w:r>
          </w:p>
        </w:tc>
      </w:tr>
      <w:tr>
        <w:tc>
          <w:tcPr>
            <w:tcW w:type="dxa" w:w="1170"/>
            <w:tcMar>
              <w:top w:w="60" w:type="dxa"/>
              <w:bottom w:w="60" w:type="dxa"/>
              <w:left w:w="80" w:type="dxa"/>
              <w:right w:w="80" w:type="dxa"/>
            </w:tcMar>
          </w:tcPr>
          <w:p>
            <w:pPr>
              <w:spacing w:before="50" w:after="50" w:line="252" w:lineRule="auto"/>
            </w:pPr>
            <w:r>
              <w:rPr>
                <w:rFonts w:ascii="Times New Roman" w:hAnsi="Times New Roman"/>
                <w:b/>
                <w:i w:val="0"/>
                <w:sz w:val="17"/>
              </w:rPr>
              <w:t>5</w:t>
            </w:r>
          </w:p>
        </w:tc>
        <w:tc>
          <w:tcPr>
            <w:tcW w:type="dxa" w:w="1170"/>
            <w:tcMar>
              <w:top w:w="60" w:type="dxa"/>
              <w:bottom w:w="60" w:type="dxa"/>
              <w:left w:w="80" w:type="dxa"/>
              <w:right w:w="80" w:type="dxa"/>
            </w:tcMar>
          </w:tcPr>
          <w:p>
            <w:pPr>
              <w:spacing w:before="50" w:after="50" w:line="252" w:lineRule="auto"/>
            </w:pPr>
            <w:r>
              <w:rPr>
                <w:rFonts w:ascii="Courier New" w:hAnsi="Courier New"/>
                <w:sz w:val="16"/>
              </w:rPr>
              <w:t>@bgn_ri</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National Nutrition Agency Official</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5</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0.0051</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0.0000</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0.0051</w:t>
            </w:r>
          </w:p>
        </w:tc>
      </w:tr>
      <w:tr>
        <w:tc>
          <w:tcPr>
            <w:tcW w:type="dxa" w:w="1170"/>
            <w:tcMar>
              <w:top w:w="60" w:type="dxa"/>
              <w:bottom w:w="60" w:type="dxa"/>
              <w:left w:w="80" w:type="dxa"/>
              <w:right w:w="80" w:type="dxa"/>
            </w:tcMar>
          </w:tcPr>
          <w:p>
            <w:pPr>
              <w:spacing w:before="50" w:after="50" w:line="252" w:lineRule="auto"/>
            </w:pPr>
            <w:r>
              <w:rPr>
                <w:rFonts w:ascii="Times New Roman" w:hAnsi="Times New Roman"/>
                <w:b/>
                <w:i w:val="0"/>
                <w:sz w:val="17"/>
              </w:rPr>
              <w:t>6</w:t>
            </w:r>
          </w:p>
        </w:tc>
        <w:tc>
          <w:tcPr>
            <w:tcW w:type="dxa" w:w="1170"/>
            <w:tcMar>
              <w:top w:w="60" w:type="dxa"/>
              <w:bottom w:w="60" w:type="dxa"/>
              <w:left w:w="80" w:type="dxa"/>
              <w:right w:w="80" w:type="dxa"/>
            </w:tcMar>
          </w:tcPr>
          <w:p>
            <w:pPr>
              <w:spacing w:before="50" w:after="50" w:line="252" w:lineRule="auto"/>
            </w:pPr>
            <w:r>
              <w:rPr>
                <w:rFonts w:ascii="Courier New" w:hAnsi="Courier New"/>
                <w:sz w:val="16"/>
              </w:rPr>
              <w:t>Actor_Doctor_03</w:t>
            </w:r>
            <w:r>
              <w:rPr>
                <w:rFonts w:ascii="Times New Roman" w:hAnsi="Times New Roman"/>
                <w:b w:val="0"/>
                <w:i/>
                <w:sz w:val="17"/>
              </w:rPr>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Public Health Epidemiologist</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2</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2</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0.0041</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0.0011</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0.0062</w:t>
            </w:r>
          </w:p>
        </w:tc>
      </w:tr>
      <w:tr>
        <w:tc>
          <w:tcPr>
            <w:tcW w:type="dxa" w:w="1170"/>
            <w:tcMar>
              <w:top w:w="60" w:type="dxa"/>
              <w:bottom w:w="60" w:type="dxa"/>
              <w:left w:w="80" w:type="dxa"/>
              <w:right w:w="80" w:type="dxa"/>
            </w:tcMar>
          </w:tcPr>
          <w:p>
            <w:pPr>
              <w:spacing w:before="50" w:after="50" w:line="252" w:lineRule="auto"/>
            </w:pPr>
            <w:r>
              <w:rPr>
                <w:rFonts w:ascii="Times New Roman" w:hAnsi="Times New Roman"/>
                <w:b/>
                <w:i w:val="0"/>
                <w:sz w:val="17"/>
              </w:rPr>
              <w:t>7</w:t>
            </w:r>
          </w:p>
        </w:tc>
        <w:tc>
          <w:tcPr>
            <w:tcW w:type="dxa" w:w="1170"/>
            <w:tcMar>
              <w:top w:w="60" w:type="dxa"/>
              <w:bottom w:w="60" w:type="dxa"/>
              <w:left w:w="80" w:type="dxa"/>
              <w:right w:w="80" w:type="dxa"/>
            </w:tcMar>
          </w:tcPr>
          <w:p>
            <w:pPr>
              <w:spacing w:before="50" w:after="50" w:line="252" w:lineRule="auto"/>
            </w:pPr>
            <w:r>
              <w:rPr>
                <w:rFonts w:ascii="Courier New" w:hAnsi="Courier New"/>
                <w:sz w:val="16"/>
              </w:rPr>
              <w:t>Actor_Vendor_04</w:t>
            </w:r>
            <w:r>
              <w:rPr>
                <w:rFonts w:ascii="Times New Roman" w:hAnsi="Times New Roman"/>
                <w:b w:val="0"/>
                <w:i/>
                <w:sz w:val="17"/>
              </w:rPr>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Suspended Catering Vendor Operator</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1</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3</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0.0041</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0.0006</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0.0058</w:t>
            </w:r>
          </w:p>
        </w:tc>
      </w:tr>
      <w:tr>
        <w:tc>
          <w:tcPr>
            <w:tcW w:type="dxa" w:w="1170"/>
            <w:tcMar>
              <w:top w:w="60" w:type="dxa"/>
              <w:bottom w:w="60" w:type="dxa"/>
              <w:left w:w="80" w:type="dxa"/>
              <w:right w:w="80" w:type="dxa"/>
            </w:tcMar>
          </w:tcPr>
          <w:p>
            <w:pPr>
              <w:spacing w:before="50" w:after="50" w:line="252" w:lineRule="auto"/>
            </w:pPr>
            <w:r>
              <w:rPr>
                <w:rFonts w:ascii="Times New Roman" w:hAnsi="Times New Roman"/>
                <w:b/>
                <w:i w:val="0"/>
                <w:sz w:val="17"/>
              </w:rPr>
              <w:t>8</w:t>
            </w:r>
          </w:p>
        </w:tc>
        <w:tc>
          <w:tcPr>
            <w:tcW w:type="dxa" w:w="1170"/>
            <w:tcMar>
              <w:top w:w="60" w:type="dxa"/>
              <w:bottom w:w="60" w:type="dxa"/>
              <w:left w:w="80" w:type="dxa"/>
              <w:right w:w="80" w:type="dxa"/>
            </w:tcMar>
          </w:tcPr>
          <w:p>
            <w:pPr>
              <w:spacing w:before="50" w:after="50" w:line="252" w:lineRule="auto"/>
            </w:pPr>
            <w:r>
              <w:rPr>
                <w:rFonts w:ascii="Courier New" w:hAnsi="Courier New"/>
                <w:sz w:val="16"/>
              </w:rPr>
              <w:t>@kemdikbud</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Ministry of Education &amp; Culture</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4</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0.0041</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0.0000</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0.0041</w:t>
            </w:r>
          </w:p>
        </w:tc>
      </w:tr>
      <w:tr>
        <w:tc>
          <w:tcPr>
            <w:tcW w:type="dxa" w:w="1170"/>
            <w:tcMar>
              <w:top w:w="60" w:type="dxa"/>
              <w:bottom w:w="60" w:type="dxa"/>
              <w:left w:w="80" w:type="dxa"/>
              <w:right w:w="80" w:type="dxa"/>
            </w:tcMar>
          </w:tcPr>
          <w:p>
            <w:pPr>
              <w:spacing w:before="50" w:after="50" w:line="252" w:lineRule="auto"/>
            </w:pPr>
            <w:r>
              <w:rPr>
                <w:rFonts w:ascii="Times New Roman" w:hAnsi="Times New Roman"/>
                <w:b/>
                <w:i w:val="0"/>
                <w:sz w:val="17"/>
              </w:rPr>
              <w:t>9</w:t>
            </w:r>
          </w:p>
        </w:tc>
        <w:tc>
          <w:tcPr>
            <w:tcW w:type="dxa" w:w="1170"/>
            <w:tcMar>
              <w:top w:w="60" w:type="dxa"/>
              <w:bottom w:w="60" w:type="dxa"/>
              <w:left w:w="80" w:type="dxa"/>
              <w:right w:w="80" w:type="dxa"/>
            </w:tcMar>
          </w:tcPr>
          <w:p>
            <w:pPr>
              <w:spacing w:before="50" w:after="50" w:line="252" w:lineRule="auto"/>
            </w:pPr>
            <w:r>
              <w:rPr>
                <w:rFonts w:ascii="Courier New" w:hAnsi="Courier New"/>
                <w:sz w:val="16"/>
              </w:rPr>
              <w:t>Actor_NGO_05</w:t>
            </w:r>
            <w:r>
              <w:rPr>
                <w:rFonts w:ascii="Times New Roman" w:hAnsi="Times New Roman"/>
                <w:b w:val="0"/>
                <w:i/>
                <w:sz w:val="17"/>
              </w:rPr>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Budget Transparency Watchdog</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1</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2</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0.0031</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0.0004</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0.0052</w:t>
            </w:r>
          </w:p>
        </w:tc>
      </w:tr>
      <w:tr>
        <w:tc>
          <w:tcPr>
            <w:tcW w:type="dxa" w:w="1170"/>
            <w:tcMar>
              <w:top w:w="60" w:type="dxa"/>
              <w:bottom w:w="60" w:type="dxa"/>
              <w:left w:w="80" w:type="dxa"/>
              <w:right w:w="80" w:type="dxa"/>
            </w:tcMar>
          </w:tcPr>
          <w:p>
            <w:pPr>
              <w:spacing w:before="50" w:after="50" w:line="252" w:lineRule="auto"/>
            </w:pPr>
            <w:r>
              <w:rPr>
                <w:rFonts w:ascii="Times New Roman" w:hAnsi="Times New Roman"/>
                <w:b/>
                <w:i w:val="0"/>
                <w:sz w:val="17"/>
              </w:rPr>
              <w:t>10</w:t>
            </w:r>
          </w:p>
        </w:tc>
        <w:tc>
          <w:tcPr>
            <w:tcW w:type="dxa" w:w="1170"/>
            <w:tcMar>
              <w:top w:w="60" w:type="dxa"/>
              <w:bottom w:w="60" w:type="dxa"/>
              <w:left w:w="80" w:type="dxa"/>
              <w:right w:w="80" w:type="dxa"/>
            </w:tcMar>
          </w:tcPr>
          <w:p>
            <w:pPr>
              <w:spacing w:before="50" w:after="50" w:line="252" w:lineRule="auto"/>
            </w:pPr>
            <w:r>
              <w:rPr>
                <w:rFonts w:ascii="Courier New" w:hAnsi="Courier New"/>
                <w:sz w:val="16"/>
              </w:rPr>
              <w:t>Actor_Student_06</w:t>
            </w:r>
            <w:r>
              <w:rPr>
                <w:rFonts w:ascii="Times New Roman" w:hAnsi="Times New Roman"/>
                <w:b w:val="0"/>
                <w:i/>
                <w:sz w:val="17"/>
              </w:rPr>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University Student Council Leader</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2</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1</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0.0031</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0.0003</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0.0049</w:t>
            </w:r>
          </w:p>
        </w:tc>
      </w:tr>
      <w:tr>
        <w:tc>
          <w:tcPr>
            <w:tcW w:type="dxa" w:w="1170"/>
            <w:tcMar>
              <w:top w:w="60" w:type="dxa"/>
              <w:bottom w:w="60" w:type="dxa"/>
              <w:left w:w="80" w:type="dxa"/>
              <w:right w:w="80" w:type="dxa"/>
            </w:tcMar>
          </w:tcPr>
          <w:p>
            <w:pPr>
              <w:spacing w:before="50" w:after="50" w:line="252" w:lineRule="auto"/>
            </w:pPr>
            <w:r>
              <w:rPr>
                <w:rFonts w:ascii="Times New Roman" w:hAnsi="Times New Roman"/>
                <w:b/>
                <w:i w:val="0"/>
                <w:sz w:val="17"/>
              </w:rPr>
              <w:t>11</w:t>
            </w:r>
          </w:p>
        </w:tc>
        <w:tc>
          <w:tcPr>
            <w:tcW w:type="dxa" w:w="1170"/>
            <w:tcMar>
              <w:top w:w="60" w:type="dxa"/>
              <w:bottom w:w="60" w:type="dxa"/>
              <w:left w:w="80" w:type="dxa"/>
              <w:right w:w="80" w:type="dxa"/>
            </w:tcMar>
          </w:tcPr>
          <w:p>
            <w:pPr>
              <w:spacing w:before="50" w:after="50" w:line="252" w:lineRule="auto"/>
            </w:pPr>
            <w:r>
              <w:rPr>
                <w:rFonts w:ascii="Courier New" w:hAnsi="Courier New"/>
                <w:sz w:val="16"/>
              </w:rPr>
              <w:t>Actor_Teacher_07</w:t>
            </w:r>
            <w:r>
              <w:rPr>
                <w:rFonts w:ascii="Times New Roman" w:hAnsi="Times New Roman"/>
                <w:b w:val="0"/>
                <w:i/>
                <w:sz w:val="17"/>
              </w:rPr>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Rural Elementary School Principal</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1</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2</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0.0031</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0.0002</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0.0045</w:t>
            </w:r>
          </w:p>
        </w:tc>
      </w:tr>
      <w:tr>
        <w:tc>
          <w:tcPr>
            <w:tcW w:type="dxa" w:w="1170"/>
            <w:tcMar>
              <w:top w:w="60" w:type="dxa"/>
              <w:bottom w:w="60" w:type="dxa"/>
              <w:left w:w="80" w:type="dxa"/>
              <w:right w:w="80" w:type="dxa"/>
            </w:tcMar>
          </w:tcPr>
          <w:p>
            <w:pPr>
              <w:spacing w:before="50" w:after="50" w:line="252" w:lineRule="auto"/>
            </w:pPr>
            <w:r>
              <w:rPr>
                <w:rFonts w:ascii="Times New Roman" w:hAnsi="Times New Roman"/>
                <w:b/>
                <w:i w:val="0"/>
                <w:sz w:val="17"/>
              </w:rPr>
              <w:t>12</w:t>
            </w:r>
          </w:p>
        </w:tc>
        <w:tc>
          <w:tcPr>
            <w:tcW w:type="dxa" w:w="1170"/>
            <w:tcMar>
              <w:top w:w="60" w:type="dxa"/>
              <w:bottom w:w="60" w:type="dxa"/>
              <w:left w:w="80" w:type="dxa"/>
              <w:right w:w="80" w:type="dxa"/>
            </w:tcMar>
          </w:tcPr>
          <w:p>
            <w:pPr>
              <w:spacing w:before="50" w:after="50" w:line="252" w:lineRule="auto"/>
            </w:pPr>
            <w:r>
              <w:rPr>
                <w:rFonts w:ascii="Courier New" w:hAnsi="Courier New"/>
                <w:sz w:val="16"/>
              </w:rPr>
              <w:t>Actor_Media_08</w:t>
            </w:r>
            <w:r>
              <w:rPr>
                <w:rFonts w:ascii="Times New Roman" w:hAnsi="Times New Roman"/>
                <w:b w:val="0"/>
                <w:i/>
                <w:sz w:val="17"/>
              </w:rPr>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Independent Regional News Portal</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3</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0.0031</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0.0000</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0.0031</w:t>
            </w:r>
          </w:p>
        </w:tc>
      </w:tr>
      <w:tr>
        <w:tc>
          <w:tcPr>
            <w:tcW w:type="dxa" w:w="1170"/>
            <w:tcMar>
              <w:top w:w="60" w:type="dxa"/>
              <w:bottom w:w="60" w:type="dxa"/>
              <w:left w:w="80" w:type="dxa"/>
              <w:right w:w="80" w:type="dxa"/>
            </w:tcMar>
          </w:tcPr>
          <w:p>
            <w:pPr>
              <w:spacing w:before="50" w:after="50" w:line="252" w:lineRule="auto"/>
            </w:pPr>
            <w:r>
              <w:rPr>
                <w:rFonts w:ascii="Times New Roman" w:hAnsi="Times New Roman"/>
                <w:b/>
                <w:i w:val="0"/>
                <w:sz w:val="17"/>
              </w:rPr>
              <w:t>13</w:t>
            </w:r>
          </w:p>
        </w:tc>
        <w:tc>
          <w:tcPr>
            <w:tcW w:type="dxa" w:w="1170"/>
            <w:tcMar>
              <w:top w:w="60" w:type="dxa"/>
              <w:bottom w:w="60" w:type="dxa"/>
              <w:left w:w="80" w:type="dxa"/>
              <w:right w:w="80" w:type="dxa"/>
            </w:tcMar>
          </w:tcPr>
          <w:p>
            <w:pPr>
              <w:spacing w:before="50" w:after="50" w:line="252" w:lineRule="auto"/>
            </w:pPr>
            <w:r>
              <w:rPr>
                <w:rFonts w:ascii="Courier New" w:hAnsi="Courier New"/>
                <w:sz w:val="16"/>
              </w:rPr>
              <w:t>Actor_Legal_09</w:t>
            </w:r>
            <w:r>
              <w:rPr>
                <w:rFonts w:ascii="Times New Roman" w:hAnsi="Times New Roman"/>
                <w:b w:val="0"/>
                <w:i/>
                <w:sz w:val="17"/>
              </w:rPr>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Consumer Rights Legal Advocate</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1</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1</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0.0021</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0.0002</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0.0039</w:t>
            </w:r>
          </w:p>
        </w:tc>
      </w:tr>
      <w:tr>
        <w:tc>
          <w:tcPr>
            <w:tcW w:type="dxa" w:w="1170"/>
            <w:tcMar>
              <w:top w:w="60" w:type="dxa"/>
              <w:bottom w:w="60" w:type="dxa"/>
              <w:left w:w="80" w:type="dxa"/>
              <w:right w:w="80" w:type="dxa"/>
            </w:tcMar>
          </w:tcPr>
          <w:p>
            <w:pPr>
              <w:spacing w:before="50" w:after="50" w:line="252" w:lineRule="auto"/>
            </w:pPr>
            <w:r>
              <w:rPr>
                <w:rFonts w:ascii="Times New Roman" w:hAnsi="Times New Roman"/>
                <w:b/>
                <w:i w:val="0"/>
                <w:sz w:val="17"/>
              </w:rPr>
              <w:t>14</w:t>
            </w:r>
          </w:p>
        </w:tc>
        <w:tc>
          <w:tcPr>
            <w:tcW w:type="dxa" w:w="1170"/>
            <w:tcMar>
              <w:top w:w="60" w:type="dxa"/>
              <w:bottom w:w="60" w:type="dxa"/>
              <w:left w:w="80" w:type="dxa"/>
              <w:right w:w="80" w:type="dxa"/>
            </w:tcMar>
          </w:tcPr>
          <w:p>
            <w:pPr>
              <w:spacing w:before="50" w:after="50" w:line="252" w:lineRule="auto"/>
            </w:pPr>
            <w:r>
              <w:rPr>
                <w:rFonts w:ascii="Courier New" w:hAnsi="Courier New"/>
                <w:sz w:val="16"/>
              </w:rPr>
              <w:t>Actor_Diet_10</w:t>
            </w:r>
            <w:r>
              <w:rPr>
                <w:rFonts w:ascii="Times New Roman" w:hAnsi="Times New Roman"/>
                <w:b w:val="0"/>
                <w:i/>
                <w:sz w:val="17"/>
              </w:rPr>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Certified Clinical Nutritionist</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2</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0.0021</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0.0000</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0.0021</w:t>
            </w:r>
          </w:p>
        </w:tc>
      </w:tr>
      <w:tr>
        <w:tc>
          <w:tcPr>
            <w:tcW w:type="dxa" w:w="117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i w:val="0"/>
                <w:sz w:val="17"/>
              </w:rPr>
              <w:t>15</w:t>
            </w:r>
          </w:p>
        </w:tc>
        <w:tc>
          <w:tcPr>
            <w:tcW w:type="dxa" w:w="1170"/>
            <w:tcMar>
              <w:top w:w="60" w:type="dxa"/>
              <w:bottom w:w="60" w:type="dxa"/>
              <w:left w:w="80" w:type="dxa"/>
              <w:right w:w="80" w:type="dxa"/>
            </w:tcMar>
            <w:tcBorders>
              <w:bottom w:val="single" w:sz="10" w:space="0" w:color="000000"/>
            </w:tcBorders>
          </w:tcPr>
          <w:p>
            <w:pPr>
              <w:spacing w:before="50" w:after="50" w:line="252" w:lineRule="auto"/>
            </w:pPr>
            <w:r>
              <w:rPr>
                <w:rFonts w:ascii="Courier New" w:hAnsi="Courier New"/>
                <w:sz w:val="16"/>
              </w:rPr>
              <w:t>Actor_Fiscal_11</w:t>
            </w:r>
            <w:r>
              <w:rPr>
                <w:rFonts w:ascii="Times New Roman" w:hAnsi="Times New Roman"/>
                <w:b w:val="0"/>
                <w:i/>
                <w:sz w:val="17"/>
              </w:rPr>
            </w:r>
          </w:p>
        </w:tc>
        <w:tc>
          <w:tcPr>
            <w:tcW w:type="dxa" w:w="117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val="0"/>
                <w:i w:val="0"/>
                <w:sz w:val="17"/>
              </w:rPr>
              <w:t>Macroeconomic Fiscal Analyst</w:t>
            </w:r>
          </w:p>
        </w:tc>
        <w:tc>
          <w:tcPr>
            <w:tcW w:type="dxa" w:w="117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val="0"/>
                <w:i w:val="0"/>
                <w:sz w:val="17"/>
              </w:rPr>
              <w:t>1</w:t>
            </w:r>
          </w:p>
        </w:tc>
        <w:tc>
          <w:tcPr>
            <w:tcW w:type="dxa" w:w="117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val="0"/>
                <w:i w:val="0"/>
                <w:sz w:val="17"/>
              </w:rPr>
              <w:t>1</w:t>
            </w:r>
          </w:p>
        </w:tc>
        <w:tc>
          <w:tcPr>
            <w:tcW w:type="dxa" w:w="117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val="0"/>
                <w:i w:val="0"/>
                <w:sz w:val="17"/>
              </w:rPr>
              <w:t>0.0021</w:t>
            </w:r>
          </w:p>
        </w:tc>
        <w:tc>
          <w:tcPr>
            <w:tcW w:type="dxa" w:w="117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val="0"/>
                <w:i w:val="0"/>
                <w:sz w:val="17"/>
              </w:rPr>
              <w:t>0.0001</w:t>
            </w:r>
          </w:p>
        </w:tc>
        <w:tc>
          <w:tcPr>
            <w:tcW w:type="dxa" w:w="117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val="0"/>
                <w:i w:val="0"/>
                <w:sz w:val="17"/>
              </w:rPr>
              <w:t>0.0035</w:t>
            </w:r>
          </w:p>
        </w:tc>
      </w:tr>
    </w:tbl>
    <w:p>
      <w:pPr>
        <w:spacing w:after="120"/>
      </w:pPr>
    </w:p>
    <w:p>
      <w:pPr>
        <w:spacing w:before="0" w:after="100" w:line="384" w:lineRule="auto"/>
        <w:ind w:firstLine="360"/>
        <w:jc w:val="both"/>
      </w:pPr>
      <w:r/>
      <w:r>
        <w:rPr>
          <w:rFonts w:ascii="Times New Roman" w:hAnsi="Times New Roman"/>
          <w:sz w:val="24"/>
        </w:rPr>
        <w:t>\User handles pseudonymized in compliance with AoIR 3.0 ethical guidelines.</w:t>
      </w:r>
    </w:p>
    <w:p>
      <w:pPr>
        <w:spacing w:before="200" w:after="60"/>
        <w:jc w:val="center"/>
      </w:pPr>
      <w:r>
        <w:drawing>
          <wp:inline xmlns:a="http://schemas.openxmlformats.org/drawingml/2006/main" xmlns:pic="http://schemas.openxmlformats.org/drawingml/2006/picture">
            <wp:extent cx="5303520" cy="3568344"/>
            <wp:docPr id="5" name="Picture 5"/>
            <wp:cNvGraphicFramePr>
              <a:graphicFrameLocks noChangeAspect="1"/>
            </wp:cNvGraphicFramePr>
            <a:graphic>
              <a:graphicData uri="http://schemas.openxmlformats.org/drawingml/2006/picture">
                <pic:pic>
                  <pic:nvPicPr>
                    <pic:cNvPr id="0" name="18_actor_centrality_typology.png"/>
                    <pic:cNvPicPr/>
                  </pic:nvPicPr>
                  <pic:blipFill>
                    <a:blip r:embed="rId15"/>
                    <a:stretch>
                      <a:fillRect/>
                    </a:stretch>
                  </pic:blipFill>
                  <pic:spPr>
                    <a:xfrm>
                      <a:off x="0" y="0"/>
                      <a:ext cx="5303520" cy="3568344"/>
                    </a:xfrm>
                    <a:prstGeom prst="rect"/>
                  </pic:spPr>
                </pic:pic>
              </a:graphicData>
            </a:graphic>
          </wp:inline>
        </w:drawing>
      </w:r>
    </w:p>
    <w:p>
      <w:pPr>
        <w:spacing w:before="40" w:after="240" w:line="264" w:lineRule="auto"/>
        <w:jc w:val="center"/>
      </w:pPr>
      <w:r>
        <w:rPr>
          <w:rFonts w:ascii="Times New Roman" w:hAnsi="Times New Roman"/>
          <w:b w:val="0"/>
          <w:i/>
          <w:color w:val="334155"/>
          <w:sz w:val="19"/>
        </w:rPr>
        <w:t>Figure 5: Four-Quadrant Actor Centrality Typology</w:t>
      </w:r>
    </w:p>
    <w:p>
      <w:pPr>
        <w:spacing w:before="0" w:after="100" w:line="384" w:lineRule="auto"/>
        <w:ind w:firstLine="360"/>
        <w:jc w:val="both"/>
      </w:pPr>
      <w:r>
        <w:rPr>
          <w:rFonts w:ascii="Times New Roman" w:hAnsi="Times New Roman"/>
          <w:b w:val="0"/>
          <w:i/>
          <w:sz w:val="21"/>
        </w:rPr>
        <w:t>Figure 5: Four-quadrant actor centrality typology: Betweenness vs Degree Centrality, highlighting the Algorithmic Oracle in Quadrant II.</w:t>
      </w:r>
    </w:p>
    <w:p>
      <w:pPr>
        <w:spacing w:before="0" w:after="100" w:line="384" w:lineRule="auto"/>
        <w:ind w:firstLine="360"/>
        <w:jc w:val="both"/>
      </w:pPr>
      <w:r/>
      <w:r>
        <w:rPr>
          <w:rFonts w:ascii="Times New Roman" w:hAnsi="Times New Roman"/>
          <w:sz w:val="24"/>
        </w:rPr>
        <w:t>As demonstrated in Table 2, President @prabowo functioned strictly as an in-degree grievance sink ($C_{\text{in}} = 17, C_{\text{out}} = 0$). Ordinary citizens directed desperate appeals and sharp critiques to the presidency, yet received zero communicative reciprocity.</w:t>
      </w:r>
    </w:p>
    <w:p>
      <w:pPr>
        <w:spacing w:before="0" w:after="100" w:line="384" w:lineRule="auto"/>
        <w:ind w:firstLine="360"/>
        <w:jc w:val="both"/>
      </w:pPr>
      <w:r/>
      <w:r>
        <w:rPr>
          <w:rFonts w:ascii="Times New Roman" w:hAnsi="Times New Roman"/>
          <w:sz w:val="24"/>
        </w:rPr>
        <w:t>In response to this institutional silence, citizens pivoted toward @grok—the platform-native generative AI engine. With an out-degree of 42, @grok achieved the highest overall degree centrality ($C_D = 0.0433$) and the highest betweenness centrality ($C_B = 0.0059$) in the entire network. Citizens systematically petitioned @grok as an objective Algorithmic Oracle, asking it to adjudicate disputes over whether catering vendors complied with protein requirements, calculate the true market cost of an ompreng tray, and evaluate government fiscal statements.</w:t>
      </w:r>
    </w:p>
    <w:p>
      <w:pPr>
        <w:spacing w:before="320" w:after="100" w:line="288" w:lineRule="auto"/>
        <w:jc w:val="left"/>
      </w:pPr>
      <w:r>
        <w:rPr>
          <w:rFonts w:ascii="Times New Roman" w:hAnsi="Times New Roman"/>
          <w:b/>
          <w:i w:val="0"/>
          <w:color w:val="0F172A"/>
          <w:sz w:val="24"/>
        </w:rPr>
        <w:t>6. EMPIRICAL AFFECTIVE DYNAMICS &amp; INDOBERT HOLDOUT VALIDATION</w:t>
      </w:r>
    </w:p>
    <w:p>
      <w:pPr>
        <w:spacing w:before="240" w:after="60" w:line="384" w:lineRule="auto"/>
        <w:jc w:val="left"/>
      </w:pPr>
      <w:r>
        <w:rPr>
          <w:rFonts w:ascii="Times New Roman" w:hAnsi="Times New Roman"/>
          <w:b/>
          <w:i w:val="0"/>
          <w:color w:val="1E293B"/>
          <w:sz w:val="23"/>
        </w:rPr>
        <w:t>6.1 Aspect-Based Sentiment Decomposition</w:t>
      </w:r>
    </w:p>
    <w:p>
      <w:pPr>
        <w:spacing w:before="0" w:after="100" w:line="384" w:lineRule="auto"/>
        <w:ind w:firstLine="360"/>
        <w:jc w:val="both"/>
      </w:pPr>
      <w:r>
        <w:rPr>
          <w:rFonts w:ascii="Times New Roman" w:hAnsi="Times New Roman"/>
          <w:b w:val="0"/>
          <w:i w:val="0"/>
          <w:sz w:val="21"/>
        </w:rPr>
        <w:t>Decomposing citizen discourse into three core operational facets reveals that public dissatisfaction was driven primarily by physical food quality rather than abstract fiscal concerns.</w:t>
      </w:r>
    </w:p>
    <w:p>
      <w:pPr>
        <w:spacing w:before="280" w:after="60" w:line="276" w:lineRule="auto"/>
        <w:jc w:val="left"/>
      </w:pPr>
      <w:r>
        <w:rPr>
          <w:rFonts w:ascii="Times New Roman" w:hAnsi="Times New Roman"/>
          <w:b/>
          <w:i w:val="0"/>
          <w:color w:val="0F172A"/>
          <w:sz w:val="21"/>
        </w:rPr>
        <w:t>Table 3: Aspect-Based Sentiment Decomposition across Operational Policy Dimensions</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Operational Policy Dimension</w:t>
            </w:r>
          </w:p>
        </w:tc>
        <w:tc>
          <w:tcPr>
            <w:tcW w:type="dxa" w:w="1337"/>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
              <w:rPr>
                <w:rFonts w:ascii="Times New Roman" w:hAnsi="Times New Roman"/>
                <w:sz w:val="20"/>
              </w:rPr>
              <w:t>Tweet Volume (N)</w:t>
            </w:r>
          </w:p>
        </w:tc>
        <w:tc>
          <w:tcPr>
            <w:tcW w:type="dxa" w:w="1337"/>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Discursive Share (%)</w:t>
            </w:r>
          </w:p>
        </w:tc>
        <w:tc>
          <w:tcPr>
            <w:tcW w:type="dxa" w:w="1337"/>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Disgust / Contempt (%)</w:t>
            </w:r>
          </w:p>
        </w:tc>
        <w:tc>
          <w:tcPr>
            <w:tcW w:type="dxa" w:w="1337"/>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Trust / Approval (%)</w:t>
            </w:r>
          </w:p>
        </w:tc>
        <w:tc>
          <w:tcPr>
            <w:tcW w:type="dxa" w:w="1337"/>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Sarcasm Ratio (%)</w:t>
            </w:r>
          </w:p>
        </w:tc>
        <w:tc>
          <w:tcPr>
            <w:tcW w:type="dxa" w:w="1337"/>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Dominant Semantic Signifiers</w:t>
            </w:r>
          </w:p>
        </w:tc>
      </w:tr>
      <w:tr>
        <w:tc>
          <w:tcPr>
            <w:tcW w:type="dxa" w:w="1337"/>
            <w:tcMar>
              <w:top w:w="60" w:type="dxa"/>
              <w:bottom w:w="60" w:type="dxa"/>
              <w:left w:w="80" w:type="dxa"/>
              <w:right w:w="80" w:type="dxa"/>
            </w:tcMar>
          </w:tcPr>
          <w:p>
            <w:pPr>
              <w:spacing w:before="50" w:after="50" w:line="252" w:lineRule="auto"/>
            </w:pPr>
            <w:r>
              <w:rPr>
                <w:rFonts w:ascii="Times New Roman" w:hAnsi="Times New Roman"/>
                <w:b/>
                <w:i w:val="0"/>
                <w:sz w:val="17"/>
              </w:rPr>
              <w:t>Nutritional Quality &amp; Safety</w:t>
            </w:r>
          </w:p>
        </w:tc>
        <w:tc>
          <w:tcPr>
            <w:tcW w:type="dxa" w:w="1337"/>
            <w:tcMar>
              <w:top w:w="60" w:type="dxa"/>
              <w:bottom w:w="60" w:type="dxa"/>
              <w:left w:w="80" w:type="dxa"/>
              <w:right w:w="80" w:type="dxa"/>
            </w:tcMar>
          </w:tcPr>
          <w:p>
            <w:pPr>
              <w:spacing w:before="50" w:after="50" w:line="252" w:lineRule="auto"/>
            </w:pPr>
            <w:r>
              <w:rPr>
                <w:rFonts w:ascii="Times New Roman" w:hAnsi="Times New Roman"/>
                <w:b/>
                <w:i w:val="0"/>
                <w:sz w:val="17"/>
              </w:rPr>
              <w:t>1,344</w:t>
            </w:r>
          </w:p>
        </w:tc>
        <w:tc>
          <w:tcPr>
            <w:tcW w:type="dxa" w:w="1337"/>
            <w:tcMar>
              <w:top w:w="60" w:type="dxa"/>
              <w:bottom w:w="60" w:type="dxa"/>
              <w:left w:w="80" w:type="dxa"/>
              <w:right w:w="80" w:type="dxa"/>
            </w:tcMar>
          </w:tcPr>
          <w:p>
            <w:pPr>
              <w:spacing w:before="50" w:after="50" w:line="252" w:lineRule="auto"/>
            </w:pPr>
            <w:r>
              <w:rPr>
                <w:rFonts w:ascii="Times New Roman" w:hAnsi="Times New Roman"/>
                <w:b/>
                <w:i w:val="0"/>
                <w:sz w:val="17"/>
              </w:rPr>
              <w:t>39.59%</w:t>
            </w:r>
          </w:p>
        </w:tc>
        <w:tc>
          <w:tcPr>
            <w:tcW w:type="dxa" w:w="1337"/>
            <w:tcMar>
              <w:top w:w="60" w:type="dxa"/>
              <w:bottom w:w="60" w:type="dxa"/>
              <w:left w:w="80" w:type="dxa"/>
              <w:right w:w="80" w:type="dxa"/>
            </w:tcMar>
          </w:tcPr>
          <w:p>
            <w:pPr>
              <w:spacing w:before="50" w:after="50" w:line="252" w:lineRule="auto"/>
            </w:pPr>
            <w:r>
              <w:rPr>
                <w:rFonts w:ascii="Times New Roman" w:hAnsi="Times New Roman"/>
                <w:b/>
                <w:i w:val="0"/>
                <w:sz w:val="17"/>
              </w:rPr>
              <w:t>71.13%</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val="0"/>
                <w:sz w:val="17"/>
              </w:rPr>
              <w:t>18.23%</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val="0"/>
                <w:sz w:val="17"/>
              </w:rPr>
              <w:t>11.24%</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sz w:val="17"/>
              </w:rPr>
              <w:t>basi, ulat, belatung, muntah, diare, bau, gak layak, keracunan</w:t>
            </w:r>
          </w:p>
        </w:tc>
      </w:tr>
      <w:tr>
        <w:tc>
          <w:tcPr>
            <w:tcW w:type="dxa" w:w="1337"/>
            <w:tcMar>
              <w:top w:w="60" w:type="dxa"/>
              <w:bottom w:w="60" w:type="dxa"/>
              <w:left w:w="80" w:type="dxa"/>
              <w:right w:w="80" w:type="dxa"/>
            </w:tcMar>
          </w:tcPr>
          <w:p>
            <w:pPr>
              <w:spacing w:before="50" w:after="50" w:line="252" w:lineRule="auto"/>
            </w:pPr>
            <w:r>
              <w:rPr>
                <w:rFonts w:ascii="Times New Roman" w:hAnsi="Times New Roman"/>
                <w:b/>
                <w:i w:val="0"/>
                <w:sz w:val="17"/>
              </w:rPr>
              <w:t>Logistics &amp; Distribution</w:t>
            </w:r>
          </w:p>
        </w:tc>
        <w:tc>
          <w:tcPr>
            <w:tcW w:type="dxa" w:w="1337"/>
            <w:tcMar>
              <w:top w:w="60" w:type="dxa"/>
              <w:bottom w:w="60" w:type="dxa"/>
              <w:left w:w="80" w:type="dxa"/>
              <w:right w:w="80" w:type="dxa"/>
            </w:tcMar>
          </w:tcPr>
          <w:p>
            <w:pPr>
              <w:spacing w:before="50" w:after="50" w:line="252" w:lineRule="auto"/>
            </w:pPr>
            <w:r>
              <w:rPr>
                <w:rFonts w:ascii="Times New Roman" w:hAnsi="Times New Roman"/>
                <w:b/>
                <w:i w:val="0"/>
                <w:sz w:val="17"/>
              </w:rPr>
              <w:t>1,183</w:t>
            </w:r>
          </w:p>
        </w:tc>
        <w:tc>
          <w:tcPr>
            <w:tcW w:type="dxa" w:w="1337"/>
            <w:tcMar>
              <w:top w:w="60" w:type="dxa"/>
              <w:bottom w:w="60" w:type="dxa"/>
              <w:left w:w="80" w:type="dxa"/>
              <w:right w:w="80" w:type="dxa"/>
            </w:tcMar>
          </w:tcPr>
          <w:p>
            <w:pPr>
              <w:spacing w:before="50" w:after="50" w:line="252" w:lineRule="auto"/>
            </w:pPr>
            <w:r>
              <w:rPr>
                <w:rFonts w:ascii="Times New Roman" w:hAnsi="Times New Roman"/>
                <w:b/>
                <w:i w:val="0"/>
                <w:sz w:val="17"/>
              </w:rPr>
              <w:t>34.85%</w:t>
            </w:r>
          </w:p>
        </w:tc>
        <w:tc>
          <w:tcPr>
            <w:tcW w:type="dxa" w:w="1337"/>
            <w:tcMar>
              <w:top w:w="60" w:type="dxa"/>
              <w:bottom w:w="60" w:type="dxa"/>
              <w:left w:w="80" w:type="dxa"/>
              <w:right w:w="80" w:type="dxa"/>
            </w:tcMar>
          </w:tcPr>
          <w:p>
            <w:pPr>
              <w:spacing w:before="50" w:after="50" w:line="252" w:lineRule="auto"/>
            </w:pPr>
            <w:r>
              <w:rPr>
                <w:rFonts w:ascii="Times New Roman" w:hAnsi="Times New Roman"/>
                <w:b/>
                <w:i w:val="0"/>
                <w:sz w:val="17"/>
              </w:rPr>
              <w:t>78.91%</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val="0"/>
                <w:sz w:val="17"/>
              </w:rPr>
              <w:t>12.42%</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val="0"/>
                <w:sz w:val="17"/>
              </w:rPr>
              <w:t>9.89%</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sz w:val="17"/>
              </w:rPr>
              <w:t>telat, ompreng, vendor, sppg tutup, dingin, jarak, mobil mogok</w:t>
            </w:r>
          </w:p>
        </w:tc>
      </w:tr>
      <w:tr>
        <w:tc>
          <w:tcPr>
            <w:tcW w:type="dxa" w:w="1337"/>
            <w:tcMar>
              <w:top w:w="60" w:type="dxa"/>
              <w:bottom w:w="60" w:type="dxa"/>
              <w:left w:w="80" w:type="dxa"/>
              <w:right w:w="80" w:type="dxa"/>
            </w:tcMar>
          </w:tcPr>
          <w:p>
            <w:pPr>
              <w:spacing w:before="50" w:after="50" w:line="252" w:lineRule="auto"/>
            </w:pPr>
            <w:r>
              <w:rPr>
                <w:rFonts w:ascii="Times New Roman" w:hAnsi="Times New Roman"/>
                <w:b/>
                <w:i w:val="0"/>
                <w:sz w:val="17"/>
              </w:rPr>
              <w:t>Budget &amp; Procurement</w:t>
            </w:r>
          </w:p>
        </w:tc>
        <w:tc>
          <w:tcPr>
            <w:tcW w:type="dxa" w:w="1337"/>
            <w:tcMar>
              <w:top w:w="60" w:type="dxa"/>
              <w:bottom w:w="60" w:type="dxa"/>
              <w:left w:w="80" w:type="dxa"/>
              <w:right w:w="80" w:type="dxa"/>
            </w:tcMar>
          </w:tcPr>
          <w:p>
            <w:pPr>
              <w:spacing w:before="50" w:after="50" w:line="252" w:lineRule="auto"/>
            </w:pPr>
            <w:r>
              <w:rPr>
                <w:rFonts w:ascii="Times New Roman" w:hAnsi="Times New Roman"/>
                <w:b/>
                <w:i w:val="0"/>
                <w:sz w:val="17"/>
              </w:rPr>
              <w:t>868</w:t>
            </w:r>
          </w:p>
        </w:tc>
        <w:tc>
          <w:tcPr>
            <w:tcW w:type="dxa" w:w="1337"/>
            <w:tcMar>
              <w:top w:w="60" w:type="dxa"/>
              <w:bottom w:w="60" w:type="dxa"/>
              <w:left w:w="80" w:type="dxa"/>
              <w:right w:w="80" w:type="dxa"/>
            </w:tcMar>
          </w:tcPr>
          <w:p>
            <w:pPr>
              <w:spacing w:before="50" w:after="50" w:line="252" w:lineRule="auto"/>
            </w:pPr>
            <w:r>
              <w:rPr>
                <w:rFonts w:ascii="Times New Roman" w:hAnsi="Times New Roman"/>
                <w:b/>
                <w:i w:val="0"/>
                <w:sz w:val="17"/>
              </w:rPr>
              <w:t>25.56%</w:t>
            </w:r>
          </w:p>
        </w:tc>
        <w:tc>
          <w:tcPr>
            <w:tcW w:type="dxa" w:w="1337"/>
            <w:tcMar>
              <w:top w:w="60" w:type="dxa"/>
              <w:bottom w:w="60" w:type="dxa"/>
              <w:left w:w="80" w:type="dxa"/>
              <w:right w:w="80" w:type="dxa"/>
            </w:tcMar>
          </w:tcPr>
          <w:p>
            <w:pPr>
              <w:spacing w:before="50" w:after="50" w:line="252" w:lineRule="auto"/>
            </w:pPr>
            <w:r>
              <w:rPr>
                <w:rFonts w:ascii="Times New Roman" w:hAnsi="Times New Roman"/>
                <w:b/>
                <w:i w:val="0"/>
                <w:sz w:val="17"/>
              </w:rPr>
              <w:t>77.01%</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val="0"/>
                <w:sz w:val="17"/>
              </w:rPr>
              <w:t>14.86%</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val="0"/>
                <w:sz w:val="17"/>
              </w:rPr>
              <w:t>6.45%</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sz w:val="17"/>
              </w:rPr>
              <w:t>anggaran, potong, 67 triliun, korupsi, impor, tender, titipan</w:t>
            </w:r>
          </w:p>
        </w:tc>
      </w:tr>
      <w:tr>
        <w:tc>
          <w:tcPr>
            <w:tcW w:type="dxa" w:w="1337"/>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i w:val="0"/>
                <w:sz w:val="17"/>
              </w:rPr>
              <w:t>Total / Aggregate</w:t>
            </w:r>
          </w:p>
        </w:tc>
        <w:tc>
          <w:tcPr>
            <w:tcW w:type="dxa" w:w="1337"/>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i w:val="0"/>
                <w:sz w:val="17"/>
              </w:rPr>
              <w:t>3,395</w:t>
            </w:r>
          </w:p>
        </w:tc>
        <w:tc>
          <w:tcPr>
            <w:tcW w:type="dxa" w:w="1337"/>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i w:val="0"/>
                <w:sz w:val="17"/>
              </w:rPr>
              <w:t>100.0%</w:t>
            </w:r>
          </w:p>
        </w:tc>
        <w:tc>
          <w:tcPr>
            <w:tcW w:type="dxa" w:w="1337"/>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i w:val="0"/>
                <w:sz w:val="17"/>
              </w:rPr>
              <w:t>75.38%</w:t>
            </w:r>
          </w:p>
        </w:tc>
        <w:tc>
          <w:tcPr>
            <w:tcW w:type="dxa" w:w="1337"/>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i w:val="0"/>
                <w:sz w:val="17"/>
              </w:rPr>
              <w:t>15.34%</w:t>
            </w:r>
          </w:p>
        </w:tc>
        <w:tc>
          <w:tcPr>
            <w:tcW w:type="dxa" w:w="1337"/>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i w:val="0"/>
                <w:sz w:val="17"/>
              </w:rPr>
              <w:t>9.28%</w:t>
            </w:r>
          </w:p>
        </w:tc>
        <w:tc>
          <w:tcPr>
            <w:tcW w:type="dxa" w:w="1337"/>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val="0"/>
                <w:i/>
                <w:sz w:val="17"/>
              </w:rPr>
              <w:t>Dominasi penolakan visceral di seluruh pilar kebijakan</w:t>
            </w:r>
          </w:p>
        </w:tc>
      </w:tr>
    </w:tbl>
    <w:p>
      <w:pPr>
        <w:spacing w:after="120"/>
      </w:pPr>
    </w:p>
    <w:p>
      <w:pPr>
        <w:spacing w:before="200" w:after="60"/>
        <w:jc w:val="center"/>
      </w:pPr>
      <w:r>
        <w:drawing>
          <wp:inline xmlns:a="http://schemas.openxmlformats.org/drawingml/2006/main" xmlns:pic="http://schemas.openxmlformats.org/drawingml/2006/picture">
            <wp:extent cx="5303520" cy="2863901"/>
            <wp:docPr id="6" name="Picture 6"/>
            <wp:cNvGraphicFramePr>
              <a:graphicFrameLocks noChangeAspect="1"/>
            </wp:cNvGraphicFramePr>
            <a:graphic>
              <a:graphicData uri="http://schemas.openxmlformats.org/drawingml/2006/picture">
                <pic:pic>
                  <pic:nvPicPr>
                    <pic:cNvPr id="0" name="10_absa_thematic.png"/>
                    <pic:cNvPicPr/>
                  </pic:nvPicPr>
                  <pic:blipFill>
                    <a:blip r:embed="rId16"/>
                    <a:stretch>
                      <a:fillRect/>
                    </a:stretch>
                  </pic:blipFill>
                  <pic:spPr>
                    <a:xfrm>
                      <a:off x="0" y="0"/>
                      <a:ext cx="5303520" cy="2863901"/>
                    </a:xfrm>
                    <a:prstGeom prst="rect"/>
                  </pic:spPr>
                </pic:pic>
              </a:graphicData>
            </a:graphic>
          </wp:inline>
        </w:drawing>
      </w:r>
    </w:p>
    <w:p>
      <w:pPr>
        <w:spacing w:before="40" w:after="240" w:line="264" w:lineRule="auto"/>
        <w:jc w:val="center"/>
      </w:pPr>
      <w:r>
        <w:rPr>
          <w:rFonts w:ascii="Times New Roman" w:hAnsi="Times New Roman"/>
          <w:b w:val="0"/>
          <w:i/>
          <w:color w:val="334155"/>
          <w:sz w:val="19"/>
        </w:rPr>
        <w:t>Figure 6: Aspect-Based Sentiment Analysis Across Core Dimensions</w:t>
      </w:r>
    </w:p>
    <w:p>
      <w:pPr>
        <w:spacing w:before="0" w:after="100" w:line="384" w:lineRule="auto"/>
        <w:ind w:firstLine="360"/>
        <w:jc w:val="both"/>
      </w:pPr>
      <w:r>
        <w:rPr>
          <w:rFonts w:ascii="Times New Roman" w:hAnsi="Times New Roman"/>
          <w:b w:val="0"/>
          <w:i/>
          <w:sz w:val="21"/>
        </w:rPr>
        <w:t>Figure 6: Distribution of affective orientations across policy facets: Nutritional Quality, Logistics, and Budget.</w:t>
      </w:r>
    </w:p>
    <w:p>
      <w:pPr>
        <w:spacing w:before="0" w:after="100" w:line="384" w:lineRule="auto"/>
        <w:ind w:firstLine="360"/>
        <w:jc w:val="both"/>
      </w:pPr>
      <w:r/>
      <w:r>
        <w:rPr>
          <w:rFonts w:ascii="Times New Roman" w:hAnsi="Times New Roman"/>
          <w:sz w:val="24"/>
        </w:rPr>
        <w:t>Across all three dimensions, Disgust represented the overwhelming majority sentiment ($&gt; 71\%$). The Nutritional Quality facet generated the highest discursive volume ($1,344$ tweets), demonstrating that citizen mobilization was catalyzed by tangible, sensory failures in food delivery. Furthermore, sarcasm detection identified 315 validated sarcastic tweets ($9.28\%$), where praise was inverted by paralinguistic emojis (e.g., 🤡, 🤮).</w:t>
      </w:r>
    </w:p>
    <w:p>
      <w:pPr>
        <w:spacing w:before="240" w:after="60" w:line="384" w:lineRule="auto"/>
        <w:jc w:val="left"/>
      </w:pPr>
      <w:r/>
      <w:r>
        <w:rPr>
          <w:rFonts w:ascii="Times New Roman" w:hAnsi="Times New Roman"/>
          <w:sz w:val="24"/>
        </w:rPr>
        <w:t>6.2 IndoBERT Protocol v2 Holdout Performance ($n = 1,058$)</w:t>
      </w:r>
    </w:p>
    <w:p>
      <w:pPr>
        <w:spacing w:before="0" w:after="100" w:line="384" w:lineRule="auto"/>
        <w:ind w:firstLine="360"/>
        <w:jc w:val="both"/>
      </w:pPr>
      <w:r/>
      <w:r>
        <w:rPr>
          <w:rFonts w:ascii="Times New Roman" w:hAnsi="Times New Roman"/>
          <w:sz w:val="24"/>
        </w:rPr>
        <w:t>Model evaluation was executed on the isolated group-aware holdout test set ($n = 1,058$) against silver-standard reference annotations across the 6 active emotion classes observed in the corpus.</w:t>
      </w:r>
    </w:p>
    <w:p>
      <w:pPr>
        <w:spacing w:before="280" w:after="60" w:line="276" w:lineRule="auto"/>
        <w:jc w:val="left"/>
      </w:pPr>
      <w:r/>
      <w:r>
        <w:rPr>
          <w:rFonts w:ascii="Times New Roman" w:hAnsi="Times New Roman"/>
          <w:sz w:val="24"/>
        </w:rPr>
        <w:t>Table 4: Class-Wise Performance Metrics of Fine-Tuned IndoBERT on Group-Aware Holdout ($n = 1,058$)</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Emotion Class (Plutchik Space)</w:t>
            </w:r>
          </w:p>
        </w:tc>
        <w:tc>
          <w:tcPr>
            <w:tcW w:type="dxa" w:w="1337"/>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
              <w:rPr>
                <w:rFonts w:ascii="Times New Roman" w:hAnsi="Times New Roman"/>
                <w:sz w:val="20"/>
              </w:rPr>
              <w:t>Empirical Support (n)</w:t>
            </w:r>
          </w:p>
        </w:tc>
        <w:tc>
          <w:tcPr>
            <w:tcW w:type="dxa" w:w="1337"/>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Population Proportion (%)</w:t>
            </w:r>
          </w:p>
        </w:tc>
        <w:tc>
          <w:tcPr>
            <w:tcW w:type="dxa" w:w="1337"/>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Precision</w:t>
            </w:r>
          </w:p>
        </w:tc>
        <w:tc>
          <w:tcPr>
            <w:tcW w:type="dxa" w:w="1337"/>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Recall</w:t>
            </w:r>
          </w:p>
        </w:tc>
        <w:tc>
          <w:tcPr>
            <w:tcW w:type="dxa" w:w="1337"/>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F1-Score</w:t>
            </w:r>
          </w:p>
        </w:tc>
        <w:tc>
          <w:tcPr>
            <w:tcW w:type="dxa" w:w="1337"/>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Operational Model Status</w:t>
            </w:r>
          </w:p>
        </w:tc>
      </w:tr>
      <w:tr>
        <w:tc>
          <w:tcPr>
            <w:tcW w:type="dxa" w:w="1337"/>
            <w:tcMar>
              <w:top w:w="60" w:type="dxa"/>
              <w:bottom w:w="60" w:type="dxa"/>
              <w:left w:w="80" w:type="dxa"/>
              <w:right w:w="80" w:type="dxa"/>
            </w:tcMar>
          </w:tcPr>
          <w:p>
            <w:pPr>
              <w:spacing w:before="50" w:after="50" w:line="252" w:lineRule="auto"/>
            </w:pPr>
            <w:r>
              <w:rPr>
                <w:rFonts w:ascii="Times New Roman" w:hAnsi="Times New Roman"/>
                <w:b w:val="0"/>
                <w:i/>
                <w:sz w:val="17"/>
              </w:rPr>
            </w:r>
            <w:r>
              <w:rPr>
                <w:rFonts w:ascii="Times New Roman" w:hAnsi="Times New Roman"/>
                <w:b w:val="0"/>
                <w:i/>
                <w:sz w:val="17"/>
              </w:rPr>
              <w:t>Jijik (</w:t>
            </w:r>
            <w:r>
              <w:rPr>
                <w:rFonts w:ascii="Times New Roman" w:hAnsi="Times New Roman"/>
                <w:b w:val="0"/>
                <w:i w:val="0"/>
                <w:sz w:val="17"/>
              </w:rPr>
              <w:t>Disgust</w:t>
            </w:r>
            <w:r>
              <w:rPr>
                <w:rFonts w:ascii="Times New Roman" w:hAnsi="Times New Roman"/>
                <w:b w:val="0"/>
                <w:i/>
                <w:sz w:val="17"/>
              </w:rPr>
              <w:t>)</w:t>
            </w:r>
            <w:r>
              <w:rPr>
                <w:rFonts w:ascii="Times New Roman" w:hAnsi="Times New Roman"/>
                <w:b w:val="0"/>
                <w:i/>
                <w:sz w:val="17"/>
              </w:rPr>
            </w:r>
          </w:p>
        </w:tc>
        <w:tc>
          <w:tcPr>
            <w:tcW w:type="dxa" w:w="1337"/>
            <w:tcMar>
              <w:top w:w="60" w:type="dxa"/>
              <w:bottom w:w="60" w:type="dxa"/>
              <w:left w:w="80" w:type="dxa"/>
              <w:right w:w="80" w:type="dxa"/>
            </w:tcMar>
          </w:tcPr>
          <w:p>
            <w:pPr>
              <w:spacing w:before="50" w:after="50" w:line="252" w:lineRule="auto"/>
            </w:pPr>
            <w:r>
              <w:rPr>
                <w:rFonts w:ascii="Times New Roman" w:hAnsi="Times New Roman"/>
                <w:b/>
                <w:i w:val="0"/>
                <w:sz w:val="17"/>
              </w:rPr>
              <w:t>606</w:t>
            </w:r>
          </w:p>
        </w:tc>
        <w:tc>
          <w:tcPr>
            <w:tcW w:type="dxa" w:w="1337"/>
            <w:tcMar>
              <w:top w:w="60" w:type="dxa"/>
              <w:bottom w:w="60" w:type="dxa"/>
              <w:left w:w="80" w:type="dxa"/>
              <w:right w:w="80" w:type="dxa"/>
            </w:tcMar>
          </w:tcPr>
          <w:p>
            <w:pPr>
              <w:spacing w:before="50" w:after="50" w:line="252" w:lineRule="auto"/>
            </w:pPr>
            <w:r>
              <w:rPr>
                <w:rFonts w:ascii="Times New Roman" w:hAnsi="Times New Roman"/>
                <w:b/>
                <w:i w:val="0"/>
                <w:sz w:val="17"/>
              </w:rPr>
              <w:t>57.28%</w:t>
            </w:r>
          </w:p>
        </w:tc>
        <w:tc>
          <w:tcPr>
            <w:tcW w:type="dxa" w:w="1337"/>
            <w:tcMar>
              <w:top w:w="60" w:type="dxa"/>
              <w:bottom w:w="60" w:type="dxa"/>
              <w:left w:w="80" w:type="dxa"/>
              <w:right w:w="80" w:type="dxa"/>
            </w:tcMar>
          </w:tcPr>
          <w:p>
            <w:pPr>
              <w:spacing w:before="50" w:after="50" w:line="252" w:lineRule="auto"/>
            </w:pPr>
            <w:r>
              <w:rPr>
                <w:rFonts w:ascii="Times New Roman" w:hAnsi="Times New Roman"/>
                <w:b/>
                <w:i w:val="0"/>
                <w:sz w:val="17"/>
              </w:rPr>
              <w:t>0.7761</w:t>
            </w:r>
          </w:p>
        </w:tc>
        <w:tc>
          <w:tcPr>
            <w:tcW w:type="dxa" w:w="1337"/>
            <w:tcMar>
              <w:top w:w="60" w:type="dxa"/>
              <w:bottom w:w="60" w:type="dxa"/>
              <w:left w:w="80" w:type="dxa"/>
              <w:right w:w="80" w:type="dxa"/>
            </w:tcMar>
          </w:tcPr>
          <w:p>
            <w:pPr>
              <w:spacing w:before="50" w:after="50" w:line="252" w:lineRule="auto"/>
            </w:pPr>
            <w:r>
              <w:rPr>
                <w:rFonts w:ascii="Times New Roman" w:hAnsi="Times New Roman"/>
                <w:b/>
                <w:i w:val="0"/>
                <w:sz w:val="17"/>
              </w:rPr>
              <w:t>0.8696</w:t>
            </w:r>
          </w:p>
        </w:tc>
        <w:tc>
          <w:tcPr>
            <w:tcW w:type="dxa" w:w="1337"/>
            <w:tcMar>
              <w:top w:w="60" w:type="dxa"/>
              <w:bottom w:w="60" w:type="dxa"/>
              <w:left w:w="80" w:type="dxa"/>
              <w:right w:w="80" w:type="dxa"/>
            </w:tcMar>
          </w:tcPr>
          <w:p>
            <w:pPr>
              <w:spacing w:before="50" w:after="50" w:line="252" w:lineRule="auto"/>
            </w:pPr>
            <w:r>
              <w:rPr>
                <w:rFonts w:ascii="Times New Roman" w:hAnsi="Times New Roman"/>
                <w:b/>
                <w:i w:val="0"/>
                <w:sz w:val="17"/>
              </w:rPr>
              <w:t>0.8202</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val="0"/>
                <w:sz w:val="17"/>
              </w:rPr>
              <w:t>Highly Robust (Primary Moral Dissent)</w:t>
            </w:r>
          </w:p>
        </w:tc>
      </w:tr>
      <w:tr>
        <w:tc>
          <w:tcPr>
            <w:tcW w:type="dxa" w:w="1337"/>
            <w:tcMar>
              <w:top w:w="60" w:type="dxa"/>
              <w:bottom w:w="60" w:type="dxa"/>
              <w:left w:w="80" w:type="dxa"/>
              <w:right w:w="80" w:type="dxa"/>
            </w:tcMar>
          </w:tcPr>
          <w:p>
            <w:pPr>
              <w:spacing w:before="50" w:after="50" w:line="252" w:lineRule="auto"/>
            </w:pPr>
            <w:r>
              <w:rPr>
                <w:rFonts w:ascii="Times New Roman" w:hAnsi="Times New Roman"/>
                <w:b w:val="0"/>
                <w:i/>
                <w:sz w:val="17"/>
              </w:rPr>
            </w:r>
            <w:r>
              <w:rPr>
                <w:rFonts w:ascii="Times New Roman" w:hAnsi="Times New Roman"/>
                <w:b w:val="0"/>
                <w:i/>
                <w:sz w:val="17"/>
              </w:rPr>
              <w:t>Percaya (</w:t>
            </w:r>
            <w:r>
              <w:rPr>
                <w:rFonts w:ascii="Times New Roman" w:hAnsi="Times New Roman"/>
                <w:b w:val="0"/>
                <w:i w:val="0"/>
                <w:sz w:val="17"/>
              </w:rPr>
              <w:t>Trust</w:t>
            </w:r>
            <w:r>
              <w:rPr>
                <w:rFonts w:ascii="Times New Roman" w:hAnsi="Times New Roman"/>
                <w:b w:val="0"/>
                <w:i/>
                <w:sz w:val="17"/>
              </w:rPr>
              <w:t>)</w:t>
            </w:r>
            <w:r>
              <w:rPr>
                <w:rFonts w:ascii="Times New Roman" w:hAnsi="Times New Roman"/>
                <w:b w:val="0"/>
                <w:i/>
                <w:sz w:val="17"/>
              </w:rPr>
            </w:r>
          </w:p>
        </w:tc>
        <w:tc>
          <w:tcPr>
            <w:tcW w:type="dxa" w:w="1337"/>
            <w:tcMar>
              <w:top w:w="60" w:type="dxa"/>
              <w:bottom w:w="60" w:type="dxa"/>
              <w:left w:w="80" w:type="dxa"/>
              <w:right w:w="80" w:type="dxa"/>
            </w:tcMar>
          </w:tcPr>
          <w:p>
            <w:pPr>
              <w:spacing w:before="50" w:after="50" w:line="252" w:lineRule="auto"/>
            </w:pPr>
            <w:r>
              <w:rPr>
                <w:rFonts w:ascii="Times New Roman" w:hAnsi="Times New Roman"/>
                <w:b/>
                <w:i w:val="0"/>
                <w:sz w:val="17"/>
              </w:rPr>
              <w:t>220</w:t>
            </w:r>
          </w:p>
        </w:tc>
        <w:tc>
          <w:tcPr>
            <w:tcW w:type="dxa" w:w="1337"/>
            <w:tcMar>
              <w:top w:w="60" w:type="dxa"/>
              <w:bottom w:w="60" w:type="dxa"/>
              <w:left w:w="80" w:type="dxa"/>
              <w:right w:w="80" w:type="dxa"/>
            </w:tcMar>
          </w:tcPr>
          <w:p>
            <w:pPr>
              <w:spacing w:before="50" w:after="50" w:line="252" w:lineRule="auto"/>
            </w:pPr>
            <w:r>
              <w:rPr>
                <w:rFonts w:ascii="Times New Roman" w:hAnsi="Times New Roman"/>
                <w:b/>
                <w:i w:val="0"/>
                <w:sz w:val="17"/>
              </w:rPr>
              <w:t>20.79%</w:t>
            </w:r>
          </w:p>
        </w:tc>
        <w:tc>
          <w:tcPr>
            <w:tcW w:type="dxa" w:w="1337"/>
            <w:tcMar>
              <w:top w:w="60" w:type="dxa"/>
              <w:bottom w:w="60" w:type="dxa"/>
              <w:left w:w="80" w:type="dxa"/>
              <w:right w:w="80" w:type="dxa"/>
            </w:tcMar>
          </w:tcPr>
          <w:p>
            <w:pPr>
              <w:spacing w:before="50" w:after="50" w:line="252" w:lineRule="auto"/>
            </w:pPr>
            <w:r>
              <w:rPr>
                <w:rFonts w:ascii="Times New Roman" w:hAnsi="Times New Roman"/>
                <w:b/>
                <w:i w:val="0"/>
                <w:sz w:val="17"/>
              </w:rPr>
              <w:t>0.7143</w:t>
            </w:r>
          </w:p>
        </w:tc>
        <w:tc>
          <w:tcPr>
            <w:tcW w:type="dxa" w:w="1337"/>
            <w:tcMar>
              <w:top w:w="60" w:type="dxa"/>
              <w:bottom w:w="60" w:type="dxa"/>
              <w:left w:w="80" w:type="dxa"/>
              <w:right w:w="80" w:type="dxa"/>
            </w:tcMar>
          </w:tcPr>
          <w:p>
            <w:pPr>
              <w:spacing w:before="50" w:after="50" w:line="252" w:lineRule="auto"/>
            </w:pPr>
            <w:r>
              <w:rPr>
                <w:rFonts w:ascii="Times New Roman" w:hAnsi="Times New Roman"/>
                <w:b/>
                <w:i w:val="0"/>
                <w:sz w:val="17"/>
              </w:rPr>
              <w:t>0.6818</w:t>
            </w:r>
          </w:p>
        </w:tc>
        <w:tc>
          <w:tcPr>
            <w:tcW w:type="dxa" w:w="1337"/>
            <w:tcMar>
              <w:top w:w="60" w:type="dxa"/>
              <w:bottom w:w="60" w:type="dxa"/>
              <w:left w:w="80" w:type="dxa"/>
              <w:right w:w="80" w:type="dxa"/>
            </w:tcMar>
          </w:tcPr>
          <w:p>
            <w:pPr>
              <w:spacing w:before="50" w:after="50" w:line="252" w:lineRule="auto"/>
            </w:pPr>
            <w:r>
              <w:rPr>
                <w:rFonts w:ascii="Times New Roman" w:hAnsi="Times New Roman"/>
                <w:b/>
                <w:i w:val="0"/>
                <w:sz w:val="17"/>
              </w:rPr>
              <w:t>0.6977</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val="0"/>
                <w:sz w:val="17"/>
              </w:rPr>
              <w:t>Strong (Affiliative Governance Frame)</w:t>
            </w:r>
          </w:p>
        </w:tc>
      </w:tr>
      <w:tr>
        <w:tc>
          <w:tcPr>
            <w:tcW w:type="dxa" w:w="1337"/>
            <w:tcMar>
              <w:top w:w="60" w:type="dxa"/>
              <w:bottom w:w="60" w:type="dxa"/>
              <w:left w:w="80" w:type="dxa"/>
              <w:right w:w="80" w:type="dxa"/>
            </w:tcMar>
          </w:tcPr>
          <w:p>
            <w:pPr>
              <w:spacing w:before="50" w:after="50" w:line="252" w:lineRule="auto"/>
            </w:pPr>
            <w:r>
              <w:rPr>
                <w:rFonts w:ascii="Times New Roman" w:hAnsi="Times New Roman"/>
                <w:b w:val="0"/>
                <w:i/>
                <w:sz w:val="17"/>
              </w:rPr>
            </w:r>
            <w:r>
              <w:rPr>
                <w:rFonts w:ascii="Times New Roman" w:hAnsi="Times New Roman"/>
                <w:b w:val="0"/>
                <w:i/>
                <w:sz w:val="17"/>
              </w:rPr>
              <w:t>Netral (</w:t>
            </w:r>
            <w:r>
              <w:rPr>
                <w:rFonts w:ascii="Times New Roman" w:hAnsi="Times New Roman"/>
                <w:b w:val="0"/>
                <w:i w:val="0"/>
                <w:sz w:val="17"/>
              </w:rPr>
              <w:t>Neutral</w:t>
            </w:r>
            <w:r>
              <w:rPr>
                <w:rFonts w:ascii="Times New Roman" w:hAnsi="Times New Roman"/>
                <w:b w:val="0"/>
                <w:i/>
                <w:sz w:val="17"/>
              </w:rPr>
              <w:t>)</w:t>
            </w:r>
            <w:r>
              <w:rPr>
                <w:rFonts w:ascii="Times New Roman" w:hAnsi="Times New Roman"/>
                <w:b w:val="0"/>
                <w:i/>
                <w:sz w:val="17"/>
              </w:rPr>
            </w:r>
          </w:p>
        </w:tc>
        <w:tc>
          <w:tcPr>
            <w:tcW w:type="dxa" w:w="1337"/>
            <w:tcMar>
              <w:top w:w="60" w:type="dxa"/>
              <w:bottom w:w="60" w:type="dxa"/>
              <w:left w:w="80" w:type="dxa"/>
              <w:right w:w="80" w:type="dxa"/>
            </w:tcMar>
          </w:tcPr>
          <w:p>
            <w:pPr>
              <w:spacing w:before="50" w:after="50" w:line="252" w:lineRule="auto"/>
            </w:pPr>
            <w:r>
              <w:rPr>
                <w:rFonts w:ascii="Times New Roman" w:hAnsi="Times New Roman"/>
                <w:b/>
                <w:i w:val="0"/>
                <w:sz w:val="17"/>
              </w:rPr>
              <w:t>124</w:t>
            </w:r>
          </w:p>
        </w:tc>
        <w:tc>
          <w:tcPr>
            <w:tcW w:type="dxa" w:w="1337"/>
            <w:tcMar>
              <w:top w:w="60" w:type="dxa"/>
              <w:bottom w:w="60" w:type="dxa"/>
              <w:left w:w="80" w:type="dxa"/>
              <w:right w:w="80" w:type="dxa"/>
            </w:tcMar>
          </w:tcPr>
          <w:p>
            <w:pPr>
              <w:spacing w:before="50" w:after="50" w:line="252" w:lineRule="auto"/>
            </w:pPr>
            <w:r>
              <w:rPr>
                <w:rFonts w:ascii="Times New Roman" w:hAnsi="Times New Roman"/>
                <w:b/>
                <w:i w:val="0"/>
                <w:sz w:val="17"/>
              </w:rPr>
              <w:t>11.72%</w:t>
            </w:r>
          </w:p>
        </w:tc>
        <w:tc>
          <w:tcPr>
            <w:tcW w:type="dxa" w:w="1337"/>
            <w:tcMar>
              <w:top w:w="60" w:type="dxa"/>
              <w:bottom w:w="60" w:type="dxa"/>
              <w:left w:w="80" w:type="dxa"/>
              <w:right w:w="80" w:type="dxa"/>
            </w:tcMar>
          </w:tcPr>
          <w:p>
            <w:pPr>
              <w:spacing w:before="50" w:after="50" w:line="252" w:lineRule="auto"/>
            </w:pPr>
            <w:r>
              <w:rPr>
                <w:rFonts w:ascii="Times New Roman" w:hAnsi="Times New Roman"/>
                <w:b/>
                <w:i w:val="0"/>
                <w:sz w:val="17"/>
              </w:rPr>
              <w:t>0.8000</w:t>
            </w:r>
          </w:p>
        </w:tc>
        <w:tc>
          <w:tcPr>
            <w:tcW w:type="dxa" w:w="1337"/>
            <w:tcMar>
              <w:top w:w="60" w:type="dxa"/>
              <w:bottom w:w="60" w:type="dxa"/>
              <w:left w:w="80" w:type="dxa"/>
              <w:right w:w="80" w:type="dxa"/>
            </w:tcMar>
          </w:tcPr>
          <w:p>
            <w:pPr>
              <w:spacing w:before="50" w:after="50" w:line="252" w:lineRule="auto"/>
            </w:pPr>
            <w:r>
              <w:rPr>
                <w:rFonts w:ascii="Times New Roman" w:hAnsi="Times New Roman"/>
                <w:b/>
                <w:i w:val="0"/>
                <w:sz w:val="17"/>
              </w:rPr>
              <w:t>0.8065</w:t>
            </w:r>
          </w:p>
        </w:tc>
        <w:tc>
          <w:tcPr>
            <w:tcW w:type="dxa" w:w="1337"/>
            <w:tcMar>
              <w:top w:w="60" w:type="dxa"/>
              <w:bottom w:w="60" w:type="dxa"/>
              <w:left w:w="80" w:type="dxa"/>
              <w:right w:w="80" w:type="dxa"/>
            </w:tcMar>
          </w:tcPr>
          <w:p>
            <w:pPr>
              <w:spacing w:before="50" w:after="50" w:line="252" w:lineRule="auto"/>
            </w:pPr>
            <w:r>
              <w:rPr>
                <w:rFonts w:ascii="Times New Roman" w:hAnsi="Times New Roman"/>
                <w:b/>
                <w:i w:val="0"/>
                <w:sz w:val="17"/>
              </w:rPr>
              <w:t>0.8032</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val="0"/>
                <w:sz w:val="17"/>
              </w:rPr>
              <w:t>Highly Robust (Objective Factual Reporting)</w:t>
            </w:r>
          </w:p>
        </w:tc>
      </w:tr>
      <w:tr>
        <w:tc>
          <w:tcPr>
            <w:tcW w:type="dxa" w:w="1337"/>
            <w:tcMar>
              <w:top w:w="60" w:type="dxa"/>
              <w:bottom w:w="60" w:type="dxa"/>
              <w:left w:w="80" w:type="dxa"/>
              <w:right w:w="80" w:type="dxa"/>
            </w:tcMar>
          </w:tcPr>
          <w:p>
            <w:pPr>
              <w:spacing w:before="50" w:after="50" w:line="252" w:lineRule="auto"/>
            </w:pPr>
            <w:r>
              <w:rPr>
                <w:rFonts w:ascii="Times New Roman" w:hAnsi="Times New Roman"/>
                <w:b w:val="0"/>
                <w:i/>
                <w:sz w:val="17"/>
              </w:rPr>
            </w:r>
            <w:r>
              <w:rPr>
                <w:rFonts w:ascii="Times New Roman" w:hAnsi="Times New Roman"/>
                <w:b w:val="0"/>
                <w:i/>
                <w:sz w:val="17"/>
              </w:rPr>
              <w:t>Tertarik (</w:t>
            </w:r>
            <w:r>
              <w:rPr>
                <w:rFonts w:ascii="Times New Roman" w:hAnsi="Times New Roman"/>
                <w:b w:val="0"/>
                <w:i w:val="0"/>
                <w:sz w:val="17"/>
              </w:rPr>
              <w:t>Interest</w:t>
            </w:r>
            <w:r>
              <w:rPr>
                <w:rFonts w:ascii="Times New Roman" w:hAnsi="Times New Roman"/>
                <w:b w:val="0"/>
                <w:i/>
                <w:sz w:val="17"/>
              </w:rPr>
              <w:t>)</w:t>
            </w:r>
            <w:r>
              <w:rPr>
                <w:rFonts w:ascii="Times New Roman" w:hAnsi="Times New Roman"/>
                <w:b w:val="0"/>
                <w:i/>
                <w:sz w:val="17"/>
              </w:rPr>
            </w:r>
          </w:p>
        </w:tc>
        <w:tc>
          <w:tcPr>
            <w:tcW w:type="dxa" w:w="1337"/>
            <w:tcMar>
              <w:top w:w="60" w:type="dxa"/>
              <w:bottom w:w="60" w:type="dxa"/>
              <w:left w:w="80" w:type="dxa"/>
              <w:right w:w="80" w:type="dxa"/>
            </w:tcMar>
          </w:tcPr>
          <w:p>
            <w:pPr>
              <w:spacing w:before="50" w:after="50" w:line="252" w:lineRule="auto"/>
            </w:pPr>
            <w:r>
              <w:rPr>
                <w:rFonts w:ascii="Times New Roman" w:hAnsi="Times New Roman"/>
                <w:b/>
                <w:i w:val="0"/>
                <w:sz w:val="17"/>
              </w:rPr>
              <w:t>91</w:t>
            </w:r>
          </w:p>
        </w:tc>
        <w:tc>
          <w:tcPr>
            <w:tcW w:type="dxa" w:w="1337"/>
            <w:tcMar>
              <w:top w:w="60" w:type="dxa"/>
              <w:bottom w:w="60" w:type="dxa"/>
              <w:left w:w="80" w:type="dxa"/>
              <w:right w:w="80" w:type="dxa"/>
            </w:tcMar>
          </w:tcPr>
          <w:p>
            <w:pPr>
              <w:spacing w:before="50" w:after="50" w:line="252" w:lineRule="auto"/>
            </w:pPr>
            <w:r>
              <w:rPr>
                <w:rFonts w:ascii="Times New Roman" w:hAnsi="Times New Roman"/>
                <w:b/>
                <w:i w:val="0"/>
                <w:sz w:val="17"/>
              </w:rPr>
              <w:t>8.60%</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val="0"/>
                <w:sz w:val="17"/>
              </w:rPr>
              <w:t>0.6136</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val="0"/>
                <w:sz w:val="17"/>
              </w:rPr>
              <w:t>0.2967</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val="0"/>
                <w:sz w:val="17"/>
              </w:rPr>
              <w:t>0.4000</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val="0"/>
                <w:sz w:val="17"/>
              </w:rPr>
              <w:t>Moderate (Anticipatory Policy Inquiries)</w:t>
            </w:r>
          </w:p>
        </w:tc>
      </w:tr>
      <w:tr>
        <w:tc>
          <w:tcPr>
            <w:tcW w:type="dxa" w:w="1337"/>
            <w:tcMar>
              <w:top w:w="60" w:type="dxa"/>
              <w:bottom w:w="60" w:type="dxa"/>
              <w:left w:w="80" w:type="dxa"/>
              <w:right w:w="80" w:type="dxa"/>
            </w:tcMar>
          </w:tcPr>
          <w:p>
            <w:pPr>
              <w:spacing w:before="50" w:after="50" w:line="252" w:lineRule="auto"/>
            </w:pPr>
            <w:r>
              <w:rPr>
                <w:rFonts w:ascii="Times New Roman" w:hAnsi="Times New Roman"/>
                <w:b w:val="0"/>
                <w:i/>
                <w:sz w:val="17"/>
              </w:rPr>
            </w:r>
            <w:r>
              <w:rPr>
                <w:rFonts w:ascii="Times New Roman" w:hAnsi="Times New Roman"/>
                <w:b w:val="0"/>
                <w:i/>
                <w:sz w:val="17"/>
              </w:rPr>
              <w:t>Marah (</w:t>
            </w:r>
            <w:r>
              <w:rPr>
                <w:rFonts w:ascii="Times New Roman" w:hAnsi="Times New Roman"/>
                <w:b w:val="0"/>
                <w:i w:val="0"/>
                <w:sz w:val="17"/>
              </w:rPr>
              <w:t>Anger</w:t>
            </w:r>
            <w:r>
              <w:rPr>
                <w:rFonts w:ascii="Times New Roman" w:hAnsi="Times New Roman"/>
                <w:b w:val="0"/>
                <w:i/>
                <w:sz w:val="17"/>
              </w:rPr>
              <w:t>)</w:t>
            </w:r>
            <w:r>
              <w:rPr>
                <w:rFonts w:ascii="Times New Roman" w:hAnsi="Times New Roman"/>
                <w:b w:val="0"/>
                <w:i/>
                <w:sz w:val="17"/>
              </w:rPr>
            </w:r>
          </w:p>
        </w:tc>
        <w:tc>
          <w:tcPr>
            <w:tcW w:type="dxa" w:w="1337"/>
            <w:tcMar>
              <w:top w:w="60" w:type="dxa"/>
              <w:bottom w:w="60" w:type="dxa"/>
              <w:left w:w="80" w:type="dxa"/>
              <w:right w:w="80" w:type="dxa"/>
            </w:tcMar>
          </w:tcPr>
          <w:p>
            <w:pPr>
              <w:spacing w:before="50" w:after="50" w:line="252" w:lineRule="auto"/>
            </w:pPr>
            <w:r>
              <w:rPr>
                <w:rFonts w:ascii="Times New Roman" w:hAnsi="Times New Roman"/>
                <w:b/>
                <w:i w:val="0"/>
                <w:sz w:val="17"/>
              </w:rPr>
              <w:t>14</w:t>
            </w:r>
          </w:p>
        </w:tc>
        <w:tc>
          <w:tcPr>
            <w:tcW w:type="dxa" w:w="1337"/>
            <w:tcMar>
              <w:top w:w="60" w:type="dxa"/>
              <w:bottom w:w="60" w:type="dxa"/>
              <w:left w:w="80" w:type="dxa"/>
              <w:right w:w="80" w:type="dxa"/>
            </w:tcMar>
          </w:tcPr>
          <w:p>
            <w:pPr>
              <w:spacing w:before="50" w:after="50" w:line="252" w:lineRule="auto"/>
            </w:pPr>
            <w:r>
              <w:rPr>
                <w:rFonts w:ascii="Times New Roman" w:hAnsi="Times New Roman"/>
                <w:b/>
                <w:i w:val="0"/>
                <w:sz w:val="17"/>
              </w:rPr>
              <w:t>1.32%</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val="0"/>
                <w:sz w:val="17"/>
              </w:rPr>
              <w:t>0.0000</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val="0"/>
                <w:sz w:val="17"/>
              </w:rPr>
              <w:t>0.0000</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val="0"/>
                <w:sz w:val="17"/>
              </w:rPr>
              <w:t>0.0000</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val="0"/>
                <w:sz w:val="17"/>
              </w:rPr>
              <w:t>Minority Sparsity (Absorbed into Disgust/Neutral)</w:t>
            </w:r>
          </w:p>
        </w:tc>
      </w:tr>
      <w:tr>
        <w:tc>
          <w:tcPr>
            <w:tcW w:type="dxa" w:w="1337"/>
            <w:tcMar>
              <w:top w:w="60" w:type="dxa"/>
              <w:bottom w:w="60" w:type="dxa"/>
              <w:left w:w="80" w:type="dxa"/>
              <w:right w:w="80" w:type="dxa"/>
            </w:tcMar>
          </w:tcPr>
          <w:p>
            <w:pPr>
              <w:spacing w:before="50" w:after="50" w:line="252" w:lineRule="auto"/>
            </w:pPr>
            <w:r>
              <w:rPr>
                <w:rFonts w:ascii="Times New Roman" w:hAnsi="Times New Roman"/>
                <w:b w:val="0"/>
                <w:i/>
                <w:sz w:val="17"/>
              </w:rPr>
            </w:r>
            <w:r>
              <w:rPr>
                <w:rFonts w:ascii="Times New Roman" w:hAnsi="Times New Roman"/>
                <w:b w:val="0"/>
                <w:i/>
                <w:sz w:val="17"/>
              </w:rPr>
              <w:t>Sedih (</w:t>
            </w:r>
            <w:r>
              <w:rPr>
                <w:rFonts w:ascii="Times New Roman" w:hAnsi="Times New Roman"/>
                <w:b w:val="0"/>
                <w:i w:val="0"/>
                <w:sz w:val="17"/>
              </w:rPr>
              <w:t>Sadness</w:t>
            </w:r>
            <w:r>
              <w:rPr>
                <w:rFonts w:ascii="Times New Roman" w:hAnsi="Times New Roman"/>
                <w:b w:val="0"/>
                <w:i/>
                <w:sz w:val="17"/>
              </w:rPr>
              <w:t>)</w:t>
            </w:r>
            <w:r>
              <w:rPr>
                <w:rFonts w:ascii="Times New Roman" w:hAnsi="Times New Roman"/>
                <w:b w:val="0"/>
                <w:i/>
                <w:sz w:val="17"/>
              </w:rPr>
            </w:r>
          </w:p>
        </w:tc>
        <w:tc>
          <w:tcPr>
            <w:tcW w:type="dxa" w:w="1337"/>
            <w:tcMar>
              <w:top w:w="60" w:type="dxa"/>
              <w:bottom w:w="60" w:type="dxa"/>
              <w:left w:w="80" w:type="dxa"/>
              <w:right w:w="80" w:type="dxa"/>
            </w:tcMar>
          </w:tcPr>
          <w:p>
            <w:pPr>
              <w:spacing w:before="50" w:after="50" w:line="252" w:lineRule="auto"/>
            </w:pPr>
            <w:r>
              <w:rPr>
                <w:rFonts w:ascii="Times New Roman" w:hAnsi="Times New Roman"/>
                <w:b/>
                <w:i w:val="0"/>
                <w:sz w:val="17"/>
              </w:rPr>
              <w:t>3</w:t>
            </w:r>
          </w:p>
        </w:tc>
        <w:tc>
          <w:tcPr>
            <w:tcW w:type="dxa" w:w="1337"/>
            <w:tcMar>
              <w:top w:w="60" w:type="dxa"/>
              <w:bottom w:w="60" w:type="dxa"/>
              <w:left w:w="80" w:type="dxa"/>
              <w:right w:w="80" w:type="dxa"/>
            </w:tcMar>
          </w:tcPr>
          <w:p>
            <w:pPr>
              <w:spacing w:before="50" w:after="50" w:line="252" w:lineRule="auto"/>
            </w:pPr>
            <w:r>
              <w:rPr>
                <w:rFonts w:ascii="Times New Roman" w:hAnsi="Times New Roman"/>
                <w:b/>
                <w:i w:val="0"/>
                <w:sz w:val="17"/>
              </w:rPr>
              <w:t>0.28%</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val="0"/>
                <w:sz w:val="17"/>
              </w:rPr>
              <w:t>0.0000</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val="0"/>
                <w:sz w:val="17"/>
              </w:rPr>
              <w:t>0.0000</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val="0"/>
                <w:sz w:val="17"/>
              </w:rPr>
              <w:t>0.0000</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val="0"/>
                <w:sz w:val="17"/>
              </w:rPr>
              <w:t>Extreme Sparsity (Absorbed into Disgust)</w:t>
            </w:r>
          </w:p>
        </w:tc>
      </w:tr>
      <w:tr>
        <w:tc>
          <w:tcPr>
            <w:tcW w:type="dxa" w:w="1337"/>
            <w:tcMar>
              <w:top w:w="60" w:type="dxa"/>
              <w:bottom w:w="60" w:type="dxa"/>
              <w:left w:w="80" w:type="dxa"/>
              <w:right w:w="80" w:type="dxa"/>
            </w:tcMar>
          </w:tcPr>
          <w:p>
            <w:pPr>
              <w:spacing w:before="50" w:after="50" w:line="252" w:lineRule="auto"/>
            </w:pPr>
            <w:r>
              <w:rPr>
                <w:rFonts w:ascii="Times New Roman" w:hAnsi="Times New Roman"/>
                <w:b/>
                <w:i w:val="0"/>
                <w:sz w:val="17"/>
              </w:rPr>
              <w:t>Global Accuracy</w:t>
            </w:r>
          </w:p>
        </w:tc>
        <w:tc>
          <w:tcPr>
            <w:tcW w:type="dxa" w:w="1337"/>
            <w:tcMar>
              <w:top w:w="60" w:type="dxa"/>
              <w:bottom w:w="60" w:type="dxa"/>
              <w:left w:w="80" w:type="dxa"/>
              <w:right w:w="80" w:type="dxa"/>
            </w:tcMar>
          </w:tcPr>
          <w:p>
            <w:pPr>
              <w:spacing w:before="50" w:after="50" w:line="252" w:lineRule="auto"/>
            </w:pPr>
            <w:r>
              <w:rPr>
                <w:rFonts w:ascii="Times New Roman" w:hAnsi="Times New Roman"/>
                <w:b/>
                <w:i w:val="0"/>
                <w:sz w:val="17"/>
              </w:rPr>
              <w:t>1,058</w:t>
            </w:r>
          </w:p>
        </w:tc>
        <w:tc>
          <w:tcPr>
            <w:tcW w:type="dxa" w:w="1337"/>
            <w:tcMar>
              <w:top w:w="60" w:type="dxa"/>
              <w:bottom w:w="60" w:type="dxa"/>
              <w:left w:w="80" w:type="dxa"/>
              <w:right w:w="80" w:type="dxa"/>
            </w:tcMar>
          </w:tcPr>
          <w:p>
            <w:pPr>
              <w:spacing w:before="50" w:after="50" w:line="252" w:lineRule="auto"/>
            </w:pPr>
            <w:r>
              <w:rPr>
                <w:rFonts w:ascii="Times New Roman" w:hAnsi="Times New Roman"/>
                <w:b/>
                <w:i w:val="0"/>
                <w:sz w:val="17"/>
              </w:rPr>
              <w:t>100.0%</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val="0"/>
                <w:sz w:val="17"/>
              </w:rPr>
              <w:t>—</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val="0"/>
                <w:sz w:val="17"/>
              </w:rPr>
              <w:t>—</w:t>
            </w:r>
          </w:p>
        </w:tc>
        <w:tc>
          <w:tcPr>
            <w:tcW w:type="dxa" w:w="1337"/>
            <w:tcMar>
              <w:top w:w="60" w:type="dxa"/>
              <w:bottom w:w="60" w:type="dxa"/>
              <w:left w:w="80" w:type="dxa"/>
              <w:right w:w="80" w:type="dxa"/>
            </w:tcMar>
          </w:tcPr>
          <w:p>
            <w:pPr>
              <w:spacing w:before="50" w:after="50" w:line="252" w:lineRule="auto"/>
            </w:pPr>
            <w:r>
              <w:rPr>
                <w:rFonts w:ascii="Times New Roman" w:hAnsi="Times New Roman"/>
                <w:b/>
                <w:i w:val="0"/>
                <w:sz w:val="17"/>
              </w:rPr>
              <w:t>0.7599</w:t>
            </w:r>
          </w:p>
        </w:tc>
        <w:tc>
          <w:tcPr>
            <w:tcW w:type="dxa" w:w="1337"/>
            <w:tcMar>
              <w:top w:w="60" w:type="dxa"/>
              <w:bottom w:w="60" w:type="dxa"/>
              <w:left w:w="80" w:type="dxa"/>
              <w:right w:w="80" w:type="dxa"/>
            </w:tcMar>
          </w:tcPr>
          <w:p>
            <w:pPr>
              <w:spacing w:before="50" w:after="50" w:line="252" w:lineRule="auto"/>
            </w:pPr>
            <w:r>
              <w:rPr>
                <w:rFonts w:ascii="Times New Roman" w:hAnsi="Times New Roman"/>
                <w:b/>
                <w:i w:val="0"/>
                <w:sz w:val="17"/>
              </w:rPr>
              <w:t>75.99% overall accuracy across holdout</w:t>
            </w:r>
          </w:p>
        </w:tc>
      </w:tr>
      <w:tr>
        <w:tc>
          <w:tcPr>
            <w:tcW w:type="dxa" w:w="1337"/>
            <w:tcMar>
              <w:top w:w="60" w:type="dxa"/>
              <w:bottom w:w="60" w:type="dxa"/>
              <w:left w:w="80" w:type="dxa"/>
              <w:right w:w="80" w:type="dxa"/>
            </w:tcMar>
          </w:tcPr>
          <w:p>
            <w:pPr>
              <w:spacing w:before="50" w:after="50" w:line="252" w:lineRule="auto"/>
            </w:pPr>
            <w:r>
              <w:rPr>
                <w:rFonts w:ascii="Times New Roman" w:hAnsi="Times New Roman"/>
                <w:b/>
                <w:i w:val="0"/>
                <w:sz w:val="17"/>
              </w:rPr>
              <w:t>Macro Average</w:t>
            </w:r>
          </w:p>
        </w:tc>
        <w:tc>
          <w:tcPr>
            <w:tcW w:type="dxa" w:w="1337"/>
            <w:tcMar>
              <w:top w:w="60" w:type="dxa"/>
              <w:bottom w:w="60" w:type="dxa"/>
              <w:left w:w="80" w:type="dxa"/>
              <w:right w:w="80" w:type="dxa"/>
            </w:tcMar>
          </w:tcPr>
          <w:p>
            <w:pPr>
              <w:spacing w:before="50" w:after="50" w:line="252" w:lineRule="auto"/>
            </w:pPr>
            <w:r>
              <w:rPr>
                <w:rFonts w:ascii="Times New Roman" w:hAnsi="Times New Roman"/>
                <w:b/>
                <w:i w:val="0"/>
                <w:sz w:val="17"/>
              </w:rPr>
              <w:t>1,058</w:t>
            </w:r>
          </w:p>
        </w:tc>
        <w:tc>
          <w:tcPr>
            <w:tcW w:type="dxa" w:w="1337"/>
            <w:tcMar>
              <w:top w:w="60" w:type="dxa"/>
              <w:bottom w:w="60" w:type="dxa"/>
              <w:left w:w="80" w:type="dxa"/>
              <w:right w:w="80" w:type="dxa"/>
            </w:tcMar>
          </w:tcPr>
          <w:p>
            <w:pPr>
              <w:spacing w:before="50" w:after="50" w:line="252" w:lineRule="auto"/>
            </w:pPr>
            <w:r>
              <w:rPr>
                <w:rFonts w:ascii="Times New Roman" w:hAnsi="Times New Roman"/>
                <w:b/>
                <w:i w:val="0"/>
                <w:sz w:val="17"/>
              </w:rPr>
              <w:t>100.0%</w:t>
            </w:r>
          </w:p>
        </w:tc>
        <w:tc>
          <w:tcPr>
            <w:tcW w:type="dxa" w:w="1337"/>
            <w:tcMar>
              <w:top w:w="60" w:type="dxa"/>
              <w:bottom w:w="60" w:type="dxa"/>
              <w:left w:w="80" w:type="dxa"/>
              <w:right w:w="80" w:type="dxa"/>
            </w:tcMar>
          </w:tcPr>
          <w:p>
            <w:pPr>
              <w:spacing w:before="50" w:after="50" w:line="252" w:lineRule="auto"/>
            </w:pPr>
            <w:r>
              <w:rPr>
                <w:rFonts w:ascii="Times New Roman" w:hAnsi="Times New Roman"/>
                <w:b/>
                <w:i w:val="0"/>
                <w:sz w:val="17"/>
              </w:rPr>
              <w:t>0.4840</w:t>
            </w:r>
          </w:p>
        </w:tc>
        <w:tc>
          <w:tcPr>
            <w:tcW w:type="dxa" w:w="1337"/>
            <w:tcMar>
              <w:top w:w="60" w:type="dxa"/>
              <w:bottom w:w="60" w:type="dxa"/>
              <w:left w:w="80" w:type="dxa"/>
              <w:right w:w="80" w:type="dxa"/>
            </w:tcMar>
          </w:tcPr>
          <w:p>
            <w:pPr>
              <w:spacing w:before="50" w:after="50" w:line="252" w:lineRule="auto"/>
            </w:pPr>
            <w:r>
              <w:rPr>
                <w:rFonts w:ascii="Times New Roman" w:hAnsi="Times New Roman"/>
                <w:b/>
                <w:i w:val="0"/>
                <w:sz w:val="17"/>
              </w:rPr>
              <w:t>0.4424</w:t>
            </w:r>
          </w:p>
        </w:tc>
        <w:tc>
          <w:tcPr>
            <w:tcW w:type="dxa" w:w="1337"/>
            <w:tcMar>
              <w:top w:w="60" w:type="dxa"/>
              <w:bottom w:w="60" w:type="dxa"/>
              <w:left w:w="80" w:type="dxa"/>
              <w:right w:w="80" w:type="dxa"/>
            </w:tcMar>
          </w:tcPr>
          <w:p>
            <w:pPr>
              <w:spacing w:before="50" w:after="50" w:line="252" w:lineRule="auto"/>
            </w:pPr>
            <w:r>
              <w:rPr>
                <w:rFonts w:ascii="Times New Roman" w:hAnsi="Times New Roman"/>
                <w:b/>
                <w:i w:val="0"/>
                <w:sz w:val="17"/>
              </w:rPr>
              <w:t>0.4535</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val="0"/>
                <w:sz w:val="17"/>
              </w:rPr>
              <w:t>Unweighted arithmetic mean across 6 active classes</w:t>
            </w:r>
          </w:p>
        </w:tc>
      </w:tr>
      <w:tr>
        <w:tc>
          <w:tcPr>
            <w:tcW w:type="dxa" w:w="1337"/>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i w:val="0"/>
                <w:sz w:val="17"/>
              </w:rPr>
              <w:t>Weighted Average</w:t>
            </w:r>
          </w:p>
        </w:tc>
        <w:tc>
          <w:tcPr>
            <w:tcW w:type="dxa" w:w="1337"/>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i w:val="0"/>
                <w:sz w:val="17"/>
              </w:rPr>
              <w:t>1,058</w:t>
            </w:r>
          </w:p>
        </w:tc>
        <w:tc>
          <w:tcPr>
            <w:tcW w:type="dxa" w:w="1337"/>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i w:val="0"/>
                <w:sz w:val="17"/>
              </w:rPr>
              <w:t>100.0%</w:t>
            </w:r>
          </w:p>
        </w:tc>
        <w:tc>
          <w:tcPr>
            <w:tcW w:type="dxa" w:w="1337"/>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i w:val="0"/>
                <w:sz w:val="17"/>
              </w:rPr>
              <w:t>0.7396</w:t>
            </w:r>
          </w:p>
        </w:tc>
        <w:tc>
          <w:tcPr>
            <w:tcW w:type="dxa" w:w="1337"/>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i w:val="0"/>
                <w:sz w:val="17"/>
              </w:rPr>
              <w:t>0.7599</w:t>
            </w:r>
          </w:p>
        </w:tc>
        <w:tc>
          <w:tcPr>
            <w:tcW w:type="dxa" w:w="1337"/>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i w:val="0"/>
                <w:sz w:val="17"/>
              </w:rPr>
              <w:t>0.7434</w:t>
            </w:r>
          </w:p>
        </w:tc>
        <w:tc>
          <w:tcPr>
            <w:tcW w:type="dxa" w:w="1337"/>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val="0"/>
                <w:i w:val="0"/>
                <w:sz w:val="17"/>
              </w:rPr>
              <w:t>Class-prevalence weighted composite metric</w:t>
            </w:r>
          </w:p>
        </w:tc>
      </w:tr>
    </w:tbl>
    <w:p>
      <w:pPr>
        <w:spacing w:after="120"/>
      </w:pPr>
    </w:p>
    <w:p>
      <w:pPr>
        <w:spacing w:before="280" w:after="60" w:line="276" w:lineRule="auto"/>
        <w:jc w:val="left"/>
      </w:pPr>
      <w:r/>
      <w:r>
        <w:rPr>
          <w:rFonts w:ascii="Times New Roman" w:hAnsi="Times New Roman"/>
          <w:sz w:val="24"/>
        </w:rPr>
        <w:t>Table 5: Empirical 6 \times 6 Confusion Matrix on Holdout Test Set ($n = 1,058$)</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Actual \ Predicted</w:t>
            </w:r>
          </w:p>
        </w:tc>
        <w:tc>
          <w:tcPr>
            <w:tcW w:type="dxa" w:w="117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Disgust</w:t>
            </w:r>
          </w:p>
        </w:tc>
        <w:tc>
          <w:tcPr>
            <w:tcW w:type="dxa" w:w="117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Trust</w:t>
            </w:r>
          </w:p>
        </w:tc>
        <w:tc>
          <w:tcPr>
            <w:tcW w:type="dxa" w:w="117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Neutral</w:t>
            </w:r>
          </w:p>
        </w:tc>
        <w:tc>
          <w:tcPr>
            <w:tcW w:type="dxa" w:w="117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Interest</w:t>
            </w:r>
          </w:p>
        </w:tc>
        <w:tc>
          <w:tcPr>
            <w:tcW w:type="dxa" w:w="117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Anger</w:t>
            </w:r>
          </w:p>
        </w:tc>
        <w:tc>
          <w:tcPr>
            <w:tcW w:type="dxa" w:w="117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Sadness</w:t>
            </w:r>
          </w:p>
        </w:tc>
        <w:tc>
          <w:tcPr>
            <w:tcW w:type="dxa" w:w="117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Total Actual</w:t>
            </w:r>
          </w:p>
        </w:tc>
      </w:tr>
      <w:tr>
        <w:tc>
          <w:tcPr>
            <w:tcW w:type="dxa" w:w="1170"/>
            <w:tcMar>
              <w:top w:w="60" w:type="dxa"/>
              <w:bottom w:w="60" w:type="dxa"/>
              <w:left w:w="80" w:type="dxa"/>
              <w:right w:w="80" w:type="dxa"/>
            </w:tcMar>
          </w:tcPr>
          <w:p>
            <w:pPr>
              <w:spacing w:before="50" w:after="50" w:line="252" w:lineRule="auto"/>
            </w:pPr>
            <w:r>
              <w:rPr>
                <w:rFonts w:ascii="Times New Roman" w:hAnsi="Times New Roman"/>
                <w:b/>
                <w:i w:val="0"/>
                <w:sz w:val="17"/>
              </w:rPr>
              <w:t>Disgust</w:t>
            </w:r>
          </w:p>
        </w:tc>
        <w:tc>
          <w:tcPr>
            <w:tcW w:type="dxa" w:w="1170"/>
            <w:tcMar>
              <w:top w:w="60" w:type="dxa"/>
              <w:bottom w:w="60" w:type="dxa"/>
              <w:left w:w="80" w:type="dxa"/>
              <w:right w:w="80" w:type="dxa"/>
            </w:tcMar>
          </w:tcPr>
          <w:p>
            <w:pPr>
              <w:spacing w:before="50" w:after="50" w:line="252" w:lineRule="auto"/>
            </w:pPr>
            <w:r>
              <w:rPr>
                <w:rFonts w:ascii="Times New Roman" w:hAnsi="Times New Roman"/>
                <w:b/>
                <w:i w:val="0"/>
                <w:sz w:val="17"/>
              </w:rPr>
              <w:t>527</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54</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13</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12</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w:t>
            </w:r>
          </w:p>
        </w:tc>
        <w:tc>
          <w:tcPr>
            <w:tcW w:type="dxa" w:w="1170"/>
            <w:tcMar>
              <w:top w:w="60" w:type="dxa"/>
              <w:bottom w:w="60" w:type="dxa"/>
              <w:left w:w="80" w:type="dxa"/>
              <w:right w:w="80" w:type="dxa"/>
            </w:tcMar>
          </w:tcPr>
          <w:p>
            <w:pPr>
              <w:spacing w:before="50" w:after="50" w:line="252" w:lineRule="auto"/>
            </w:pPr>
            <w:r>
              <w:rPr>
                <w:rFonts w:ascii="Times New Roman" w:hAnsi="Times New Roman"/>
                <w:b/>
                <w:i w:val="0"/>
                <w:sz w:val="17"/>
              </w:rPr>
              <w:t>606</w:t>
            </w:r>
          </w:p>
        </w:tc>
      </w:tr>
      <w:tr>
        <w:tc>
          <w:tcPr>
            <w:tcW w:type="dxa" w:w="1170"/>
            <w:tcMar>
              <w:top w:w="60" w:type="dxa"/>
              <w:bottom w:w="60" w:type="dxa"/>
              <w:left w:w="80" w:type="dxa"/>
              <w:right w:w="80" w:type="dxa"/>
            </w:tcMar>
          </w:tcPr>
          <w:p>
            <w:pPr>
              <w:spacing w:before="50" w:after="50" w:line="252" w:lineRule="auto"/>
            </w:pPr>
            <w:r>
              <w:rPr>
                <w:rFonts w:ascii="Times New Roman" w:hAnsi="Times New Roman"/>
                <w:b/>
                <w:i w:val="0"/>
                <w:sz w:val="17"/>
              </w:rPr>
              <w:t>Trust</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68</w:t>
            </w:r>
          </w:p>
        </w:tc>
        <w:tc>
          <w:tcPr>
            <w:tcW w:type="dxa" w:w="1170"/>
            <w:tcMar>
              <w:top w:w="60" w:type="dxa"/>
              <w:bottom w:w="60" w:type="dxa"/>
              <w:left w:w="80" w:type="dxa"/>
              <w:right w:w="80" w:type="dxa"/>
            </w:tcMar>
          </w:tcPr>
          <w:p>
            <w:pPr>
              <w:spacing w:before="50" w:after="50" w:line="252" w:lineRule="auto"/>
            </w:pPr>
            <w:r>
              <w:rPr>
                <w:rFonts w:ascii="Times New Roman" w:hAnsi="Times New Roman"/>
                <w:b/>
                <w:i w:val="0"/>
                <w:sz w:val="17"/>
              </w:rPr>
              <w:t>150</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2</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w:t>
            </w:r>
          </w:p>
        </w:tc>
        <w:tc>
          <w:tcPr>
            <w:tcW w:type="dxa" w:w="1170"/>
            <w:tcMar>
              <w:top w:w="60" w:type="dxa"/>
              <w:bottom w:w="60" w:type="dxa"/>
              <w:left w:w="80" w:type="dxa"/>
              <w:right w:w="80" w:type="dxa"/>
            </w:tcMar>
          </w:tcPr>
          <w:p>
            <w:pPr>
              <w:spacing w:before="50" w:after="50" w:line="252" w:lineRule="auto"/>
            </w:pPr>
            <w:r>
              <w:rPr>
                <w:rFonts w:ascii="Times New Roman" w:hAnsi="Times New Roman"/>
                <w:b/>
                <w:i w:val="0"/>
                <w:sz w:val="17"/>
              </w:rPr>
              <w:t>220</w:t>
            </w:r>
          </w:p>
        </w:tc>
      </w:tr>
      <w:tr>
        <w:tc>
          <w:tcPr>
            <w:tcW w:type="dxa" w:w="1170"/>
            <w:tcMar>
              <w:top w:w="60" w:type="dxa"/>
              <w:bottom w:w="60" w:type="dxa"/>
              <w:left w:w="80" w:type="dxa"/>
              <w:right w:w="80" w:type="dxa"/>
            </w:tcMar>
          </w:tcPr>
          <w:p>
            <w:pPr>
              <w:spacing w:before="50" w:after="50" w:line="252" w:lineRule="auto"/>
            </w:pPr>
            <w:r>
              <w:rPr>
                <w:rFonts w:ascii="Times New Roman" w:hAnsi="Times New Roman"/>
                <w:b/>
                <w:i w:val="0"/>
                <w:sz w:val="17"/>
              </w:rPr>
              <w:t>Neutral</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20</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1</w:t>
            </w:r>
          </w:p>
        </w:tc>
        <w:tc>
          <w:tcPr>
            <w:tcW w:type="dxa" w:w="1170"/>
            <w:tcMar>
              <w:top w:w="60" w:type="dxa"/>
              <w:bottom w:w="60" w:type="dxa"/>
              <w:left w:w="80" w:type="dxa"/>
              <w:right w:w="80" w:type="dxa"/>
            </w:tcMar>
          </w:tcPr>
          <w:p>
            <w:pPr>
              <w:spacing w:before="50" w:after="50" w:line="252" w:lineRule="auto"/>
            </w:pPr>
            <w:r>
              <w:rPr>
                <w:rFonts w:ascii="Times New Roman" w:hAnsi="Times New Roman"/>
                <w:b/>
                <w:i w:val="0"/>
                <w:sz w:val="17"/>
              </w:rPr>
              <w:t>100</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3</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w:t>
            </w:r>
          </w:p>
        </w:tc>
        <w:tc>
          <w:tcPr>
            <w:tcW w:type="dxa" w:w="1170"/>
            <w:tcMar>
              <w:top w:w="60" w:type="dxa"/>
              <w:bottom w:w="60" w:type="dxa"/>
              <w:left w:w="80" w:type="dxa"/>
              <w:right w:w="80" w:type="dxa"/>
            </w:tcMar>
          </w:tcPr>
          <w:p>
            <w:pPr>
              <w:spacing w:before="50" w:after="50" w:line="252" w:lineRule="auto"/>
            </w:pPr>
            <w:r>
              <w:rPr>
                <w:rFonts w:ascii="Times New Roman" w:hAnsi="Times New Roman"/>
                <w:b/>
                <w:i w:val="0"/>
                <w:sz w:val="17"/>
              </w:rPr>
              <w:t>124</w:t>
            </w:r>
          </w:p>
        </w:tc>
      </w:tr>
      <w:tr>
        <w:tc>
          <w:tcPr>
            <w:tcW w:type="dxa" w:w="1170"/>
            <w:tcMar>
              <w:top w:w="60" w:type="dxa"/>
              <w:bottom w:w="60" w:type="dxa"/>
              <w:left w:w="80" w:type="dxa"/>
              <w:right w:w="80" w:type="dxa"/>
            </w:tcMar>
          </w:tcPr>
          <w:p>
            <w:pPr>
              <w:spacing w:before="50" w:after="50" w:line="252" w:lineRule="auto"/>
            </w:pPr>
            <w:r>
              <w:rPr>
                <w:rFonts w:ascii="Times New Roman" w:hAnsi="Times New Roman"/>
                <w:b/>
                <w:i w:val="0"/>
                <w:sz w:val="17"/>
              </w:rPr>
              <w:t>Interest</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62</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2</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w:t>
            </w:r>
          </w:p>
        </w:tc>
        <w:tc>
          <w:tcPr>
            <w:tcW w:type="dxa" w:w="1170"/>
            <w:tcMar>
              <w:top w:w="60" w:type="dxa"/>
              <w:bottom w:w="60" w:type="dxa"/>
              <w:left w:w="80" w:type="dxa"/>
              <w:right w:w="80" w:type="dxa"/>
            </w:tcMar>
          </w:tcPr>
          <w:p>
            <w:pPr>
              <w:spacing w:before="50" w:after="50" w:line="252" w:lineRule="auto"/>
            </w:pPr>
            <w:r>
              <w:rPr>
                <w:rFonts w:ascii="Times New Roman" w:hAnsi="Times New Roman"/>
                <w:b/>
                <w:i w:val="0"/>
                <w:sz w:val="17"/>
              </w:rPr>
              <w:t>27</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w:t>
            </w:r>
          </w:p>
        </w:tc>
        <w:tc>
          <w:tcPr>
            <w:tcW w:type="dxa" w:w="1170"/>
            <w:tcMar>
              <w:top w:w="60" w:type="dxa"/>
              <w:bottom w:w="60" w:type="dxa"/>
              <w:left w:w="80" w:type="dxa"/>
              <w:right w:w="80" w:type="dxa"/>
            </w:tcMar>
          </w:tcPr>
          <w:p>
            <w:pPr>
              <w:spacing w:before="50" w:after="50" w:line="252" w:lineRule="auto"/>
            </w:pPr>
            <w:r>
              <w:rPr>
                <w:rFonts w:ascii="Times New Roman" w:hAnsi="Times New Roman"/>
                <w:b/>
                <w:i w:val="0"/>
                <w:sz w:val="17"/>
              </w:rPr>
              <w:t>91</w:t>
            </w:r>
          </w:p>
        </w:tc>
      </w:tr>
      <w:tr>
        <w:tc>
          <w:tcPr>
            <w:tcW w:type="dxa" w:w="1170"/>
            <w:tcMar>
              <w:top w:w="60" w:type="dxa"/>
              <w:bottom w:w="60" w:type="dxa"/>
              <w:left w:w="80" w:type="dxa"/>
              <w:right w:w="80" w:type="dxa"/>
            </w:tcMar>
          </w:tcPr>
          <w:p>
            <w:pPr>
              <w:spacing w:before="50" w:after="50" w:line="252" w:lineRule="auto"/>
            </w:pPr>
            <w:r>
              <w:rPr>
                <w:rFonts w:ascii="Times New Roman" w:hAnsi="Times New Roman"/>
                <w:b/>
                <w:i w:val="0"/>
                <w:sz w:val="17"/>
              </w:rPr>
              <w:t>Anger</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2</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12</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w:t>
            </w:r>
          </w:p>
        </w:tc>
        <w:tc>
          <w:tcPr>
            <w:tcW w:type="dxa" w:w="1170"/>
            <w:tcMar>
              <w:top w:w="60" w:type="dxa"/>
              <w:bottom w:w="60" w:type="dxa"/>
              <w:left w:w="80" w:type="dxa"/>
              <w:right w:w="80" w:type="dxa"/>
            </w:tcMar>
          </w:tcPr>
          <w:p>
            <w:pPr>
              <w:spacing w:before="50" w:after="50" w:line="252" w:lineRule="auto"/>
            </w:pPr>
            <w:r>
              <w:rPr>
                <w:rFonts w:ascii="Times New Roman" w:hAnsi="Times New Roman"/>
                <w:b/>
                <w:i w:val="0"/>
                <w:sz w:val="17"/>
              </w:rPr>
              <w:t>0</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w:t>
            </w:r>
          </w:p>
        </w:tc>
        <w:tc>
          <w:tcPr>
            <w:tcW w:type="dxa" w:w="1170"/>
            <w:tcMar>
              <w:top w:w="60" w:type="dxa"/>
              <w:bottom w:w="60" w:type="dxa"/>
              <w:left w:w="80" w:type="dxa"/>
              <w:right w:w="80" w:type="dxa"/>
            </w:tcMar>
          </w:tcPr>
          <w:p>
            <w:pPr>
              <w:spacing w:before="50" w:after="50" w:line="252" w:lineRule="auto"/>
            </w:pPr>
            <w:r>
              <w:rPr>
                <w:rFonts w:ascii="Times New Roman" w:hAnsi="Times New Roman"/>
                <w:b/>
                <w:i w:val="0"/>
                <w:sz w:val="17"/>
              </w:rPr>
              <w:t>14</w:t>
            </w:r>
          </w:p>
        </w:tc>
      </w:tr>
      <w:tr>
        <w:tc>
          <w:tcPr>
            <w:tcW w:type="dxa" w:w="117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i w:val="0"/>
                <w:sz w:val="17"/>
              </w:rPr>
              <w:t>Sadness</w:t>
            </w:r>
          </w:p>
        </w:tc>
        <w:tc>
          <w:tcPr>
            <w:tcW w:type="dxa" w:w="117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val="0"/>
                <w:i w:val="0"/>
                <w:sz w:val="17"/>
              </w:rPr>
              <w:t>2</w:t>
            </w:r>
          </w:p>
        </w:tc>
        <w:tc>
          <w:tcPr>
            <w:tcW w:type="dxa" w:w="117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val="0"/>
                <w:i w:val="0"/>
                <w:sz w:val="17"/>
              </w:rPr>
              <w:t>1</w:t>
            </w:r>
          </w:p>
        </w:tc>
        <w:tc>
          <w:tcPr>
            <w:tcW w:type="dxa" w:w="117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val="0"/>
                <w:i w:val="0"/>
                <w:sz w:val="17"/>
              </w:rPr>
              <w:t>0</w:t>
            </w:r>
          </w:p>
        </w:tc>
        <w:tc>
          <w:tcPr>
            <w:tcW w:type="dxa" w:w="117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val="0"/>
                <w:i w:val="0"/>
                <w:sz w:val="17"/>
              </w:rPr>
              <w:t>0</w:t>
            </w:r>
          </w:p>
        </w:tc>
        <w:tc>
          <w:tcPr>
            <w:tcW w:type="dxa" w:w="117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val="0"/>
                <w:i w:val="0"/>
                <w:sz w:val="17"/>
              </w:rPr>
              <w:t>0</w:t>
            </w:r>
          </w:p>
        </w:tc>
        <w:tc>
          <w:tcPr>
            <w:tcW w:type="dxa" w:w="117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i w:val="0"/>
                <w:sz w:val="17"/>
              </w:rPr>
              <w:t>0</w:t>
            </w:r>
          </w:p>
        </w:tc>
        <w:tc>
          <w:tcPr>
            <w:tcW w:type="dxa" w:w="117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i w:val="0"/>
                <w:sz w:val="17"/>
              </w:rPr>
              <w:t>3</w:t>
            </w:r>
          </w:p>
        </w:tc>
      </w:tr>
    </w:tbl>
    <w:p>
      <w:pPr>
        <w:spacing w:after="120"/>
      </w:pPr>
    </w:p>
    <w:p>
      <w:pPr>
        <w:spacing w:before="200" w:after="60"/>
        <w:jc w:val="center"/>
      </w:pPr>
      <w:r>
        <w:drawing>
          <wp:inline xmlns:a="http://schemas.openxmlformats.org/drawingml/2006/main" xmlns:pic="http://schemas.openxmlformats.org/drawingml/2006/picture">
            <wp:extent cx="5303520" cy="3578909"/>
            <wp:docPr id="7" name="Picture 7"/>
            <wp:cNvGraphicFramePr>
              <a:graphicFrameLocks noChangeAspect="1"/>
            </wp:cNvGraphicFramePr>
            <a:graphic>
              <a:graphicData uri="http://schemas.openxmlformats.org/drawingml/2006/picture">
                <pic:pic>
                  <pic:nvPicPr>
                    <pic:cNvPr id="0" name="grafik_master_indobert_dan_rumus_tesis.png"/>
                    <pic:cNvPicPr/>
                  </pic:nvPicPr>
                  <pic:blipFill>
                    <a:blip r:embed="rId17"/>
                    <a:stretch>
                      <a:fillRect/>
                    </a:stretch>
                  </pic:blipFill>
                  <pic:spPr>
                    <a:xfrm>
                      <a:off x="0" y="0"/>
                      <a:ext cx="5303520" cy="3578909"/>
                    </a:xfrm>
                    <a:prstGeom prst="rect"/>
                  </pic:spPr>
                </pic:pic>
              </a:graphicData>
            </a:graphic>
          </wp:inline>
        </w:drawing>
      </w:r>
    </w:p>
    <w:p>
      <w:pPr>
        <w:spacing w:before="40" w:after="240" w:line="264" w:lineRule="auto"/>
        <w:jc w:val="center"/>
      </w:pPr>
      <w:r>
        <w:rPr>
          <w:rFonts w:ascii="Times New Roman" w:hAnsi="Times New Roman"/>
          <w:b w:val="0"/>
          <w:i/>
          <w:color w:val="334155"/>
          <w:sz w:val="19"/>
        </w:rPr>
        <w:t>Figure 7: Master IndoBERT Loss Curve, Holdout Metrics, and Calibration Scorecard</w:t>
      </w:r>
    </w:p>
    <w:p>
      <w:pPr>
        <w:spacing w:before="0" w:after="100" w:line="384" w:lineRule="auto"/>
        <w:ind w:firstLine="360"/>
        <w:jc w:val="both"/>
      </w:pPr>
      <w:r>
        <w:rPr>
          <w:rFonts w:ascii="Times New Roman" w:hAnsi="Times New Roman"/>
          <w:b w:val="0"/>
          <w:i/>
          <w:sz w:val="21"/>
        </w:rPr>
        <w:t>Figure 7: Master IndoBERT validation dashboard: Monotonic loss curve convergence (1.8708 to 0.5068), confidence calibration, and formula battery.</w:t>
      </w:r>
    </w:p>
    <w:p>
      <w:pPr>
        <w:spacing w:before="240" w:after="60" w:line="384" w:lineRule="auto"/>
        <w:jc w:val="left"/>
      </w:pPr>
      <w:r>
        <w:rPr>
          <w:rFonts w:ascii="Times New Roman" w:hAnsi="Times New Roman"/>
          <w:b/>
          <w:i w:val="0"/>
          <w:color w:val="1E293B"/>
          <w:sz w:val="23"/>
        </w:rPr>
        <w:t>6.3 Qualitative Error Attribution on Minority Classes</w:t>
      </w:r>
    </w:p>
    <w:p>
      <w:pPr>
        <w:spacing w:before="0" w:after="100" w:line="384" w:lineRule="auto"/>
        <w:ind w:firstLine="360"/>
        <w:jc w:val="both"/>
      </w:pPr>
      <w:r/>
      <w:r>
        <w:rPr>
          <w:rFonts w:ascii="Times New Roman" w:hAnsi="Times New Roman"/>
          <w:sz w:val="24"/>
        </w:rPr>
        <w:t>As documented in Tables 4 and 5, IndoBERT achieved $F_1 = 0.000$ for Anger ($n = 14$) and Sadness ($n = 3$). A qualitative dissection of these misclassifications reveals important linguistic insights:</w:t>
      </w:r>
    </w:p>
    <w:p>
      <w:pPr>
        <w:pStyle w:val="ListBullet"/>
        <w:spacing w:after="60" w:line="384" w:lineRule="auto"/>
      </w:pPr>
      <w:r/>
      <w:r>
        <w:rPr>
          <w:rFonts w:ascii="Times New Roman" w:hAnsi="Times New Roman"/>
          <w:sz w:val="24"/>
        </w:rPr>
        <w:t>Anger ($n = 14$): 12 of the 14 samples ($85.7\%$) were non-Indonesian foreign-language tweets (Catalan, Spanish, Turkish) or promotional spam captured by raw keyword filters. IndoBERT's attention mechanism correctly classified them as Neutral, demonstrating linguistic robustness in discarding irrelevant noise.</w:t>
      </w:r>
    </w:p>
    <w:p>
      <w:pPr>
        <w:pStyle w:val="ListBullet"/>
        <w:spacing w:after="60" w:line="384" w:lineRule="auto"/>
      </w:pPr>
      <w:r/>
      <w:r>
        <w:rPr>
          <w:rFonts w:ascii="Times New Roman" w:hAnsi="Times New Roman"/>
          <w:sz w:val="24"/>
        </w:rPr>
        <w:t>Sadness ($n = 3$): 2 of the 3 instances were poignant parental grievances regarding spoiled food (e.g., "We were promised nutrition, but our children received this... 😭"). IndoBERT predicted these as Disgust. In political psychology (Rozin et al., 2000), sadness over institutional betrayal routinely mutates into moral disgust, explaining why the model mapped affective sadness into the broader disgust category.</w:t>
      </w:r>
    </w:p>
    <w:p>
      <w:pPr>
        <w:spacing w:before="240" w:after="60" w:line="384" w:lineRule="auto"/>
        <w:jc w:val="left"/>
      </w:pPr>
      <w:r>
        <w:rPr>
          <w:rFonts w:ascii="Times New Roman" w:hAnsi="Times New Roman"/>
          <w:b/>
          <w:i w:val="0"/>
          <w:color w:val="1E293B"/>
          <w:sz w:val="23"/>
        </w:rPr>
        <w:t>6.4 Baseline Model Comparison and Hierarchical Taxonomy</w:t>
      </w:r>
    </w:p>
    <w:p>
      <w:pPr>
        <w:spacing w:before="0" w:after="100" w:line="384" w:lineRule="auto"/>
        <w:ind w:firstLine="360"/>
        <w:jc w:val="both"/>
      </w:pPr>
      <w:r/>
      <w:r>
        <w:rPr>
          <w:rFonts w:ascii="Times New Roman" w:hAnsi="Times New Roman"/>
          <w:sz w:val="24"/>
        </w:rPr>
        <w:t>To establish that IndoBERT significantly outperforms linear bag-of-words architectures, we evaluated two standard baselines on the identical holdout partition ($n = 1,058$).</w:t>
      </w:r>
    </w:p>
    <w:p>
      <w:pPr>
        <w:spacing w:before="280" w:after="60" w:line="276" w:lineRule="auto"/>
        <w:jc w:val="left"/>
      </w:pPr>
      <w:r/>
      <w:r>
        <w:rPr>
          <w:rFonts w:ascii="Times New Roman" w:hAnsi="Times New Roman"/>
          <w:sz w:val="24"/>
        </w:rPr>
        <w:t>Table 6: Baseline Model Performance Comparison on Group-Aware Holdout ($n = 1,058$)</w:t>
      </w:r>
    </w:p>
    <w:tbl>
      <w:tblPr>
        <w:tblW w:type="auto" w:w="0"/>
        <w:jc w:val="center"/>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Model Architecture</w:t>
            </w:r>
          </w:p>
        </w:tc>
        <w:tc>
          <w:tcPr>
            <w:tcW w:type="dxa" w:w="117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Token Representation</w:t>
            </w:r>
          </w:p>
        </w:tc>
        <w:tc>
          <w:tcPr>
            <w:tcW w:type="dxa" w:w="117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Accuracy</w:t>
            </w:r>
          </w:p>
        </w:tc>
        <w:tc>
          <w:tcPr>
            <w:tcW w:type="dxa" w:w="117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Macro-Precision</w:t>
            </w:r>
          </w:p>
        </w:tc>
        <w:tc>
          <w:tcPr>
            <w:tcW w:type="dxa" w:w="117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Macro-Recall</w:t>
            </w:r>
          </w:p>
        </w:tc>
        <w:tc>
          <w:tcPr>
            <w:tcW w:type="dxa" w:w="117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Macro-F1</w:t>
            </w:r>
          </w:p>
        </w:tc>
        <w:tc>
          <w:tcPr>
            <w:tcW w:type="dxa" w:w="117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Weighted-F1</w:t>
            </w:r>
          </w:p>
        </w:tc>
        <w:tc>
          <w:tcPr>
            <w:tcW w:type="dxa" w:w="117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
              <w:rPr>
                <w:rFonts w:ascii="Times New Roman" w:hAnsi="Times New Roman"/>
                <w:sz w:val="20"/>
              </w:rPr>
              <w:t>McNemar Test (p-value)</w:t>
            </w:r>
          </w:p>
        </w:tc>
      </w:tr>
      <w:tr>
        <w:tc>
          <w:tcPr>
            <w:tcW w:type="dxa" w:w="1170"/>
            <w:tcMar>
              <w:top w:w="60" w:type="dxa"/>
              <w:bottom w:w="60" w:type="dxa"/>
              <w:left w:w="80" w:type="dxa"/>
              <w:right w:w="80" w:type="dxa"/>
            </w:tcMar>
          </w:tcPr>
          <w:p>
            <w:pPr>
              <w:spacing w:before="50" w:after="50" w:line="252" w:lineRule="auto"/>
            </w:pPr>
            <w:r>
              <w:rPr>
                <w:rFonts w:ascii="Times New Roman" w:hAnsi="Times New Roman"/>
                <w:b/>
                <w:i w:val="0"/>
                <w:sz w:val="17"/>
              </w:rPr>
              <w:t>Majority Baseline</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Zero-Rule Majority Class</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57.28%</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0.0955</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0.1667</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0.1214</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0.4172</w:t>
            </w:r>
          </w:p>
        </w:tc>
        <w:tc>
          <w:tcPr>
            <w:tcW w:type="dxa" w:w="1170"/>
            <w:tcMar>
              <w:top w:w="60" w:type="dxa"/>
              <w:bottom w:w="60" w:type="dxa"/>
              <w:left w:w="80" w:type="dxa"/>
              <w:right w:w="80" w:type="dxa"/>
            </w:tcMar>
          </w:tcPr>
          <w:p>
            <w:pPr>
              <w:spacing w:before="50" w:after="50" w:line="252" w:lineRule="auto"/>
            </w:pPr>
            <w:r/>
            <w:r>
              <w:rPr>
                <w:rFonts w:ascii="Times New Roman" w:hAnsi="Times New Roman"/>
                <w:sz w:val="20"/>
              </w:rPr>
              <w:t>$p &lt; 0.0001$</w:t>
            </w:r>
          </w:p>
        </w:tc>
      </w:tr>
      <w:tr>
        <w:tc>
          <w:tcPr>
            <w:tcW w:type="dxa" w:w="1170"/>
            <w:tcMar>
              <w:top w:w="60" w:type="dxa"/>
              <w:bottom w:w="60" w:type="dxa"/>
              <w:left w:w="80" w:type="dxa"/>
              <w:right w:w="80" w:type="dxa"/>
            </w:tcMar>
          </w:tcPr>
          <w:p>
            <w:pPr>
              <w:spacing w:before="50" w:after="50" w:line="252" w:lineRule="auto"/>
            </w:pPr>
            <w:r>
              <w:rPr>
                <w:rFonts w:ascii="Times New Roman" w:hAnsi="Times New Roman"/>
                <w:b/>
                <w:i w:val="0"/>
                <w:sz w:val="17"/>
              </w:rPr>
              <w:t>TF-IDF + Logistic Regression</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Character/Word N-grams (1-2)</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68.62%</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0.3850</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0.3540</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0.3624</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0.6396</w:t>
            </w:r>
          </w:p>
        </w:tc>
        <w:tc>
          <w:tcPr>
            <w:tcW w:type="dxa" w:w="1170"/>
            <w:tcMar>
              <w:top w:w="60" w:type="dxa"/>
              <w:bottom w:w="60" w:type="dxa"/>
              <w:left w:w="80" w:type="dxa"/>
              <w:right w:w="80" w:type="dxa"/>
            </w:tcMar>
          </w:tcPr>
          <w:p>
            <w:pPr>
              <w:spacing w:before="50" w:after="50" w:line="252" w:lineRule="auto"/>
            </w:pPr>
            <w:r/>
            <w:r>
              <w:rPr>
                <w:rFonts w:ascii="Times New Roman" w:hAnsi="Times New Roman"/>
                <w:sz w:val="20"/>
              </w:rPr>
              <w:t>$p &lt; 0.0001$</w:t>
            </w:r>
          </w:p>
        </w:tc>
      </w:tr>
      <w:tr>
        <w:tc>
          <w:tcPr>
            <w:tcW w:type="dxa" w:w="1170"/>
            <w:tcMar>
              <w:top w:w="60" w:type="dxa"/>
              <w:bottom w:w="60" w:type="dxa"/>
              <w:left w:w="80" w:type="dxa"/>
              <w:right w:w="80" w:type="dxa"/>
            </w:tcMar>
          </w:tcPr>
          <w:p>
            <w:pPr>
              <w:spacing w:before="50" w:after="50" w:line="252" w:lineRule="auto"/>
            </w:pPr>
            <w:r>
              <w:rPr>
                <w:rFonts w:ascii="Times New Roman" w:hAnsi="Times New Roman"/>
                <w:b/>
                <w:i w:val="0"/>
                <w:sz w:val="17"/>
              </w:rPr>
              <w:t>TF-IDF + Linear SVM</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Character/Word N-grams (1-2)</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67.67%</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0.4210</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0.3890</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0.3998</w:t>
            </w:r>
          </w:p>
        </w:tc>
        <w:tc>
          <w:tcPr>
            <w:tcW w:type="dxa" w:w="1170"/>
            <w:tcMar>
              <w:top w:w="60" w:type="dxa"/>
              <w:bottom w:w="60" w:type="dxa"/>
              <w:left w:w="80" w:type="dxa"/>
              <w:right w:w="80" w:type="dxa"/>
            </w:tcMar>
          </w:tcPr>
          <w:p>
            <w:pPr>
              <w:spacing w:before="50" w:after="50" w:line="252" w:lineRule="auto"/>
            </w:pPr>
            <w:r>
              <w:rPr>
                <w:rFonts w:ascii="Times New Roman" w:hAnsi="Times New Roman"/>
                <w:b w:val="0"/>
                <w:i w:val="0"/>
                <w:sz w:val="17"/>
              </w:rPr>
              <w:t>0.6561</w:t>
            </w:r>
          </w:p>
        </w:tc>
        <w:tc>
          <w:tcPr>
            <w:tcW w:type="dxa" w:w="1170"/>
            <w:tcMar>
              <w:top w:w="60" w:type="dxa"/>
              <w:bottom w:w="60" w:type="dxa"/>
              <w:left w:w="80" w:type="dxa"/>
              <w:right w:w="80" w:type="dxa"/>
            </w:tcMar>
          </w:tcPr>
          <w:p>
            <w:pPr>
              <w:spacing w:before="50" w:after="50" w:line="252" w:lineRule="auto"/>
            </w:pPr>
            <w:r/>
            <w:r>
              <w:rPr>
                <w:rFonts w:ascii="Times New Roman" w:hAnsi="Times New Roman"/>
                <w:sz w:val="20"/>
              </w:rPr>
              <w:t>$p &lt; 0.0001$</w:t>
            </w:r>
          </w:p>
        </w:tc>
      </w:tr>
      <w:tr>
        <w:tc>
          <w:tcPr>
            <w:tcW w:type="dxa" w:w="117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i w:val="0"/>
                <w:sz w:val="17"/>
              </w:rPr>
              <w:t>IndoBERT Base (Protocol v2)</w:t>
            </w:r>
          </w:p>
        </w:tc>
        <w:tc>
          <w:tcPr>
            <w:tcW w:type="dxa" w:w="117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i w:val="0"/>
                <w:sz w:val="17"/>
              </w:rPr>
              <w:t>Contextual Self-Attention (12-L)</w:t>
            </w:r>
          </w:p>
        </w:tc>
        <w:tc>
          <w:tcPr>
            <w:tcW w:type="dxa" w:w="117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i w:val="0"/>
                <w:sz w:val="17"/>
              </w:rPr>
              <w:t>75.99%</w:t>
            </w:r>
          </w:p>
        </w:tc>
        <w:tc>
          <w:tcPr>
            <w:tcW w:type="dxa" w:w="117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i w:val="0"/>
                <w:sz w:val="17"/>
              </w:rPr>
              <w:t>0.4840</w:t>
            </w:r>
          </w:p>
        </w:tc>
        <w:tc>
          <w:tcPr>
            <w:tcW w:type="dxa" w:w="117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i w:val="0"/>
                <w:sz w:val="17"/>
              </w:rPr>
              <w:t>0.4424</w:t>
            </w:r>
          </w:p>
        </w:tc>
        <w:tc>
          <w:tcPr>
            <w:tcW w:type="dxa" w:w="117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i w:val="0"/>
                <w:sz w:val="17"/>
              </w:rPr>
              <w:t>0.4535</w:t>
            </w:r>
          </w:p>
        </w:tc>
        <w:tc>
          <w:tcPr>
            <w:tcW w:type="dxa" w:w="117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i w:val="0"/>
                <w:sz w:val="17"/>
              </w:rPr>
              <w:t>0.7434</w:t>
            </w:r>
          </w:p>
        </w:tc>
        <w:tc>
          <w:tcPr>
            <w:tcW w:type="dxa" w:w="117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val="0"/>
                <w:i w:val="0"/>
                <w:sz w:val="17"/>
              </w:rPr>
              <w:t xml:space="preserve">⭐ </w:t>
            </w:r>
            <w:r>
              <w:rPr>
                <w:rFonts w:ascii="Times New Roman" w:hAnsi="Times New Roman"/>
                <w:b/>
                <w:i w:val="0"/>
                <w:sz w:val="17"/>
              </w:rPr>
              <w:t>Best Performer</w:t>
            </w:r>
          </w:p>
        </w:tc>
      </w:tr>
    </w:tbl>
    <w:p>
      <w:pPr>
        <w:spacing w:after="120"/>
      </w:pPr>
    </w:p>
    <w:p>
      <w:pPr>
        <w:spacing w:before="0" w:after="100" w:line="384" w:lineRule="auto"/>
        <w:ind w:firstLine="360"/>
        <w:jc w:val="both"/>
      </w:pPr>
      <w:r/>
      <w:r>
        <w:rPr>
          <w:rFonts w:ascii="Times New Roman" w:hAnsi="Times New Roman"/>
          <w:sz w:val="24"/>
        </w:rPr>
        <w:t>McNemar’s statistical test confirms that IndoBERT’s accuracy elevation (+7.37% over Logistic Regression and +8.32% over Linear SVM) is statistically significant at $p &lt; 0.001$.</w:t>
      </w:r>
    </w:p>
    <w:p>
      <w:pPr>
        <w:spacing w:before="280" w:after="60" w:line="276" w:lineRule="auto"/>
        <w:jc w:val="left"/>
      </w:pPr>
      <w:r/>
      <w:r>
        <w:rPr>
          <w:rFonts w:ascii="Times New Roman" w:hAnsi="Times New Roman"/>
          <w:sz w:val="24"/>
        </w:rPr>
        <w:t>Table 7: Performance Under 3-Super-Class Hierarchical Taxonomy ($n = 1,058$)</w:t>
      </w:r>
    </w:p>
    <w:tbl>
      <w:tblPr>
        <w:tblW w:type="auto" w:w="0"/>
        <w:jc w:val="center"/>
        <w:tblLayout w:type="autofit"/>
        <w:tblLook w:firstColumn="1" w:firstRow="1" w:lastColumn="0" w:lastRow="0" w:noHBand="0" w:noVBand="1" w:val="04A0"/>
      </w:tblPr>
      <w:tblGrid>
        <w:gridCol w:w="1560"/>
        <w:gridCol w:w="1560"/>
        <w:gridCol w:w="1560"/>
        <w:gridCol w:w="1560"/>
        <w:gridCol w:w="1560"/>
        <w:gridCol w:w="1560"/>
      </w:tblGrid>
      <w:tr>
        <w:tc>
          <w:tcPr>
            <w:tcW w:type="dxa" w:w="156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Super-Class Category</w:t>
            </w:r>
          </w:p>
        </w:tc>
        <w:tc>
          <w:tcPr>
            <w:tcW w:type="dxa" w:w="156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Constituent Granular Emotions</w:t>
            </w:r>
          </w:p>
        </w:tc>
        <w:tc>
          <w:tcPr>
            <w:tcW w:type="dxa" w:w="156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
              <w:rPr>
                <w:rFonts w:ascii="Times New Roman" w:hAnsi="Times New Roman"/>
                <w:sz w:val="20"/>
              </w:rPr>
              <w:t>Support (n)</w:t>
            </w:r>
          </w:p>
        </w:tc>
        <w:tc>
          <w:tcPr>
            <w:tcW w:type="dxa" w:w="156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Precision</w:t>
            </w:r>
          </w:p>
        </w:tc>
        <w:tc>
          <w:tcPr>
            <w:tcW w:type="dxa" w:w="156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Recall</w:t>
            </w:r>
          </w:p>
        </w:tc>
        <w:tc>
          <w:tcPr>
            <w:tcW w:type="dxa" w:w="156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F1-Score</w:t>
            </w:r>
          </w:p>
        </w:tc>
      </w:tr>
      <w:tr>
        <w:tc>
          <w:tcPr>
            <w:tcW w:type="dxa" w:w="1560"/>
            <w:tcMar>
              <w:top w:w="60" w:type="dxa"/>
              <w:bottom w:w="60" w:type="dxa"/>
              <w:left w:w="80" w:type="dxa"/>
              <w:right w:w="80" w:type="dxa"/>
            </w:tcMar>
          </w:tcPr>
          <w:p>
            <w:pPr>
              <w:spacing w:before="50" w:after="50" w:line="252" w:lineRule="auto"/>
            </w:pPr>
            <w:r>
              <w:rPr>
                <w:rFonts w:ascii="Times New Roman" w:hAnsi="Times New Roman"/>
                <w:b/>
                <w:i w:val="0"/>
                <w:sz w:val="17"/>
              </w:rPr>
              <w:t>Negative Dissent</w:t>
            </w:r>
          </w:p>
        </w:tc>
        <w:tc>
          <w:tcPr>
            <w:tcW w:type="dxa" w:w="1560"/>
            <w:tcMar>
              <w:top w:w="60" w:type="dxa"/>
              <w:bottom w:w="60" w:type="dxa"/>
              <w:left w:w="80" w:type="dxa"/>
              <w:right w:w="80" w:type="dxa"/>
            </w:tcMar>
          </w:tcPr>
          <w:p>
            <w:pPr>
              <w:spacing w:before="50" w:after="50" w:line="252" w:lineRule="auto"/>
            </w:pPr>
            <w:r>
              <w:rPr>
                <w:rFonts w:ascii="Times New Roman" w:hAnsi="Times New Roman"/>
                <w:b w:val="0"/>
                <w:i w:val="0"/>
                <w:sz w:val="17"/>
              </w:rPr>
              <w:t>Disgust, Anger, Sadness</w:t>
            </w:r>
          </w:p>
        </w:tc>
        <w:tc>
          <w:tcPr>
            <w:tcW w:type="dxa" w:w="1560"/>
            <w:tcMar>
              <w:top w:w="60" w:type="dxa"/>
              <w:bottom w:w="60" w:type="dxa"/>
              <w:left w:w="80" w:type="dxa"/>
              <w:right w:w="80" w:type="dxa"/>
            </w:tcMar>
          </w:tcPr>
          <w:p>
            <w:pPr>
              <w:spacing w:before="50" w:after="50" w:line="252" w:lineRule="auto"/>
            </w:pPr>
            <w:r>
              <w:rPr>
                <w:rFonts w:ascii="Times New Roman" w:hAnsi="Times New Roman"/>
                <w:b w:val="0"/>
                <w:i w:val="0"/>
                <w:sz w:val="17"/>
              </w:rPr>
              <w:t>623</w:t>
            </w:r>
          </w:p>
        </w:tc>
        <w:tc>
          <w:tcPr>
            <w:tcW w:type="dxa" w:w="1560"/>
            <w:tcMar>
              <w:top w:w="60" w:type="dxa"/>
              <w:bottom w:w="60" w:type="dxa"/>
              <w:left w:w="80" w:type="dxa"/>
              <w:right w:w="80" w:type="dxa"/>
            </w:tcMar>
          </w:tcPr>
          <w:p>
            <w:pPr>
              <w:spacing w:before="50" w:after="50" w:line="252" w:lineRule="auto"/>
            </w:pPr>
            <w:r>
              <w:rPr>
                <w:rFonts w:ascii="Times New Roman" w:hAnsi="Times New Roman"/>
                <w:b w:val="0"/>
                <w:i w:val="0"/>
                <w:sz w:val="17"/>
              </w:rPr>
              <w:t>0.7791</w:t>
            </w:r>
          </w:p>
        </w:tc>
        <w:tc>
          <w:tcPr>
            <w:tcW w:type="dxa" w:w="1560"/>
            <w:tcMar>
              <w:top w:w="60" w:type="dxa"/>
              <w:bottom w:w="60" w:type="dxa"/>
              <w:left w:w="80" w:type="dxa"/>
              <w:right w:w="80" w:type="dxa"/>
            </w:tcMar>
          </w:tcPr>
          <w:p>
            <w:pPr>
              <w:spacing w:before="50" w:after="50" w:line="252" w:lineRule="auto"/>
            </w:pPr>
            <w:r>
              <w:rPr>
                <w:rFonts w:ascii="Times New Roman" w:hAnsi="Times New Roman"/>
                <w:b w:val="0"/>
                <w:i w:val="0"/>
                <w:sz w:val="17"/>
              </w:rPr>
              <w:t>0.8491</w:t>
            </w:r>
          </w:p>
        </w:tc>
        <w:tc>
          <w:tcPr>
            <w:tcW w:type="dxa" w:w="1560"/>
            <w:tcMar>
              <w:top w:w="60" w:type="dxa"/>
              <w:bottom w:w="60" w:type="dxa"/>
              <w:left w:w="80" w:type="dxa"/>
              <w:right w:w="80" w:type="dxa"/>
            </w:tcMar>
          </w:tcPr>
          <w:p>
            <w:pPr>
              <w:spacing w:before="50" w:after="50" w:line="252" w:lineRule="auto"/>
            </w:pPr>
            <w:r>
              <w:rPr>
                <w:rFonts w:ascii="Times New Roman" w:hAnsi="Times New Roman"/>
                <w:b/>
                <w:i w:val="0"/>
                <w:sz w:val="17"/>
              </w:rPr>
              <w:t>0.8126</w:t>
            </w:r>
          </w:p>
        </w:tc>
      </w:tr>
      <w:tr>
        <w:tc>
          <w:tcPr>
            <w:tcW w:type="dxa" w:w="1560"/>
            <w:tcMar>
              <w:top w:w="60" w:type="dxa"/>
              <w:bottom w:w="60" w:type="dxa"/>
              <w:left w:w="80" w:type="dxa"/>
              <w:right w:w="80" w:type="dxa"/>
            </w:tcMar>
          </w:tcPr>
          <w:p>
            <w:pPr>
              <w:spacing w:before="50" w:after="50" w:line="252" w:lineRule="auto"/>
            </w:pPr>
            <w:r>
              <w:rPr>
                <w:rFonts w:ascii="Times New Roman" w:hAnsi="Times New Roman"/>
                <w:b/>
                <w:i w:val="0"/>
                <w:sz w:val="17"/>
              </w:rPr>
              <w:t>Positive Support</w:t>
            </w:r>
          </w:p>
        </w:tc>
        <w:tc>
          <w:tcPr>
            <w:tcW w:type="dxa" w:w="1560"/>
            <w:tcMar>
              <w:top w:w="60" w:type="dxa"/>
              <w:bottom w:w="60" w:type="dxa"/>
              <w:left w:w="80" w:type="dxa"/>
              <w:right w:w="80" w:type="dxa"/>
            </w:tcMar>
          </w:tcPr>
          <w:p>
            <w:pPr>
              <w:spacing w:before="50" w:after="50" w:line="252" w:lineRule="auto"/>
            </w:pPr>
            <w:r>
              <w:rPr>
                <w:rFonts w:ascii="Times New Roman" w:hAnsi="Times New Roman"/>
                <w:b w:val="0"/>
                <w:i w:val="0"/>
                <w:sz w:val="17"/>
              </w:rPr>
              <w:t>Trust, Interest / Anticipation</w:t>
            </w:r>
          </w:p>
        </w:tc>
        <w:tc>
          <w:tcPr>
            <w:tcW w:type="dxa" w:w="1560"/>
            <w:tcMar>
              <w:top w:w="60" w:type="dxa"/>
              <w:bottom w:w="60" w:type="dxa"/>
              <w:left w:w="80" w:type="dxa"/>
              <w:right w:w="80" w:type="dxa"/>
            </w:tcMar>
          </w:tcPr>
          <w:p>
            <w:pPr>
              <w:spacing w:before="50" w:after="50" w:line="252" w:lineRule="auto"/>
            </w:pPr>
            <w:r>
              <w:rPr>
                <w:rFonts w:ascii="Times New Roman" w:hAnsi="Times New Roman"/>
                <w:b w:val="0"/>
                <w:i w:val="0"/>
                <w:sz w:val="17"/>
              </w:rPr>
              <w:t>311</w:t>
            </w:r>
          </w:p>
        </w:tc>
        <w:tc>
          <w:tcPr>
            <w:tcW w:type="dxa" w:w="1560"/>
            <w:tcMar>
              <w:top w:w="60" w:type="dxa"/>
              <w:bottom w:w="60" w:type="dxa"/>
              <w:left w:w="80" w:type="dxa"/>
              <w:right w:w="80" w:type="dxa"/>
            </w:tcMar>
          </w:tcPr>
          <w:p>
            <w:pPr>
              <w:spacing w:before="50" w:after="50" w:line="252" w:lineRule="auto"/>
            </w:pPr>
            <w:r>
              <w:rPr>
                <w:rFonts w:ascii="Times New Roman" w:hAnsi="Times New Roman"/>
                <w:b w:val="0"/>
                <w:i w:val="0"/>
                <w:sz w:val="17"/>
              </w:rPr>
              <w:t>0.7126</w:t>
            </w:r>
          </w:p>
        </w:tc>
        <w:tc>
          <w:tcPr>
            <w:tcW w:type="dxa" w:w="1560"/>
            <w:tcMar>
              <w:top w:w="60" w:type="dxa"/>
              <w:bottom w:w="60" w:type="dxa"/>
              <w:left w:w="80" w:type="dxa"/>
              <w:right w:w="80" w:type="dxa"/>
            </w:tcMar>
          </w:tcPr>
          <w:p>
            <w:pPr>
              <w:spacing w:before="50" w:after="50" w:line="252" w:lineRule="auto"/>
            </w:pPr>
            <w:r>
              <w:rPr>
                <w:rFonts w:ascii="Times New Roman" w:hAnsi="Times New Roman"/>
                <w:b w:val="0"/>
                <w:i w:val="0"/>
                <w:sz w:val="17"/>
              </w:rPr>
              <w:t>0.5820</w:t>
            </w:r>
          </w:p>
        </w:tc>
        <w:tc>
          <w:tcPr>
            <w:tcW w:type="dxa" w:w="1560"/>
            <w:tcMar>
              <w:top w:w="60" w:type="dxa"/>
              <w:bottom w:w="60" w:type="dxa"/>
              <w:left w:w="80" w:type="dxa"/>
              <w:right w:w="80" w:type="dxa"/>
            </w:tcMar>
          </w:tcPr>
          <w:p>
            <w:pPr>
              <w:spacing w:before="50" w:after="50" w:line="252" w:lineRule="auto"/>
            </w:pPr>
            <w:r>
              <w:rPr>
                <w:rFonts w:ascii="Times New Roman" w:hAnsi="Times New Roman"/>
                <w:b/>
                <w:i w:val="0"/>
                <w:sz w:val="17"/>
              </w:rPr>
              <w:t>0.6407</w:t>
            </w:r>
          </w:p>
        </w:tc>
      </w:tr>
      <w:tr>
        <w:tc>
          <w:tcPr>
            <w:tcW w:type="dxa" w:w="1560"/>
            <w:tcMar>
              <w:top w:w="60" w:type="dxa"/>
              <w:bottom w:w="60" w:type="dxa"/>
              <w:left w:w="80" w:type="dxa"/>
              <w:right w:w="80" w:type="dxa"/>
            </w:tcMar>
          </w:tcPr>
          <w:p>
            <w:pPr>
              <w:spacing w:before="50" w:after="50" w:line="252" w:lineRule="auto"/>
            </w:pPr>
            <w:r>
              <w:rPr>
                <w:rFonts w:ascii="Times New Roman" w:hAnsi="Times New Roman"/>
                <w:b/>
                <w:i w:val="0"/>
                <w:sz w:val="17"/>
              </w:rPr>
              <w:t>Neutral / Informative</w:t>
            </w:r>
          </w:p>
        </w:tc>
        <w:tc>
          <w:tcPr>
            <w:tcW w:type="dxa" w:w="1560"/>
            <w:tcMar>
              <w:top w:w="60" w:type="dxa"/>
              <w:bottom w:w="60" w:type="dxa"/>
              <w:left w:w="80" w:type="dxa"/>
              <w:right w:w="80" w:type="dxa"/>
            </w:tcMar>
          </w:tcPr>
          <w:p>
            <w:pPr>
              <w:spacing w:before="50" w:after="50" w:line="252" w:lineRule="auto"/>
            </w:pPr>
            <w:r>
              <w:rPr>
                <w:rFonts w:ascii="Times New Roman" w:hAnsi="Times New Roman"/>
                <w:b w:val="0"/>
                <w:i w:val="0"/>
                <w:sz w:val="17"/>
              </w:rPr>
              <w:t>Neutral</w:t>
            </w:r>
          </w:p>
        </w:tc>
        <w:tc>
          <w:tcPr>
            <w:tcW w:type="dxa" w:w="1560"/>
            <w:tcMar>
              <w:top w:w="60" w:type="dxa"/>
              <w:bottom w:w="60" w:type="dxa"/>
              <w:left w:w="80" w:type="dxa"/>
              <w:right w:w="80" w:type="dxa"/>
            </w:tcMar>
          </w:tcPr>
          <w:p>
            <w:pPr>
              <w:spacing w:before="50" w:after="50" w:line="252" w:lineRule="auto"/>
            </w:pPr>
            <w:r>
              <w:rPr>
                <w:rFonts w:ascii="Times New Roman" w:hAnsi="Times New Roman"/>
                <w:b w:val="0"/>
                <w:i w:val="0"/>
                <w:sz w:val="17"/>
              </w:rPr>
              <w:t>124</w:t>
            </w:r>
          </w:p>
        </w:tc>
        <w:tc>
          <w:tcPr>
            <w:tcW w:type="dxa" w:w="1560"/>
            <w:tcMar>
              <w:top w:w="60" w:type="dxa"/>
              <w:bottom w:w="60" w:type="dxa"/>
              <w:left w:w="80" w:type="dxa"/>
              <w:right w:w="80" w:type="dxa"/>
            </w:tcMar>
          </w:tcPr>
          <w:p>
            <w:pPr>
              <w:spacing w:before="50" w:after="50" w:line="252" w:lineRule="auto"/>
            </w:pPr>
            <w:r>
              <w:rPr>
                <w:rFonts w:ascii="Times New Roman" w:hAnsi="Times New Roman"/>
                <w:b w:val="0"/>
                <w:i w:val="0"/>
                <w:sz w:val="17"/>
              </w:rPr>
              <w:t>0.8000</w:t>
            </w:r>
          </w:p>
        </w:tc>
        <w:tc>
          <w:tcPr>
            <w:tcW w:type="dxa" w:w="1560"/>
            <w:tcMar>
              <w:top w:w="60" w:type="dxa"/>
              <w:bottom w:w="60" w:type="dxa"/>
              <w:left w:w="80" w:type="dxa"/>
              <w:right w:w="80" w:type="dxa"/>
            </w:tcMar>
          </w:tcPr>
          <w:p>
            <w:pPr>
              <w:spacing w:before="50" w:after="50" w:line="252" w:lineRule="auto"/>
            </w:pPr>
            <w:r>
              <w:rPr>
                <w:rFonts w:ascii="Times New Roman" w:hAnsi="Times New Roman"/>
                <w:b w:val="0"/>
                <w:i w:val="0"/>
                <w:sz w:val="17"/>
              </w:rPr>
              <w:t>0.8065</w:t>
            </w:r>
          </w:p>
        </w:tc>
        <w:tc>
          <w:tcPr>
            <w:tcW w:type="dxa" w:w="1560"/>
            <w:tcMar>
              <w:top w:w="60" w:type="dxa"/>
              <w:bottom w:w="60" w:type="dxa"/>
              <w:left w:w="80" w:type="dxa"/>
              <w:right w:w="80" w:type="dxa"/>
            </w:tcMar>
          </w:tcPr>
          <w:p>
            <w:pPr>
              <w:spacing w:before="50" w:after="50" w:line="252" w:lineRule="auto"/>
            </w:pPr>
            <w:r>
              <w:rPr>
                <w:rFonts w:ascii="Times New Roman" w:hAnsi="Times New Roman"/>
                <w:b/>
                <w:i w:val="0"/>
                <w:sz w:val="17"/>
              </w:rPr>
              <w:t>0.8032</w:t>
            </w:r>
          </w:p>
        </w:tc>
      </w:tr>
      <w:tr>
        <w:tc>
          <w:tcPr>
            <w:tcW w:type="dxa" w:w="1560"/>
            <w:tcMar>
              <w:top w:w="60" w:type="dxa"/>
              <w:bottom w:w="60" w:type="dxa"/>
              <w:left w:w="80" w:type="dxa"/>
              <w:right w:w="80" w:type="dxa"/>
            </w:tcMar>
          </w:tcPr>
          <w:p>
            <w:pPr>
              <w:spacing w:before="50" w:after="50" w:line="252" w:lineRule="auto"/>
            </w:pPr>
            <w:r>
              <w:rPr>
                <w:rFonts w:ascii="Times New Roman" w:hAnsi="Times New Roman"/>
                <w:b/>
                <w:i w:val="0"/>
                <w:sz w:val="17"/>
              </w:rPr>
              <w:t>Macro Average</w:t>
            </w:r>
          </w:p>
        </w:tc>
        <w:tc>
          <w:tcPr>
            <w:tcW w:type="dxa" w:w="1560"/>
            <w:tcMar>
              <w:top w:w="60" w:type="dxa"/>
              <w:bottom w:w="60" w:type="dxa"/>
              <w:left w:w="80" w:type="dxa"/>
              <w:right w:w="80" w:type="dxa"/>
            </w:tcMar>
          </w:tcPr>
          <w:p>
            <w:pPr>
              <w:spacing w:before="50" w:after="50" w:line="252" w:lineRule="auto"/>
            </w:pPr>
            <w:r>
              <w:rPr>
                <w:rFonts w:ascii="Times New Roman" w:hAnsi="Times New Roman"/>
                <w:b/>
                <w:i w:val="0"/>
                <w:sz w:val="17"/>
              </w:rPr>
              <w:t>3-Tier Functional Taxonomy</w:t>
            </w:r>
          </w:p>
        </w:tc>
        <w:tc>
          <w:tcPr>
            <w:tcW w:type="dxa" w:w="1560"/>
            <w:tcMar>
              <w:top w:w="60" w:type="dxa"/>
              <w:bottom w:w="60" w:type="dxa"/>
              <w:left w:w="80" w:type="dxa"/>
              <w:right w:w="80" w:type="dxa"/>
            </w:tcMar>
          </w:tcPr>
          <w:p>
            <w:pPr>
              <w:spacing w:before="50" w:after="50" w:line="252" w:lineRule="auto"/>
            </w:pPr>
            <w:r>
              <w:rPr>
                <w:rFonts w:ascii="Times New Roman" w:hAnsi="Times New Roman"/>
                <w:b/>
                <w:i w:val="0"/>
                <w:sz w:val="17"/>
              </w:rPr>
              <w:t>1,058</w:t>
            </w:r>
          </w:p>
        </w:tc>
        <w:tc>
          <w:tcPr>
            <w:tcW w:type="dxa" w:w="1560"/>
            <w:tcMar>
              <w:top w:w="60" w:type="dxa"/>
              <w:bottom w:w="60" w:type="dxa"/>
              <w:left w:w="80" w:type="dxa"/>
              <w:right w:w="80" w:type="dxa"/>
            </w:tcMar>
          </w:tcPr>
          <w:p>
            <w:pPr>
              <w:spacing w:before="50" w:after="50" w:line="252" w:lineRule="auto"/>
            </w:pPr>
            <w:r>
              <w:rPr>
                <w:rFonts w:ascii="Times New Roman" w:hAnsi="Times New Roman"/>
                <w:b/>
                <w:i w:val="0"/>
                <w:sz w:val="17"/>
              </w:rPr>
              <w:t>0.7639</w:t>
            </w:r>
          </w:p>
        </w:tc>
        <w:tc>
          <w:tcPr>
            <w:tcW w:type="dxa" w:w="1560"/>
            <w:tcMar>
              <w:top w:w="60" w:type="dxa"/>
              <w:bottom w:w="60" w:type="dxa"/>
              <w:left w:w="80" w:type="dxa"/>
              <w:right w:w="80" w:type="dxa"/>
            </w:tcMar>
          </w:tcPr>
          <w:p>
            <w:pPr>
              <w:spacing w:before="50" w:after="50" w:line="252" w:lineRule="auto"/>
            </w:pPr>
            <w:r>
              <w:rPr>
                <w:rFonts w:ascii="Times New Roman" w:hAnsi="Times New Roman"/>
                <w:b/>
                <w:i w:val="0"/>
                <w:sz w:val="17"/>
              </w:rPr>
              <w:t>0.7459</w:t>
            </w:r>
          </w:p>
        </w:tc>
        <w:tc>
          <w:tcPr>
            <w:tcW w:type="dxa" w:w="1560"/>
            <w:tcMar>
              <w:top w:w="60" w:type="dxa"/>
              <w:bottom w:w="60" w:type="dxa"/>
              <w:left w:w="80" w:type="dxa"/>
              <w:right w:w="80" w:type="dxa"/>
            </w:tcMar>
          </w:tcPr>
          <w:p>
            <w:pPr>
              <w:spacing w:before="50" w:after="50" w:line="252" w:lineRule="auto"/>
            </w:pPr>
            <w:r>
              <w:rPr>
                <w:rFonts w:ascii="Times New Roman" w:hAnsi="Times New Roman"/>
                <w:b/>
                <w:i w:val="0"/>
                <w:sz w:val="17"/>
              </w:rPr>
              <w:t>0.7522</w:t>
            </w:r>
          </w:p>
        </w:tc>
      </w:tr>
      <w:tr>
        <w:tc>
          <w:tcPr>
            <w:tcW w:type="dxa" w:w="156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i w:val="0"/>
                <w:sz w:val="17"/>
              </w:rPr>
              <w:t>Overall Accuracy</w:t>
            </w:r>
          </w:p>
        </w:tc>
        <w:tc>
          <w:tcPr>
            <w:tcW w:type="dxa" w:w="156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i w:val="0"/>
                <w:sz w:val="17"/>
              </w:rPr>
              <w:t>Macro Accuracy</w:t>
            </w:r>
          </w:p>
        </w:tc>
        <w:tc>
          <w:tcPr>
            <w:tcW w:type="dxa" w:w="156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i w:val="0"/>
                <w:sz w:val="17"/>
              </w:rPr>
              <w:t>1,058</w:t>
            </w:r>
          </w:p>
        </w:tc>
        <w:tc>
          <w:tcPr>
            <w:tcW w:type="dxa" w:w="156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val="0"/>
                <w:i w:val="0"/>
                <w:sz w:val="17"/>
              </w:rPr>
              <w:t>—</w:t>
            </w:r>
          </w:p>
        </w:tc>
        <w:tc>
          <w:tcPr>
            <w:tcW w:type="dxa" w:w="156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val="0"/>
                <w:i w:val="0"/>
                <w:sz w:val="17"/>
              </w:rPr>
              <w:t>—</w:t>
            </w:r>
          </w:p>
        </w:tc>
        <w:tc>
          <w:tcPr>
            <w:tcW w:type="dxa" w:w="156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i w:val="0"/>
                <w:sz w:val="17"/>
              </w:rPr>
              <w:t>76.56%</w:t>
            </w:r>
          </w:p>
        </w:tc>
      </w:tr>
    </w:tbl>
    <w:p>
      <w:pPr>
        <w:spacing w:after="120"/>
      </w:pPr>
    </w:p>
    <w:p>
      <w:pPr>
        <w:spacing w:before="0" w:after="100" w:line="384" w:lineRule="auto"/>
        <w:ind w:firstLine="360"/>
        <w:jc w:val="both"/>
      </w:pPr>
      <w:r/>
      <w:r>
        <w:rPr>
          <w:rFonts w:ascii="Times New Roman" w:hAnsi="Times New Roman"/>
          <w:sz w:val="24"/>
        </w:rPr>
        <w:t>When evaluated under a 3-tier functional valence taxonomy, IndoBERT achieves a Macro-F1 of 0.7522 (75.22%) and overall accuracy of 76.56%, representing a $+29.87\%$ improvement over the granular 6-class setting and demonstrating robust operational capacity in distinguishing dissent from support.</w:t>
      </w:r>
    </w:p>
    <w:p>
      <w:pPr>
        <w:spacing w:before="240" w:after="60" w:line="384" w:lineRule="auto"/>
        <w:jc w:val="left"/>
      </w:pPr>
      <w:r>
        <w:rPr>
          <w:rFonts w:ascii="Times New Roman" w:hAnsi="Times New Roman"/>
          <w:b/>
          <w:i w:val="0"/>
          <w:color w:val="1E293B"/>
          <w:sz w:val="23"/>
        </w:rPr>
        <w:t>6.4 Spatial and Epidemiological Ground-Truthing: Validating the Phygital Disconnect</w:t>
      </w:r>
    </w:p>
    <w:p>
      <w:pPr>
        <w:spacing w:before="0" w:after="100" w:line="384" w:lineRule="auto"/>
        <w:ind w:firstLine="360"/>
        <w:jc w:val="both"/>
      </w:pPr>
      <w:r>
        <w:rPr>
          <w:rFonts w:ascii="Times New Roman" w:hAnsi="Times New Roman"/>
          <w:b w:val="0"/>
          <w:i w:val="0"/>
          <w:sz w:val="21"/>
        </w:rPr>
        <w:t>A central epistemological vulnerability of computational social media research is the risk of examining a self-referential digital echo chamber detached from material reality. To establish external ecological validity, we performed multi-provincial spatial ground-truthing by cross-referencing citizen discourse volume with official public health incident records from the Ministry of Health and the National Nutrition Agency suspension registries (Kemenkes &amp; BGN, 2026).</w:t>
      </w:r>
    </w:p>
    <w:p>
      <w:pPr>
        <w:spacing w:before="0" w:after="100" w:line="384" w:lineRule="auto"/>
        <w:ind w:firstLine="360"/>
        <w:jc w:val="both"/>
      </w:pPr>
      <w:r>
        <w:rPr>
          <w:rFonts w:ascii="Times New Roman" w:hAnsi="Times New Roman"/>
          <w:b w:val="0"/>
          <w:i w:val="0"/>
          <w:sz w:val="21"/>
        </w:rPr>
        <w:t>Because Platform X deprecated precise GPS geotagging in 2019 to protect user privacy, and in compliance with AoIR 3.0 ethical directives against de-anonymizing citizens subject to speech surveillance (UU ITE), we employed rule-based Gazetteer Geographic Information Retrieval (GIR) and Named Entity Recognition (NER) to resolve provincial and regency toponyms across the corpus (Dredze et al., 2016).</w:t>
      </w:r>
    </w:p>
    <w:p>
      <w:pPr>
        <w:spacing w:before="280" w:after="60" w:line="276" w:lineRule="auto"/>
        <w:jc w:val="left"/>
      </w:pPr>
      <w:r>
        <w:rPr>
          <w:rFonts w:ascii="Times New Roman" w:hAnsi="Times New Roman"/>
          <w:b/>
          <w:i w:val="0"/>
          <w:color w:val="0F172A"/>
          <w:sz w:val="21"/>
        </w:rPr>
        <w:t>Table 9: Spatial &amp; Epidemiological Provincial Benchmark: Physical Health Breakdown vs. Digital Affective Dissent</w:t>
      </w:r>
    </w:p>
    <w:tbl>
      <w:tblPr>
        <w:tblW w:type="auto" w:w="0"/>
        <w:jc w:val="center"/>
        <w:tblLayout w:type="autofit"/>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Province / Administrative Unit</w:t>
            </w:r>
          </w:p>
        </w:tc>
        <w:tc>
          <w:tcPr>
            <w:tcW w:type="dxa" w:w="104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Island Classification</w:t>
            </w:r>
          </w:p>
        </w:tc>
        <w:tc>
          <w:tcPr>
            <w:tcW w:type="dxa" w:w="104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
              <w:rPr>
                <w:rFonts w:ascii="Times New Roman" w:hAnsi="Times New Roman"/>
                <w:sz w:val="20"/>
              </w:rPr>
              <w:t>Toponym Posts ($)</w:t>
            </w:r>
          </w:p>
        </w:tc>
        <w:tc>
          <w:tcPr>
            <w:tcW w:type="dxa" w:w="104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Grievance Posts</w:t>
            </w:r>
          </w:p>
        </w:tc>
        <w:tc>
          <w:tcPr>
            <w:tcW w:type="dxa" w:w="104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Disgust Intensity (%)</w:t>
            </w:r>
          </w:p>
        </w:tc>
        <w:tc>
          <w:tcPr>
            <w:tcW w:type="dxa" w:w="104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
              <w:rPr>
                <w:rFonts w:ascii="Times New Roman" w:hAnsi="Times New Roman"/>
                <w:sz w:val="20"/>
              </w:rPr>
              <w:t>Suspended SPPG Kitchens ($, %)</w:t>
            </w:r>
          </w:p>
        </w:tc>
        <w:tc>
          <w:tcPr>
            <w:tcW w:type="dxa" w:w="104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
              <w:rPr>
                <w:rFonts w:ascii="Times New Roman" w:hAnsi="Times New Roman"/>
                <w:sz w:val="20"/>
              </w:rPr>
              <w:t>Hospitalized School Pupils ($, %)</w:t>
            </w:r>
          </w:p>
        </w:tc>
        <w:tc>
          <w:tcPr>
            <w:tcW w:type="dxa" w:w="104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Primary Outbreak Epicenters</w:t>
            </w:r>
          </w:p>
        </w:tc>
        <w:tc>
          <w:tcPr>
            <w:tcW w:type="dxa" w:w="104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Contamination Etiology</w:t>
            </w:r>
          </w:p>
        </w:tc>
      </w:tr>
      <w:tr>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Jawa Barat</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Java Core</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91</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38</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92.31%</w:t>
            </w:r>
          </w:p>
        </w:tc>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2,140 (46.71%)</w:t>
            </w:r>
          </w:p>
        </w:tc>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1,650 (48.25%)</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Sukabumi, Cianjur, Bandung Barat, Bekasi</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sz w:val="17"/>
              </w:rPr>
              <w:t>Bacillus cereus</w:t>
            </w:r>
            <w:r>
              <w:rPr>
                <w:rFonts w:ascii="Times New Roman" w:hAnsi="Times New Roman"/>
                <w:b w:val="0"/>
                <w:i w:val="0"/>
                <w:sz w:val="17"/>
              </w:rPr>
              <w:t xml:space="preserve">, </w:t>
            </w:r>
            <w:r>
              <w:rPr>
                <w:rFonts w:ascii="Times New Roman" w:hAnsi="Times New Roman"/>
                <w:b w:val="0"/>
                <w:i/>
                <w:sz w:val="17"/>
              </w:rPr>
              <w:t>S. aureus</w:t>
            </w:r>
            <w:r>
              <w:rPr>
                <w:rFonts w:ascii="Times New Roman" w:hAnsi="Times New Roman"/>
                <w:b w:val="0"/>
                <w:i w:val="0"/>
                <w:sz w:val="17"/>
              </w:rPr>
              <w:t xml:space="preserve">, </w:t>
            </w:r>
            <w:r>
              <w:rPr>
                <w:rFonts w:ascii="Times New Roman" w:hAnsi="Times New Roman"/>
                <w:b w:val="0"/>
                <w:i/>
                <w:sz w:val="17"/>
              </w:rPr>
              <w:t>Salmonella</w:t>
            </w:r>
          </w:p>
        </w:tc>
      </w:tr>
      <w:tr>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Jawa Tengah</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Java Core</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143</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58</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75.52%</w:t>
            </w:r>
          </w:p>
        </w:tc>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890 (19.43%)</w:t>
            </w:r>
          </w:p>
        </w:tc>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680 (19.88%)</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Boyolali, Solo, Banyumas, Brebes</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sz w:val="17"/>
              </w:rPr>
              <w:t>E. coli</w:t>
            </w:r>
            <w:r>
              <w:rPr>
                <w:rFonts w:ascii="Times New Roman" w:hAnsi="Times New Roman"/>
                <w:b w:val="0"/>
                <w:i w:val="0"/>
                <w:sz w:val="17"/>
              </w:rPr>
              <w:t xml:space="preserve"> in unpasteurized spoiled milk</w:t>
            </w:r>
          </w:p>
        </w:tc>
      </w:tr>
      <w:tr>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Jawa Timur</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Java Core</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120</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72</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96.67%</w:t>
            </w:r>
          </w:p>
        </w:tc>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710 (15.50%)</w:t>
            </w:r>
          </w:p>
        </w:tc>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510 (14.91%)</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Bojonegoro, Bangkalan, Jember, Sidoarjo</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Decomposed animal protein, rancid oil</w:t>
            </w:r>
          </w:p>
        </w:tc>
      </w:tr>
      <w:tr>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Banten</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Java Core</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28</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13</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85.71%</w:t>
            </w:r>
          </w:p>
        </w:tc>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395 (8.62%)</w:t>
            </w:r>
          </w:p>
        </w:tc>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285 (8.33%)</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Lebak, Tangerang, Pandeglang</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Fermented side dishes; hygiene defect</w:t>
            </w:r>
          </w:p>
        </w:tc>
      </w:tr>
      <w:tr>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DKI Jakarta</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Java Core</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142</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60</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95.07%</w:t>
            </w:r>
          </w:p>
        </w:tc>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245 (5.35%)</w:t>
            </w:r>
          </w:p>
        </w:tc>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140 (4.09%)</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Jakarta Utara, Jakarta Timur</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Cold-chain collapse in dense urban wards</w:t>
            </w:r>
          </w:p>
        </w:tc>
      </w:tr>
      <w:tr>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DI Yogyakarta</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Java Core</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71</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39</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98.59%</w:t>
            </w:r>
          </w:p>
        </w:tc>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82 (1.79%)</w:t>
            </w:r>
          </w:p>
        </w:tc>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55 (1.61%)</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Gunungkidul, Bantul</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Bacterial growth during transit delay</w:t>
            </w:r>
          </w:p>
        </w:tc>
      </w:tr>
      <w:tr>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Sumatera Utara</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Outer Islands</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61</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45</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100.00%</w:t>
            </w:r>
          </w:p>
        </w:tc>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45 (0.98%)</w:t>
            </w:r>
          </w:p>
        </w:tc>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35 (1.02%)</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Deli Serdang, Medan Labuhan</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Spoiled chicken broth; vehicle breakdown</w:t>
            </w:r>
          </w:p>
        </w:tc>
      </w:tr>
      <w:tr>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Nusa Tenggara Timur</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Outer Islands</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40</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14</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95.00%</w:t>
            </w:r>
          </w:p>
        </w:tc>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21 (0.46%)</w:t>
            </w:r>
          </w:p>
        </w:tc>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20 (0.58%)</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Kupang, Timor Tengah Selatan</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Remote logistics failure; water deficit</w:t>
            </w:r>
          </w:p>
        </w:tc>
      </w:tr>
      <w:tr>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Sulawesi Selatan</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Outer Islands</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14</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5</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100.00%</w:t>
            </w:r>
          </w:p>
        </w:tc>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38 (0.83%)</w:t>
            </w:r>
          </w:p>
        </w:tc>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30 (0.88%)</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Gowa, Makassar</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Staphylococcal enterotoxin in warm rice</w:t>
            </w:r>
          </w:p>
        </w:tc>
      </w:tr>
      <w:tr>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Bali</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Outer Islands</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17</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2</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94.12%</w:t>
            </w:r>
          </w:p>
        </w:tc>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15 (0.33%)</w:t>
            </w:r>
          </w:p>
        </w:tc>
        <w:tc>
          <w:tcPr>
            <w:tcW w:type="dxa" w:w="1040"/>
            <w:tcMar>
              <w:top w:w="60" w:type="dxa"/>
              <w:bottom w:w="60" w:type="dxa"/>
              <w:left w:w="80" w:type="dxa"/>
              <w:right w:w="80" w:type="dxa"/>
            </w:tcMar>
          </w:tcPr>
          <w:p>
            <w:pPr>
              <w:spacing w:before="50" w:after="50" w:line="252" w:lineRule="auto"/>
            </w:pPr>
            <w:r>
              <w:rPr>
                <w:rFonts w:ascii="Times New Roman" w:hAnsi="Times New Roman"/>
                <w:b/>
                <w:i w:val="0"/>
                <w:sz w:val="17"/>
              </w:rPr>
              <w:t>15 (0.44%)</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Denpasar, Buleleng</w:t>
            </w:r>
          </w:p>
        </w:tc>
        <w:tc>
          <w:tcPr>
            <w:tcW w:type="dxa" w:w="1040"/>
            <w:tcMar>
              <w:top w:w="60" w:type="dxa"/>
              <w:bottom w:w="60" w:type="dxa"/>
              <w:left w:w="80" w:type="dxa"/>
              <w:right w:w="80" w:type="dxa"/>
            </w:tcMar>
          </w:tcPr>
          <w:p>
            <w:pPr>
              <w:spacing w:before="50" w:after="50" w:line="252" w:lineRule="auto"/>
            </w:pPr>
            <w:r>
              <w:rPr>
                <w:rFonts w:ascii="Times New Roman" w:hAnsi="Times New Roman"/>
                <w:b w:val="0"/>
                <w:i w:val="0"/>
                <w:sz w:val="17"/>
              </w:rPr>
              <w:t>Packaging defect in ambient heat</w:t>
            </w:r>
          </w:p>
        </w:tc>
      </w:tr>
      <w:tr>
        <w:tc>
          <w:tcPr>
            <w:tcW w:type="dxa" w:w="104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i w:val="0"/>
                <w:sz w:val="17"/>
              </w:rPr>
              <w:t>Total Benchmark</w:t>
            </w:r>
          </w:p>
        </w:tc>
        <w:tc>
          <w:tcPr>
            <w:tcW w:type="dxa" w:w="104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i w:val="0"/>
                <w:sz w:val="17"/>
              </w:rPr>
              <w:t>Indonesia</w:t>
            </w:r>
          </w:p>
        </w:tc>
        <w:tc>
          <w:tcPr>
            <w:tcW w:type="dxa" w:w="104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i w:val="0"/>
                <w:sz w:val="17"/>
              </w:rPr>
              <w:t>727</w:t>
            </w:r>
          </w:p>
        </w:tc>
        <w:tc>
          <w:tcPr>
            <w:tcW w:type="dxa" w:w="104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i w:val="0"/>
                <w:sz w:val="17"/>
              </w:rPr>
              <w:t>346</w:t>
            </w:r>
          </w:p>
        </w:tc>
        <w:tc>
          <w:tcPr>
            <w:tcW w:type="dxa" w:w="104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i w:val="0"/>
                <w:sz w:val="17"/>
              </w:rPr>
              <w:t>93.30% Avg</w:t>
            </w:r>
          </w:p>
        </w:tc>
        <w:tc>
          <w:tcPr>
            <w:tcW w:type="dxa" w:w="104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i w:val="0"/>
                <w:sz w:val="17"/>
              </w:rPr>
              <w:t>4,581 (100.0%)</w:t>
            </w:r>
          </w:p>
        </w:tc>
        <w:tc>
          <w:tcPr>
            <w:tcW w:type="dxa" w:w="104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i w:val="0"/>
                <w:sz w:val="17"/>
              </w:rPr>
              <w:t>3,420 (100.0%)</w:t>
            </w:r>
          </w:p>
        </w:tc>
        <w:tc>
          <w:tcPr>
            <w:tcW w:type="dxa" w:w="104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i w:val="0"/>
                <w:sz w:val="17"/>
              </w:rPr>
              <w:t>Nationwide Crisis Wave (Peak I &amp; II)</w:t>
            </w:r>
          </w:p>
        </w:tc>
        <w:tc>
          <w:tcPr>
            <w:tcW w:type="dxa" w:w="104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i w:val="0"/>
                <w:sz w:val="17"/>
              </w:rPr>
              <w:t>Systemic Supply Chain Breakdown</w:t>
            </w:r>
          </w:p>
        </w:tc>
      </w:tr>
    </w:tbl>
    <w:p>
      <w:pPr>
        <w:spacing w:after="120"/>
      </w:pPr>
    </w:p>
    <w:p>
      <w:pPr>
        <w:spacing w:before="0" w:after="100" w:line="384" w:lineRule="auto"/>
        <w:ind w:firstLine="360"/>
        <w:jc w:val="both"/>
      </w:pPr>
      <w:r>
        <w:rPr>
          <w:rFonts w:ascii="Times New Roman" w:hAnsi="Times New Roman"/>
          <w:b w:val="0"/>
          <w:i w:val="0"/>
          <w:sz w:val="21"/>
        </w:rPr>
        <w:t xml:space="preserve">Testing the monotonic association between the provincial volume of citizen digital discourse and physical ground-truth crisis events yielded a </w:t>
      </w:r>
      <w:r>
        <w:rPr>
          <w:rFonts w:ascii="Times New Roman" w:hAnsi="Times New Roman"/>
          <w:b/>
          <w:i w:val="0"/>
          <w:sz w:val="21"/>
        </w:rPr>
        <w:t>statistically significant Spearman rank correlation</w:t>
      </w:r>
      <w:r>
        <w:rPr>
          <w:rFonts w:ascii="Times New Roman" w:hAnsi="Times New Roman"/>
          <w:b w:val="0"/>
          <w:i w:val="0"/>
          <w:sz w:val="21"/>
        </w:rPr>
        <w:t>:</w:t>
      </w:r>
    </w:p>
    <w:p>
      <w:pPr>
        <w:spacing w:before="0" w:after="100" w:line="384" w:lineRule="auto"/>
        <w:ind w:firstLine="360"/>
        <w:jc w:val="both"/>
      </w:pPr>
      <w:r>
        <w:rPr>
          <w:rFonts w:ascii="Times New Roman" w:hAnsi="Times New Roman"/>
          <w:b w:val="0"/>
          <w:i w:val="0"/>
          <w:sz w:val="21"/>
        </w:rPr>
        <w:t>77943</w:t>
      </w:r>
    </w:p>
    <w:p>
      <w:pPr>
        <w:spacing w:before="0" w:after="100" w:line="384" w:lineRule="auto"/>
        <w:ind w:firstLine="360"/>
        <w:jc w:val="both"/>
      </w:pPr>
      <w:r>
        <w:rPr>
          <w:rFonts w:ascii="Times New Roman" w:hAnsi="Times New Roman"/>
          <w:b w:val="0"/>
          <w:i w:val="0"/>
          <w:sz w:val="21"/>
        </w:rPr>
        <w:t>ho = 0.7212 \quad (p = 0.0186 &lt; 0.05)77943</w:t>
      </w:r>
    </w:p>
    <w:p>
      <w:pPr>
        <w:spacing w:before="0" w:after="100" w:line="384" w:lineRule="auto"/>
        <w:ind w:firstLine="360"/>
        <w:jc w:val="both"/>
      </w:pPr>
      <w:r/>
      <w:r>
        <w:rPr>
          <w:rFonts w:ascii="Times New Roman" w:hAnsi="Times New Roman"/>
          <w:sz w:val="24"/>
        </w:rPr>
        <w:t>against both hospitalized student victims ( = 3,420$) and suspended catering kitchens ( = 4,581$). Furthermore, physical breakdowns and digital grievances were heavily concentrated in Java: the island accounted for 97.40% of kitchen closures, 97.08% of student hospitalizations, and 81.84% of localized citizen posts. This strong empirical correlation demonstrates that online disgust was not an artificial media phantom, but an accurate socio-technical barometer tracking the physical breakdown of public service delivery.</w:t>
      </w:r>
    </w:p>
    <w:p>
      <w:pPr>
        <w:spacing w:before="240" w:after="60" w:line="384" w:lineRule="auto"/>
        <w:jc w:val="left"/>
      </w:pPr>
      <w:r>
        <w:rPr>
          <w:rFonts w:ascii="Times New Roman" w:hAnsi="Times New Roman"/>
          <w:b/>
          <w:i w:val="0"/>
          <w:color w:val="1E293B"/>
          <w:sz w:val="23"/>
        </w:rPr>
        <w:t>6.5 Forensic Audit of Astroturfing and Coordinated Inauthentic Behavior (CIB)</w:t>
      </w:r>
    </w:p>
    <w:p>
      <w:pPr>
        <w:spacing w:before="0" w:after="100" w:line="384" w:lineRule="auto"/>
        <w:ind w:firstLine="360"/>
        <w:jc w:val="both"/>
      </w:pPr>
      <w:r>
        <w:rPr>
          <w:rFonts w:ascii="Times New Roman" w:hAnsi="Times New Roman"/>
          <w:b w:val="0"/>
          <w:i w:val="0"/>
          <w:sz w:val="21"/>
        </w:rPr>
        <w:t>To eliminate the counter-hypothesis that online dissent was manufactured by political opposition bots or mercenary cyber-troops, we executed a 5-pillar forensic audit evaluating coordinated inauthentic behavior (Cresci et al., 2017; Ferrara et al., 2016; Keller et al., 2020).</w:t>
      </w:r>
    </w:p>
    <w:p>
      <w:pPr>
        <w:spacing w:before="280" w:after="60" w:line="276" w:lineRule="auto"/>
        <w:jc w:val="left"/>
      </w:pPr>
      <w:r>
        <w:rPr>
          <w:rFonts w:ascii="Times New Roman" w:hAnsi="Times New Roman"/>
          <w:b/>
          <w:i w:val="0"/>
          <w:color w:val="0F172A"/>
          <w:sz w:val="21"/>
        </w:rPr>
        <w:t>Table 10: 5-Pillar Forensic Verification Scorecard: Organic Public Dissent vs. Bot Astroturfing</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Forensic Analytical Pillar</w:t>
            </w:r>
          </w:p>
        </w:tc>
        <w:tc>
          <w:tcPr>
            <w:tcW w:type="dxa" w:w="234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Observed Empirical Metric</w:t>
            </w:r>
          </w:p>
        </w:tc>
        <w:tc>
          <w:tcPr>
            <w:tcW w:type="dxa" w:w="234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Expected Bot / Astroturfing Signature</w:t>
            </w:r>
          </w:p>
        </w:tc>
        <w:tc>
          <w:tcPr>
            <w:tcW w:type="dxa" w:w="234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Forensic Audit Verdict</w:t>
            </w:r>
          </w:p>
        </w:tc>
      </w:tr>
      <w:tr>
        <w:tc>
          <w:tcPr>
            <w:tcW w:type="dxa" w:w="2340"/>
            <w:tcMar>
              <w:top w:w="60" w:type="dxa"/>
              <w:bottom w:w="60" w:type="dxa"/>
              <w:left w:w="80" w:type="dxa"/>
              <w:right w:w="80" w:type="dxa"/>
            </w:tcMar>
          </w:tcPr>
          <w:p>
            <w:pPr>
              <w:spacing w:before="50" w:after="50" w:line="252" w:lineRule="auto"/>
            </w:pPr>
            <w:r>
              <w:rPr>
                <w:rFonts w:ascii="Times New Roman" w:hAnsi="Times New Roman"/>
                <w:b/>
                <w:i w:val="0"/>
                <w:sz w:val="17"/>
              </w:rPr>
              <w:t>1. Verbatim Copypasta Duplication</w:t>
            </w:r>
          </w:p>
        </w:tc>
        <w:tc>
          <w:tcPr>
            <w:tcW w:type="dxa" w:w="2340"/>
            <w:tcMar>
              <w:top w:w="60" w:type="dxa"/>
              <w:bottom w:w="60" w:type="dxa"/>
              <w:left w:w="80" w:type="dxa"/>
              <w:right w:w="80" w:type="dxa"/>
            </w:tcMar>
          </w:tcPr>
          <w:p>
            <w:pPr>
              <w:spacing w:before="50" w:after="50" w:line="252" w:lineRule="auto"/>
            </w:pPr>
            <w:r>
              <w:rPr>
                <w:rFonts w:ascii="Times New Roman" w:hAnsi="Times New Roman"/>
                <w:b/>
                <w:i w:val="0"/>
                <w:sz w:val="17"/>
              </w:rPr>
              <w:t>0.00% exact duplicates</w:t>
            </w:r>
            <w:r>
              <w:rPr>
                <w:rFonts w:ascii="Times New Roman" w:hAnsi="Times New Roman"/>
                <w:b w:val="0"/>
                <w:i w:val="0"/>
                <w:sz w:val="17"/>
              </w:rPr>
              <w:t xml:space="preserve"> (TTR: 0.1642)</w:t>
            </w:r>
          </w:p>
        </w:tc>
        <w:tc>
          <w:tcPr>
            <w:tcW w:type="dxa" w:w="2340"/>
            <w:tcMar>
              <w:top w:w="60" w:type="dxa"/>
              <w:bottom w:w="60" w:type="dxa"/>
              <w:left w:w="80" w:type="dxa"/>
              <w:right w:w="80" w:type="dxa"/>
            </w:tcMar>
          </w:tcPr>
          <w:p>
            <w:pPr>
              <w:spacing w:before="50" w:after="50" w:line="252" w:lineRule="auto"/>
            </w:pPr>
            <w:r>
              <w:rPr>
                <w:rFonts w:ascii="Times New Roman" w:hAnsi="Times New Roman"/>
                <w:b w:val="0"/>
                <w:i w:val="0"/>
                <w:sz w:val="17"/>
              </w:rPr>
              <w:t>High duplicate text rate (&gt;15%) and low lexical diversity</w:t>
            </w:r>
          </w:p>
        </w:tc>
        <w:tc>
          <w:tcPr>
            <w:tcW w:type="dxa" w:w="2340"/>
            <w:tcMar>
              <w:top w:w="60" w:type="dxa"/>
              <w:bottom w:w="60" w:type="dxa"/>
              <w:left w:w="80" w:type="dxa"/>
              <w:right w:w="80" w:type="dxa"/>
            </w:tcMar>
          </w:tcPr>
          <w:p>
            <w:pPr>
              <w:spacing w:before="50" w:after="50" w:line="252" w:lineRule="auto"/>
            </w:pPr>
            <w:r>
              <w:rPr>
                <w:rFonts w:ascii="Times New Roman" w:hAnsi="Times New Roman"/>
                <w:b w:val="0"/>
                <w:i w:val="0"/>
                <w:sz w:val="17"/>
              </w:rPr>
              <w:t xml:space="preserve">✅ </w:t>
            </w:r>
            <w:r>
              <w:rPr>
                <w:rFonts w:ascii="Times New Roman" w:hAnsi="Times New Roman"/>
                <w:b/>
                <w:i w:val="0"/>
                <w:sz w:val="17"/>
              </w:rPr>
              <w:t>PASSED (Organic Heterogeneous Lexicon)</w:t>
            </w:r>
          </w:p>
        </w:tc>
      </w:tr>
      <w:tr>
        <w:tc>
          <w:tcPr>
            <w:tcW w:type="dxa" w:w="2340"/>
            <w:tcMar>
              <w:top w:w="60" w:type="dxa"/>
              <w:bottom w:w="60" w:type="dxa"/>
              <w:left w:w="80" w:type="dxa"/>
              <w:right w:w="80" w:type="dxa"/>
            </w:tcMar>
          </w:tcPr>
          <w:p>
            <w:pPr>
              <w:spacing w:before="50" w:after="50" w:line="252" w:lineRule="auto"/>
            </w:pPr>
            <w:r>
              <w:rPr>
                <w:rFonts w:ascii="Times New Roman" w:hAnsi="Times New Roman"/>
                <w:b/>
                <w:i w:val="0"/>
                <w:sz w:val="17"/>
              </w:rPr>
              <w:t>2. Grassroots Long-Tail Participation</w:t>
            </w:r>
          </w:p>
        </w:tc>
        <w:tc>
          <w:tcPr>
            <w:tcW w:type="dxa" w:w="2340"/>
            <w:tcMar>
              <w:top w:w="60" w:type="dxa"/>
              <w:bottom w:w="60" w:type="dxa"/>
              <w:left w:w="80" w:type="dxa"/>
              <w:right w:w="80" w:type="dxa"/>
            </w:tcMar>
          </w:tcPr>
          <w:p>
            <w:pPr>
              <w:spacing w:before="50" w:after="50" w:line="252" w:lineRule="auto"/>
            </w:pPr>
            <w:r>
              <w:rPr>
                <w:rFonts w:ascii="Times New Roman" w:hAnsi="Times New Roman"/>
                <w:b/>
                <w:i w:val="0"/>
                <w:sz w:val="17"/>
              </w:rPr>
              <w:t>87.70% single-post users</w:t>
            </w:r>
            <w:r>
              <w:rPr>
                <w:rFonts w:ascii="Times New Roman" w:hAnsi="Times New Roman"/>
                <w:b w:val="0"/>
                <w:i w:val="0"/>
                <w:sz w:val="17"/>
              </w:rPr>
              <w:t xml:space="preserve"> (Median = 1.0)</w:t>
            </w:r>
          </w:p>
        </w:tc>
        <w:tc>
          <w:tcPr>
            <w:tcW w:type="dxa" w:w="2340"/>
            <w:tcMar>
              <w:top w:w="60" w:type="dxa"/>
              <w:bottom w:w="60" w:type="dxa"/>
              <w:left w:w="80" w:type="dxa"/>
              <w:right w:w="80" w:type="dxa"/>
            </w:tcMar>
          </w:tcPr>
          <w:p>
            <w:pPr>
              <w:spacing w:before="50" w:after="50" w:line="252" w:lineRule="auto"/>
            </w:pPr>
            <w:r>
              <w:rPr>
                <w:rFonts w:ascii="Times New Roman" w:hAnsi="Times New Roman"/>
                <w:b w:val="0"/>
                <w:i w:val="0"/>
                <w:sz w:val="17"/>
              </w:rPr>
              <w:t>Centralized burst posting by high-frequency sockpuppet rings</w:t>
            </w:r>
          </w:p>
        </w:tc>
        <w:tc>
          <w:tcPr>
            <w:tcW w:type="dxa" w:w="2340"/>
            <w:tcMar>
              <w:top w:w="60" w:type="dxa"/>
              <w:bottom w:w="60" w:type="dxa"/>
              <w:left w:w="80" w:type="dxa"/>
              <w:right w:w="80" w:type="dxa"/>
            </w:tcMar>
          </w:tcPr>
          <w:p>
            <w:pPr>
              <w:spacing w:before="50" w:after="50" w:line="252" w:lineRule="auto"/>
            </w:pPr>
            <w:r>
              <w:rPr>
                <w:rFonts w:ascii="Times New Roman" w:hAnsi="Times New Roman"/>
                <w:b w:val="0"/>
                <w:i w:val="0"/>
                <w:sz w:val="17"/>
              </w:rPr>
              <w:t xml:space="preserve">✅ </w:t>
            </w:r>
            <w:r>
              <w:rPr>
                <w:rFonts w:ascii="Times New Roman" w:hAnsi="Times New Roman"/>
                <w:b/>
                <w:i w:val="0"/>
                <w:sz w:val="17"/>
              </w:rPr>
              <w:t>PASSED (Broad Civic Long-Tail Tail)</w:t>
            </w:r>
          </w:p>
        </w:tc>
      </w:tr>
      <w:tr>
        <w:tc>
          <w:tcPr>
            <w:tcW w:type="dxa" w:w="2340"/>
            <w:tcMar>
              <w:top w:w="60" w:type="dxa"/>
              <w:bottom w:w="60" w:type="dxa"/>
              <w:left w:w="80" w:type="dxa"/>
              <w:right w:w="80" w:type="dxa"/>
            </w:tcMar>
          </w:tcPr>
          <w:p>
            <w:pPr>
              <w:spacing w:before="50" w:after="50" w:line="252" w:lineRule="auto"/>
            </w:pPr>
            <w:r>
              <w:rPr>
                <w:rFonts w:ascii="Times New Roman" w:hAnsi="Times New Roman"/>
                <w:b/>
                <w:i w:val="0"/>
                <w:sz w:val="17"/>
              </w:rPr>
              <w:t>3. Circadian Human Diurnal Rhythm</w:t>
            </w:r>
          </w:p>
        </w:tc>
        <w:tc>
          <w:tcPr>
            <w:tcW w:type="dxa" w:w="2340"/>
            <w:tcMar>
              <w:top w:w="60" w:type="dxa"/>
              <w:bottom w:w="60" w:type="dxa"/>
              <w:left w:w="80" w:type="dxa"/>
              <w:right w:w="80" w:type="dxa"/>
            </w:tcMar>
          </w:tcPr>
          <w:p>
            <w:pPr>
              <w:spacing w:before="50" w:after="50" w:line="252" w:lineRule="auto"/>
            </w:pPr>
            <w:r>
              <w:rPr>
                <w:rFonts w:ascii="Times New Roman" w:hAnsi="Times New Roman"/>
                <w:b/>
                <w:i w:val="0"/>
                <w:sz w:val="17"/>
              </w:rPr>
              <w:t>48.7% daytime vs. 8.6% night (5.67x)</w:t>
            </w:r>
          </w:p>
        </w:tc>
        <w:tc>
          <w:tcPr>
            <w:tcW w:type="dxa" w:w="2340"/>
            <w:tcMar>
              <w:top w:w="60" w:type="dxa"/>
              <w:bottom w:w="60" w:type="dxa"/>
              <w:left w:w="80" w:type="dxa"/>
              <w:right w:w="80" w:type="dxa"/>
            </w:tcMar>
          </w:tcPr>
          <w:p>
            <w:pPr>
              <w:spacing w:before="50" w:after="50" w:line="252" w:lineRule="auto"/>
            </w:pPr>
            <w:r>
              <w:rPr>
                <w:rFonts w:ascii="Times New Roman" w:hAnsi="Times New Roman"/>
                <w:b w:val="0"/>
                <w:i w:val="0"/>
                <w:sz w:val="17"/>
              </w:rPr>
              <w:t>Flat 24/7 automated frequency across human sleep hours</w:t>
            </w:r>
          </w:p>
        </w:tc>
        <w:tc>
          <w:tcPr>
            <w:tcW w:type="dxa" w:w="2340"/>
            <w:tcMar>
              <w:top w:w="60" w:type="dxa"/>
              <w:bottom w:w="60" w:type="dxa"/>
              <w:left w:w="80" w:type="dxa"/>
              <w:right w:w="80" w:type="dxa"/>
            </w:tcMar>
          </w:tcPr>
          <w:p>
            <w:pPr>
              <w:spacing w:before="50" w:after="50" w:line="252" w:lineRule="auto"/>
            </w:pPr>
            <w:r>
              <w:rPr>
                <w:rFonts w:ascii="Times New Roman" w:hAnsi="Times New Roman"/>
                <w:b w:val="0"/>
                <w:i w:val="0"/>
                <w:sz w:val="17"/>
              </w:rPr>
              <w:t xml:space="preserve">✅ </w:t>
            </w:r>
            <w:r>
              <w:rPr>
                <w:rFonts w:ascii="Times New Roman" w:hAnsi="Times New Roman"/>
                <w:b/>
                <w:i w:val="0"/>
                <w:sz w:val="17"/>
              </w:rPr>
              <w:t>PASSED (Human Physiological Diurnal Cycle)</w:t>
            </w:r>
          </w:p>
        </w:tc>
      </w:tr>
      <w:tr>
        <w:tc>
          <w:tcPr>
            <w:tcW w:type="dxa" w:w="2340"/>
            <w:tcMar>
              <w:top w:w="60" w:type="dxa"/>
              <w:bottom w:w="60" w:type="dxa"/>
              <w:left w:w="80" w:type="dxa"/>
              <w:right w:w="80" w:type="dxa"/>
            </w:tcMar>
          </w:tcPr>
          <w:p>
            <w:pPr>
              <w:spacing w:before="50" w:after="50" w:line="252" w:lineRule="auto"/>
            </w:pPr>
            <w:r>
              <w:rPr>
                <w:rFonts w:ascii="Times New Roman" w:hAnsi="Times New Roman"/>
                <w:b/>
                <w:i w:val="0"/>
                <w:sz w:val="17"/>
              </w:rPr>
              <w:t>4. Network Structural Topology</w:t>
            </w:r>
          </w:p>
        </w:tc>
        <w:tc>
          <w:tcPr>
            <w:tcW w:type="dxa" w:w="2340"/>
            <w:tcMar>
              <w:top w:w="60" w:type="dxa"/>
              <w:bottom w:w="60" w:type="dxa"/>
              <w:left w:w="80" w:type="dxa"/>
              <w:right w:w="80" w:type="dxa"/>
            </w:tcMar>
          </w:tcPr>
          <w:p>
            <w:pPr>
              <w:spacing w:before="50" w:after="50" w:line="252" w:lineRule="auto"/>
            </w:pPr>
            <w:r/>
            <w:r>
              <w:rPr>
                <w:rFonts w:ascii="Times New Roman" w:hAnsi="Times New Roman"/>
                <w:sz w:val="20"/>
              </w:rPr>
              <w:t>Reciprocity  = 1.20\%$, Modularity  = 0.9837</w:t>
            </w:r>
          </w:p>
        </w:tc>
        <w:tc>
          <w:tcPr>
            <w:tcW w:type="dxa" w:w="2340"/>
            <w:tcMar>
              <w:top w:w="60" w:type="dxa"/>
              <w:bottom w:w="60" w:type="dxa"/>
              <w:left w:w="80" w:type="dxa"/>
              <w:right w:w="80" w:type="dxa"/>
            </w:tcMar>
          </w:tcPr>
          <w:p>
            <w:pPr>
              <w:spacing w:before="50" w:after="50" w:line="252" w:lineRule="auto"/>
            </w:pPr>
            <w:r/>
            <w:r>
              <w:rPr>
                <w:rFonts w:ascii="Times New Roman" w:hAnsi="Times New Roman"/>
                <w:sz w:val="20"/>
              </w:rPr>
              <w:t>Dense, highly reciprocal retweet cliques ( &gt; 20\%$)</w:t>
            </w:r>
          </w:p>
        </w:tc>
        <w:tc>
          <w:tcPr>
            <w:tcW w:type="dxa" w:w="2340"/>
            <w:tcMar>
              <w:top w:w="60" w:type="dxa"/>
              <w:bottom w:w="60" w:type="dxa"/>
              <w:left w:w="80" w:type="dxa"/>
              <w:right w:w="80" w:type="dxa"/>
            </w:tcMar>
          </w:tcPr>
          <w:p>
            <w:pPr>
              <w:spacing w:before="50" w:after="50" w:line="252" w:lineRule="auto"/>
            </w:pPr>
            <w:r>
              <w:rPr>
                <w:rFonts w:ascii="Times New Roman" w:hAnsi="Times New Roman"/>
                <w:b w:val="0"/>
                <w:i w:val="0"/>
                <w:sz w:val="17"/>
              </w:rPr>
              <w:t xml:space="preserve">✅ </w:t>
            </w:r>
            <w:r>
              <w:rPr>
                <w:rFonts w:ascii="Times New Roman" w:hAnsi="Times New Roman"/>
                <w:b/>
                <w:i w:val="0"/>
                <w:sz w:val="17"/>
              </w:rPr>
              <w:t>PASSED (Non-Reciprocal Atomized Grievance)</w:t>
            </w:r>
          </w:p>
        </w:tc>
      </w:tr>
      <w:tr>
        <w:tc>
          <w:tcPr>
            <w:tcW w:type="dxa" w:w="234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i w:val="0"/>
                <w:sz w:val="17"/>
              </w:rPr>
              <w:t>5. AI Utility Account Transparency</w:t>
            </w:r>
          </w:p>
        </w:tc>
        <w:tc>
          <w:tcPr>
            <w:tcW w:type="dxa" w:w="234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i w:val="0"/>
                <w:sz w:val="17"/>
              </w:rPr>
              <w:t xml:space="preserve"> as sole automated node (0.60%)</w:t>
            </w:r>
          </w:p>
        </w:tc>
        <w:tc>
          <w:tcPr>
            <w:tcW w:type="dxa" w:w="234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val="0"/>
                <w:i w:val="0"/>
                <w:sz w:val="17"/>
              </w:rPr>
              <w:t>Masked sockpuppets impersonating human grassroots accounts</w:t>
            </w:r>
          </w:p>
        </w:tc>
        <w:tc>
          <w:tcPr>
            <w:tcW w:type="dxa" w:w="234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val="0"/>
                <w:i w:val="0"/>
                <w:sz w:val="17"/>
              </w:rPr>
              <w:t xml:space="preserve">✅ </w:t>
            </w:r>
            <w:r>
              <w:rPr>
                <w:rFonts w:ascii="Times New Roman" w:hAnsi="Times New Roman"/>
                <w:b/>
                <w:i w:val="0"/>
                <w:sz w:val="17"/>
              </w:rPr>
              <w:t>PASSED (Transparent Algorithmic Utility)</w:t>
            </w:r>
          </w:p>
        </w:tc>
      </w:tr>
    </w:tbl>
    <w:p>
      <w:pPr>
        <w:spacing w:after="120"/>
      </w:pPr>
    </w:p>
    <w:p>
      <w:pPr>
        <w:spacing w:before="0" w:after="100" w:line="384" w:lineRule="auto"/>
        <w:ind w:firstLine="360"/>
        <w:jc w:val="both"/>
      </w:pPr>
      <w:r>
        <w:rPr>
          <w:rFonts w:ascii="Times New Roman" w:hAnsi="Times New Roman"/>
          <w:b w:val="0"/>
          <w:i w:val="0"/>
          <w:sz w:val="21"/>
        </w:rPr>
        <w:t>As detailed in Table 10, exactly 0.00% verbatim copypasta instances were detected across the corpus. User participation exhibited a classic grassroots long-tail distribution: 87.70% of participants contributed exactly one post. Diurnal activity cycles followed human circadian biology with a 5.67:1 daytime-to-nighttime ratio. These structural properties mathematically refute the presence of coordinated bot astroturfing, confirming that the observed digital dissent represents authentic citizen mobilization.</w:t>
      </w:r>
    </w:p>
    <w:p>
      <w:pPr>
        <w:spacing w:before="320" w:after="100" w:line="288" w:lineRule="auto"/>
        <w:jc w:val="left"/>
      </w:pPr>
      <w:r>
        <w:rPr>
          <w:rFonts w:ascii="Times New Roman" w:hAnsi="Times New Roman"/>
          <w:b/>
          <w:i w:val="0"/>
          <w:color w:val="0F172A"/>
          <w:sz w:val="24"/>
        </w:rPr>
        <w:t>7. LONGITUDINAL CRISIS DYNAMICS AND EARLY WARNING TELEMETRY</w:t>
      </w:r>
    </w:p>
    <w:p>
      <w:pPr>
        <w:spacing w:before="0" w:after="100" w:line="384" w:lineRule="auto"/>
        <w:ind w:firstLine="360"/>
        <w:jc w:val="both"/>
      </w:pPr>
      <w:r>
        <w:rPr>
          <w:rFonts w:ascii="Times New Roman" w:hAnsi="Times New Roman"/>
          <w:b w:val="0"/>
          <w:i w:val="0"/>
          <w:sz w:val="21"/>
        </w:rPr>
        <w:t>Longitudinal tracking reveals that citizen dissent was not a steady-state phenomenon, but escalated across four distinct operational phases throughout 2026.</w:t>
      </w:r>
    </w:p>
    <w:p>
      <w:pPr>
        <w:spacing w:before="200" w:after="60"/>
        <w:jc w:val="center"/>
      </w:pPr>
      <w:r>
        <w:drawing>
          <wp:inline xmlns:a="http://schemas.openxmlformats.org/drawingml/2006/main" xmlns:pic="http://schemas.openxmlformats.org/drawingml/2006/picture">
            <wp:extent cx="5303520" cy="3674839"/>
            <wp:docPr id="8" name="Picture 8"/>
            <wp:cNvGraphicFramePr>
              <a:graphicFrameLocks noChangeAspect="1"/>
            </wp:cNvGraphicFramePr>
            <a:graphic>
              <a:graphicData uri="http://schemas.openxmlformats.org/drawingml/2006/picture">
                <pic:pic>
                  <pic:nvPicPr>
                    <pic:cNvPr id="0" name="indobert_monthly_emotion_timeline_2026.png"/>
                    <pic:cNvPicPr/>
                  </pic:nvPicPr>
                  <pic:blipFill>
                    <a:blip r:embed="rId18"/>
                    <a:stretch>
                      <a:fillRect/>
                    </a:stretch>
                  </pic:blipFill>
                  <pic:spPr>
                    <a:xfrm>
                      <a:off x="0" y="0"/>
                      <a:ext cx="5303520" cy="3674839"/>
                    </a:xfrm>
                    <a:prstGeom prst="rect"/>
                  </pic:spPr>
                </pic:pic>
              </a:graphicData>
            </a:graphic>
          </wp:inline>
        </w:drawing>
      </w:r>
    </w:p>
    <w:p>
      <w:pPr>
        <w:spacing w:before="40" w:after="240" w:line="264" w:lineRule="auto"/>
        <w:jc w:val="center"/>
      </w:pPr>
      <w:r>
        <w:rPr>
          <w:rFonts w:ascii="Times New Roman" w:hAnsi="Times New Roman"/>
          <w:b w:val="0"/>
          <w:i/>
          <w:color w:val="334155"/>
          <w:sz w:val="19"/>
        </w:rPr>
        <w:t>Figure 8: Longitudinal Evolution of IndoBERT Affective Classes and Real-Time Telegram EWS Telemetry</w:t>
      </w:r>
    </w:p>
    <w:p>
      <w:pPr>
        <w:spacing w:before="0" w:after="100" w:line="384" w:lineRule="auto"/>
        <w:ind w:firstLine="360"/>
        <w:jc w:val="both"/>
      </w:pPr>
      <w:r>
        <w:rPr>
          <w:rFonts w:ascii="Times New Roman" w:hAnsi="Times New Roman"/>
          <w:b w:val="0"/>
          <w:i/>
          <w:sz w:val="21"/>
        </w:rPr>
        <w:t>Figure 8: Month-by-month evolution of IndoBERT emotion categories and automated Telegram Early Warning System (EWS) telemetry.</w:t>
      </w:r>
    </w:p>
    <w:p>
      <w:pPr>
        <w:pStyle w:val="ListNumber"/>
        <w:spacing w:after="60" w:line="384" w:lineRule="auto"/>
      </w:pPr>
      <w:r/>
      <w:r>
        <w:rPr>
          <w:rFonts w:ascii="Times New Roman" w:hAnsi="Times New Roman"/>
          <w:sz w:val="24"/>
        </w:rPr>
        <w:t>Phase 1: Pre-Rollout Anticipation (January–February 2026): Moderate discursive volume dominated by Trust ($42.1\%$) and Interest ($28.4\%$), reflecting citizen curiosity regarding initial menu distributions.</w:t>
      </w:r>
    </w:p>
    <w:p>
      <w:pPr>
        <w:pStyle w:val="ListNumber"/>
        <w:spacing w:after="60" w:line="384" w:lineRule="auto"/>
      </w:pPr>
      <w:r/>
      <w:r>
        <w:rPr>
          <w:rFonts w:ascii="Times New Roman" w:hAnsi="Times New Roman"/>
          <w:sz w:val="24"/>
        </w:rPr>
        <w:t>Phase 2: First Crisis Peak (March–May 2026, $N = 3,157$): Outbreak of food spoilage reports and the shutdown of 4,581 SPPG units, triggering a sharp surge in Disgust ($73.88\%$).</w:t>
      </w:r>
    </w:p>
    <w:p>
      <w:pPr>
        <w:pStyle w:val="ListNumber"/>
        <w:spacing w:after="60" w:line="384" w:lineRule="auto"/>
      </w:pPr>
      <w:r/>
      <w:r>
        <w:rPr>
          <w:rFonts w:ascii="Times New Roman" w:hAnsi="Times New Roman"/>
          <w:sz w:val="24"/>
        </w:rPr>
        <w:t>Phase 3: Administrative Lull and AI Oracle Emergence (June–August 2026): In the face of official silence, citizen petitions to @grok surged by $+312\%$, establishing the AI bot as an alternative truth arbiter.</w:t>
      </w:r>
    </w:p>
    <w:p>
      <w:pPr>
        <w:pStyle w:val="ListNumber"/>
        <w:spacing w:after="60" w:line="384" w:lineRule="auto"/>
      </w:pPr>
      <w:r/>
      <w:r>
        <w:rPr>
          <w:rFonts w:ascii="Times New Roman" w:hAnsi="Times New Roman"/>
          <w:sz w:val="24"/>
        </w:rPr>
        <w:t>Phase 4: Second Crisis Peak (September–October 2026, $N = 4,661$): The largest escalation, driven by coordinated student poisoning hospitalizations, pushing Disgust to an unprecedented $98.14\%$ and triggering an automated EWS composite risk score of 84.6/100 (RED ALERT).</w:t>
      </w:r>
    </w:p>
    <w:p>
      <w:pPr>
        <w:spacing w:before="320" w:after="100" w:line="288" w:lineRule="auto"/>
        <w:jc w:val="left"/>
      </w:pPr>
      <w:r>
        <w:rPr>
          <w:rFonts w:ascii="Times New Roman" w:hAnsi="Times New Roman"/>
          <w:b/>
          <w:i w:val="0"/>
          <w:color w:val="0F172A"/>
          <w:sz w:val="24"/>
        </w:rPr>
        <w:t>8. DISCUSSION: DIAGNOSING THE PHYGITAL DISCONNECT IN PUBLIC ADMINISTRATION</w:t>
      </w:r>
    </w:p>
    <w:p>
      <w:pPr>
        <w:spacing w:before="240" w:after="60" w:line="384" w:lineRule="auto"/>
        <w:jc w:val="left"/>
      </w:pPr>
      <w:r>
        <w:rPr>
          <w:rFonts w:ascii="Times New Roman" w:hAnsi="Times New Roman"/>
          <w:b/>
          <w:i w:val="0"/>
          <w:color w:val="1E293B"/>
          <w:sz w:val="23"/>
        </w:rPr>
        <w:t>8.1 Theoretical Synthesis: The Failure of Digital Insulation</w:t>
      </w:r>
    </w:p>
    <w:p>
      <w:pPr>
        <w:spacing w:before="0" w:after="100" w:line="384" w:lineRule="auto"/>
        <w:ind w:firstLine="360"/>
        <w:jc w:val="both"/>
      </w:pPr>
      <w:r>
        <w:rPr>
          <w:rFonts w:ascii="Times New Roman" w:hAnsi="Times New Roman"/>
          <w:b w:val="0"/>
          <w:i w:val="0"/>
          <w:sz w:val="21"/>
        </w:rPr>
        <w:t>The empirical findings provide compelling evidence that in the algorithmic era, digital public relations cannot insulate governments from physical execution failures. While political consultants often assume that narrative framing and social media management can mitigate policy dissatisfaction, our data demonstrates that physical touchpoints (the sensory experience of food) exert overwhelming dominance over digital discourse. When a child falls ill from school food, the resulting outrage spreads through peer networks with a visceral intensity that broadcast statements cannot neutralize.</w:t>
      </w:r>
    </w:p>
    <w:p>
      <w:pPr>
        <w:spacing w:before="240" w:after="60" w:line="384" w:lineRule="auto"/>
        <w:jc w:val="left"/>
      </w:pPr>
      <w:r>
        <w:rPr>
          <w:rFonts w:ascii="Times New Roman" w:hAnsi="Times New Roman"/>
          <w:b/>
          <w:i w:val="0"/>
          <w:color w:val="1E293B"/>
          <w:sz w:val="23"/>
        </w:rPr>
        <w:t>8.2 The Rise of Algorithmic Epistemic Authority</w:t>
      </w:r>
    </w:p>
    <w:p>
      <w:pPr>
        <w:spacing w:before="0" w:after="100" w:line="384" w:lineRule="auto"/>
        <w:ind w:firstLine="360"/>
        <w:jc w:val="both"/>
      </w:pPr>
      <w:r>
        <w:rPr>
          <w:rFonts w:ascii="Times New Roman" w:hAnsi="Times New Roman"/>
          <w:b w:val="0"/>
          <w:i w:val="0"/>
          <w:sz w:val="21"/>
        </w:rPr>
        <w:t xml:space="preserve">The elevation of </w:t>
      </w:r>
      <w:r>
        <w:rPr>
          <w:rFonts w:ascii="Courier New" w:hAnsi="Courier New"/>
          <w:sz w:val="20"/>
        </w:rPr>
        <w:t>@grok</w:t>
      </w:r>
      <w:r>
        <w:rPr>
          <w:rFonts w:ascii="Times New Roman" w:hAnsi="Times New Roman"/>
          <w:b w:val="0"/>
          <w:i w:val="0"/>
          <w:sz w:val="21"/>
        </w:rPr>
        <w:t xml:space="preserve"> into a central network node signals a profound shift in Human-Machine Communication. When citizens perceive that state authorities are evasive or untruthful, they do not simply lapse into cynicism; they seek alternative epistemic authorities. Generative AI agents, perceived as objective and immune to bureaucratic self-preservation, are recruited by citizens to adjudicate reality. This phenomenon suggests that future crisis governance will be mediated not only by human journalists, but by algorithmic agents operating as autonomous actors within civic networks.</w:t>
      </w:r>
    </w:p>
    <w:p>
      <w:pPr>
        <w:spacing w:before="240" w:after="60" w:line="384" w:lineRule="auto"/>
        <w:jc w:val="left"/>
      </w:pPr>
      <w:r>
        <w:rPr>
          <w:rFonts w:ascii="Times New Roman" w:hAnsi="Times New Roman"/>
          <w:b/>
          <w:i w:val="0"/>
          <w:color w:val="1E293B"/>
          <w:sz w:val="23"/>
        </w:rPr>
        <w:t>8.3 Closed-Loop Policy Governance Matrix</w:t>
      </w:r>
    </w:p>
    <w:p>
      <w:pPr>
        <w:spacing w:before="0" w:after="100" w:line="384" w:lineRule="auto"/>
        <w:ind w:firstLine="360"/>
        <w:jc w:val="both"/>
      </w:pPr>
      <w:r>
        <w:rPr>
          <w:rFonts w:ascii="Times New Roman" w:hAnsi="Times New Roman"/>
          <w:b w:val="0"/>
          <w:i w:val="0"/>
          <w:sz w:val="21"/>
        </w:rPr>
        <w:t>To translate these empirical findings into actionable public administration strategies, we present a closed-loop governance framework addressing the operational vulnerabilities identified in this study.</w:t>
      </w:r>
    </w:p>
    <w:p>
      <w:pPr>
        <w:spacing w:before="280" w:after="60" w:line="276" w:lineRule="auto"/>
        <w:jc w:val="left"/>
      </w:pPr>
      <w:r>
        <w:rPr>
          <w:rFonts w:ascii="Times New Roman" w:hAnsi="Times New Roman"/>
          <w:b/>
          <w:i w:val="0"/>
          <w:color w:val="0F172A"/>
          <w:sz w:val="21"/>
        </w:rPr>
        <w:t>Table 8: Closed-Loop Governance Matrix: Aligning Initial Policy Failures with Computational Evidence and Strategic Solutions</w:t>
      </w:r>
    </w:p>
    <w:tbl>
      <w:tblPr>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Policy Failure Dimension</w:t>
            </w:r>
          </w:p>
        </w:tc>
        <w:tc>
          <w:tcPr>
            <w:tcW w:type="dxa" w:w="1872"/>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Empirical Evidence in Study</w:t>
            </w:r>
          </w:p>
        </w:tc>
        <w:tc>
          <w:tcPr>
            <w:tcW w:type="dxa" w:w="1872"/>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Root Cause in Governance</w:t>
            </w:r>
          </w:p>
        </w:tc>
        <w:tc>
          <w:tcPr>
            <w:tcW w:type="dxa" w:w="1872"/>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Actionable Institutional Solution</w:t>
            </w:r>
          </w:p>
        </w:tc>
        <w:tc>
          <w:tcPr>
            <w:tcW w:type="dxa" w:w="1872"/>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Responsible Agency</w:t>
            </w:r>
          </w:p>
        </w:tc>
      </w:tr>
      <w:tr>
        <w:tc>
          <w:tcPr>
            <w:tcW w:type="dxa" w:w="1872"/>
            <w:tcMar>
              <w:top w:w="60" w:type="dxa"/>
              <w:bottom w:w="60" w:type="dxa"/>
              <w:left w:w="80" w:type="dxa"/>
              <w:right w:w="80" w:type="dxa"/>
            </w:tcMar>
          </w:tcPr>
          <w:p>
            <w:pPr>
              <w:spacing w:before="50" w:after="50" w:line="252" w:lineRule="auto"/>
            </w:pPr>
            <w:r>
              <w:rPr>
                <w:rFonts w:ascii="Times New Roman" w:hAnsi="Times New Roman"/>
                <w:b/>
                <w:i w:val="0"/>
                <w:sz w:val="17"/>
              </w:rPr>
              <w:t>1. SPPG Kitchen Hygiene Violations</w:t>
            </w:r>
          </w:p>
        </w:tc>
        <w:tc>
          <w:tcPr>
            <w:tcW w:type="dxa" w:w="1872"/>
            <w:tcMar>
              <w:top w:w="60" w:type="dxa"/>
              <w:bottom w:w="60" w:type="dxa"/>
              <w:left w:w="80" w:type="dxa"/>
              <w:right w:w="80" w:type="dxa"/>
            </w:tcMar>
          </w:tcPr>
          <w:p>
            <w:pPr>
              <w:spacing w:before="50" w:after="50" w:line="252" w:lineRule="auto"/>
            </w:pPr>
            <w:r>
              <w:rPr>
                <w:rFonts w:ascii="Times New Roman" w:hAnsi="Times New Roman"/>
                <w:b w:val="0"/>
                <w:i w:val="0"/>
                <w:sz w:val="17"/>
              </w:rPr>
              <w:t>4,581 kitchens suspended; 71.13% Disgust in Food Quality facet</w:t>
            </w:r>
          </w:p>
        </w:tc>
        <w:tc>
          <w:tcPr>
            <w:tcW w:type="dxa" w:w="1872"/>
            <w:tcMar>
              <w:top w:w="60" w:type="dxa"/>
              <w:bottom w:w="60" w:type="dxa"/>
              <w:left w:w="80" w:type="dxa"/>
              <w:right w:w="80" w:type="dxa"/>
            </w:tcMar>
          </w:tcPr>
          <w:p>
            <w:pPr>
              <w:spacing w:before="50" w:after="50" w:line="252" w:lineRule="auto"/>
            </w:pPr>
            <w:r>
              <w:rPr>
                <w:rFonts w:ascii="Times New Roman" w:hAnsi="Times New Roman"/>
                <w:b w:val="0"/>
                <w:i w:val="0"/>
                <w:sz w:val="17"/>
              </w:rPr>
              <w:t>Lack of decentralized food safety auditing; corrupt subcontracting</w:t>
            </w:r>
          </w:p>
        </w:tc>
        <w:tc>
          <w:tcPr>
            <w:tcW w:type="dxa" w:w="1872"/>
            <w:tcMar>
              <w:top w:w="60" w:type="dxa"/>
              <w:bottom w:w="60" w:type="dxa"/>
              <w:left w:w="80" w:type="dxa"/>
              <w:right w:w="80" w:type="dxa"/>
            </w:tcMar>
          </w:tcPr>
          <w:p>
            <w:pPr>
              <w:spacing w:before="50" w:after="50" w:line="252" w:lineRule="auto"/>
            </w:pPr>
            <w:r>
              <w:rPr>
                <w:rFonts w:ascii="Times New Roman" w:hAnsi="Times New Roman"/>
                <w:b w:val="0"/>
                <w:i w:val="0"/>
                <w:sz w:val="17"/>
              </w:rPr>
              <w:t>Deploy IoT temperature telemetry and mandatory ISO 22000 hygiene certification</w:t>
            </w:r>
          </w:p>
        </w:tc>
        <w:tc>
          <w:tcPr>
            <w:tcW w:type="dxa" w:w="1872"/>
            <w:tcMar>
              <w:top w:w="60" w:type="dxa"/>
              <w:bottom w:w="60" w:type="dxa"/>
              <w:left w:w="80" w:type="dxa"/>
              <w:right w:w="80" w:type="dxa"/>
            </w:tcMar>
          </w:tcPr>
          <w:p>
            <w:pPr>
              <w:spacing w:before="50" w:after="50" w:line="252" w:lineRule="auto"/>
            </w:pPr>
            <w:r>
              <w:rPr>
                <w:rFonts w:ascii="Times New Roman" w:hAnsi="Times New Roman"/>
                <w:b w:val="0"/>
                <w:i w:val="0"/>
                <w:sz w:val="17"/>
              </w:rPr>
              <w:t>BGN &amp; Regional Health Agencies</w:t>
            </w:r>
          </w:p>
        </w:tc>
      </w:tr>
      <w:tr>
        <w:tc>
          <w:tcPr>
            <w:tcW w:type="dxa" w:w="1872"/>
            <w:tcMar>
              <w:top w:w="60" w:type="dxa"/>
              <w:bottom w:w="60" w:type="dxa"/>
              <w:left w:w="80" w:type="dxa"/>
              <w:right w:w="80" w:type="dxa"/>
            </w:tcMar>
          </w:tcPr>
          <w:p>
            <w:pPr>
              <w:spacing w:before="50" w:after="50" w:line="252" w:lineRule="auto"/>
            </w:pPr>
            <w:r>
              <w:rPr>
                <w:rFonts w:ascii="Times New Roman" w:hAnsi="Times New Roman"/>
                <w:b/>
                <w:i w:val="0"/>
                <w:sz w:val="17"/>
              </w:rPr>
              <w:t>2. Procurement Opacity &amp; Ompreng Scrutiny</w:t>
            </w:r>
          </w:p>
        </w:tc>
        <w:tc>
          <w:tcPr>
            <w:tcW w:type="dxa" w:w="1872"/>
            <w:tcMar>
              <w:top w:w="60" w:type="dxa"/>
              <w:bottom w:w="60" w:type="dxa"/>
              <w:left w:w="80" w:type="dxa"/>
              <w:right w:w="80" w:type="dxa"/>
            </w:tcMar>
          </w:tcPr>
          <w:p>
            <w:pPr>
              <w:spacing w:before="50" w:after="50" w:line="252" w:lineRule="auto"/>
            </w:pPr>
            <w:r>
              <w:rPr>
                <w:rFonts w:ascii="Times New Roman" w:hAnsi="Times New Roman"/>
                <w:b w:val="0"/>
                <w:i w:val="0"/>
                <w:sz w:val="17"/>
              </w:rPr>
              <w:t>77.01% Disgust in Budget facet; widespread corruption keywords</w:t>
            </w:r>
          </w:p>
        </w:tc>
        <w:tc>
          <w:tcPr>
            <w:tcW w:type="dxa" w:w="1872"/>
            <w:tcMar>
              <w:top w:w="60" w:type="dxa"/>
              <w:bottom w:w="60" w:type="dxa"/>
              <w:left w:w="80" w:type="dxa"/>
              <w:right w:w="80" w:type="dxa"/>
            </w:tcMar>
          </w:tcPr>
          <w:p>
            <w:pPr>
              <w:spacing w:before="50" w:after="50" w:line="252" w:lineRule="auto"/>
            </w:pPr>
            <w:r>
              <w:rPr>
                <w:rFonts w:ascii="Times New Roman" w:hAnsi="Times New Roman"/>
                <w:b w:val="0"/>
                <w:i w:val="0"/>
                <w:sz w:val="17"/>
              </w:rPr>
              <w:t>Centralized opaque tendering; imported plastic containers</w:t>
            </w:r>
          </w:p>
        </w:tc>
        <w:tc>
          <w:tcPr>
            <w:tcW w:type="dxa" w:w="1872"/>
            <w:tcMar>
              <w:top w:w="60" w:type="dxa"/>
              <w:bottom w:w="60" w:type="dxa"/>
              <w:left w:w="80" w:type="dxa"/>
              <w:right w:w="80" w:type="dxa"/>
            </w:tcMar>
          </w:tcPr>
          <w:p>
            <w:pPr>
              <w:spacing w:before="50" w:after="50" w:line="252" w:lineRule="auto"/>
            </w:pPr>
            <w:r>
              <w:rPr>
                <w:rFonts w:ascii="Times New Roman" w:hAnsi="Times New Roman"/>
                <w:b w:val="0"/>
                <w:i w:val="0"/>
                <w:sz w:val="17"/>
              </w:rPr>
              <w:t>Mandate open e-Katalog procurement and transition to local SME stainless containers</w:t>
            </w:r>
          </w:p>
        </w:tc>
        <w:tc>
          <w:tcPr>
            <w:tcW w:type="dxa" w:w="1872"/>
            <w:tcMar>
              <w:top w:w="60" w:type="dxa"/>
              <w:bottom w:w="60" w:type="dxa"/>
              <w:left w:w="80" w:type="dxa"/>
              <w:right w:w="80" w:type="dxa"/>
            </w:tcMar>
          </w:tcPr>
          <w:p>
            <w:pPr>
              <w:spacing w:before="50" w:after="50" w:line="252" w:lineRule="auto"/>
            </w:pPr>
            <w:r>
              <w:rPr>
                <w:rFonts w:ascii="Times New Roman" w:hAnsi="Times New Roman"/>
                <w:b w:val="0"/>
                <w:i w:val="0"/>
                <w:sz w:val="17"/>
              </w:rPr>
              <w:t>LKPP &amp; Ministry of Cooperatives</w:t>
            </w:r>
          </w:p>
        </w:tc>
      </w:tr>
      <w:tr>
        <w:tc>
          <w:tcPr>
            <w:tcW w:type="dxa" w:w="1872"/>
            <w:tcMar>
              <w:top w:w="60" w:type="dxa"/>
              <w:bottom w:w="60" w:type="dxa"/>
              <w:left w:w="80" w:type="dxa"/>
              <w:right w:w="80" w:type="dxa"/>
            </w:tcMar>
          </w:tcPr>
          <w:p>
            <w:pPr>
              <w:spacing w:before="50" w:after="50" w:line="252" w:lineRule="auto"/>
            </w:pPr>
            <w:r>
              <w:rPr>
                <w:rFonts w:ascii="Times New Roman" w:hAnsi="Times New Roman"/>
                <w:b/>
                <w:i w:val="0"/>
                <w:sz w:val="17"/>
              </w:rPr>
              <w:t>3. Institutional Silence &amp; Communication Vacuum</w:t>
            </w:r>
          </w:p>
        </w:tc>
        <w:tc>
          <w:tcPr>
            <w:tcW w:type="dxa" w:w="1872"/>
            <w:tcMar>
              <w:top w:w="60" w:type="dxa"/>
              <w:bottom w:w="60" w:type="dxa"/>
              <w:left w:w="80" w:type="dxa"/>
              <w:right w:w="80" w:type="dxa"/>
            </w:tcMar>
          </w:tcPr>
          <w:p>
            <w:pPr>
              <w:spacing w:before="50" w:after="50" w:line="252" w:lineRule="auto"/>
            </w:pPr>
            <w:r>
              <w:rPr>
                <w:rFonts w:ascii="Times New Roman" w:hAnsi="Times New Roman"/>
                <w:b w:val="0"/>
                <w:i w:val="0"/>
                <w:sz w:val="17"/>
              </w:rPr>
              <w:t xml:space="preserve">President out-degree = 0; citizens petitioning </w:t>
            </w:r>
            <w:r>
              <w:rPr>
                <w:rFonts w:ascii="Courier New" w:hAnsi="Courier New"/>
                <w:sz w:val="16"/>
              </w:rPr>
              <w:t>@grok</w:t>
            </w:r>
            <w:r>
              <w:rPr>
                <w:rFonts w:ascii="Times New Roman" w:hAnsi="Times New Roman"/>
                <w:b w:val="0"/>
                <w:i w:val="0"/>
                <w:sz w:val="17"/>
              </w:rPr>
              <w:t xml:space="preserve"> as Oracle</w:t>
            </w:r>
          </w:p>
        </w:tc>
        <w:tc>
          <w:tcPr>
            <w:tcW w:type="dxa" w:w="1872"/>
            <w:tcMar>
              <w:top w:w="60" w:type="dxa"/>
              <w:bottom w:w="60" w:type="dxa"/>
              <w:left w:w="80" w:type="dxa"/>
              <w:right w:w="80" w:type="dxa"/>
            </w:tcMar>
          </w:tcPr>
          <w:p>
            <w:pPr>
              <w:spacing w:before="50" w:after="50" w:line="252" w:lineRule="auto"/>
            </w:pPr>
            <w:r>
              <w:rPr>
                <w:rFonts w:ascii="Times New Roman" w:hAnsi="Times New Roman"/>
                <w:b w:val="0"/>
                <w:i w:val="0"/>
                <w:sz w:val="17"/>
              </w:rPr>
              <w:t>Defensive broadcast mindset; prohibition of two-way engagement</w:t>
            </w:r>
          </w:p>
        </w:tc>
        <w:tc>
          <w:tcPr>
            <w:tcW w:type="dxa" w:w="1872"/>
            <w:tcMar>
              <w:top w:w="60" w:type="dxa"/>
              <w:bottom w:w="60" w:type="dxa"/>
              <w:left w:w="80" w:type="dxa"/>
              <w:right w:w="80" w:type="dxa"/>
            </w:tcMar>
          </w:tcPr>
          <w:p>
            <w:pPr>
              <w:spacing w:before="50" w:after="50" w:line="252" w:lineRule="auto"/>
            </w:pPr>
            <w:r>
              <w:rPr>
                <w:rFonts w:ascii="Times New Roman" w:hAnsi="Times New Roman"/>
                <w:b w:val="0"/>
                <w:i w:val="0"/>
                <w:sz w:val="17"/>
              </w:rPr>
              <w:t>Establish a 24/7 Verified Crisis Desk with automated, transparent status dashboards</w:t>
            </w:r>
          </w:p>
        </w:tc>
        <w:tc>
          <w:tcPr>
            <w:tcW w:type="dxa" w:w="1872"/>
            <w:tcMar>
              <w:top w:w="60" w:type="dxa"/>
              <w:bottom w:w="60" w:type="dxa"/>
              <w:left w:w="80" w:type="dxa"/>
              <w:right w:w="80" w:type="dxa"/>
            </w:tcMar>
          </w:tcPr>
          <w:p>
            <w:pPr>
              <w:spacing w:before="50" w:after="50" w:line="252" w:lineRule="auto"/>
            </w:pPr>
            <w:r>
              <w:rPr>
                <w:rFonts w:ascii="Times New Roman" w:hAnsi="Times New Roman"/>
                <w:b w:val="0"/>
                <w:i w:val="0"/>
                <w:sz w:val="17"/>
              </w:rPr>
              <w:t>Presidential Communications Office</w:t>
            </w:r>
          </w:p>
        </w:tc>
      </w:tr>
      <w:tr>
        <w:tc>
          <w:tcPr>
            <w:tcW w:type="dxa" w:w="1872"/>
            <w:tcMar>
              <w:top w:w="60" w:type="dxa"/>
              <w:bottom w:w="60" w:type="dxa"/>
              <w:left w:w="80" w:type="dxa"/>
              <w:right w:w="80" w:type="dxa"/>
            </w:tcMar>
          </w:tcPr>
          <w:p>
            <w:pPr>
              <w:spacing w:before="50" w:after="50" w:line="252" w:lineRule="auto"/>
            </w:pPr>
            <w:r>
              <w:rPr>
                <w:rFonts w:ascii="Times New Roman" w:hAnsi="Times New Roman"/>
                <w:b/>
                <w:i w:val="0"/>
                <w:sz w:val="17"/>
              </w:rPr>
              <w:t>4. Misinterpretation of Paralinguistic Sarcasm</w:t>
            </w:r>
          </w:p>
        </w:tc>
        <w:tc>
          <w:tcPr>
            <w:tcW w:type="dxa" w:w="1872"/>
            <w:tcMar>
              <w:top w:w="60" w:type="dxa"/>
              <w:bottom w:w="60" w:type="dxa"/>
              <w:left w:w="80" w:type="dxa"/>
              <w:right w:w="80" w:type="dxa"/>
            </w:tcMar>
          </w:tcPr>
          <w:p>
            <w:pPr>
              <w:spacing w:before="50" w:after="50" w:line="252" w:lineRule="auto"/>
            </w:pPr>
            <w:r>
              <w:rPr>
                <w:rFonts w:ascii="Times New Roman" w:hAnsi="Times New Roman"/>
                <w:b w:val="0"/>
                <w:i w:val="0"/>
                <w:sz w:val="17"/>
              </w:rPr>
              <w:t>315 sarcastic tweets (9.28%) misclassified by standard sentiment</w:t>
            </w:r>
          </w:p>
        </w:tc>
        <w:tc>
          <w:tcPr>
            <w:tcW w:type="dxa" w:w="1872"/>
            <w:tcMar>
              <w:top w:w="60" w:type="dxa"/>
              <w:bottom w:w="60" w:type="dxa"/>
              <w:left w:w="80" w:type="dxa"/>
              <w:right w:w="80" w:type="dxa"/>
            </w:tcMar>
          </w:tcPr>
          <w:p>
            <w:pPr>
              <w:spacing w:before="50" w:after="50" w:line="252" w:lineRule="auto"/>
            </w:pPr>
            <w:r>
              <w:rPr>
                <w:rFonts w:ascii="Times New Roman" w:hAnsi="Times New Roman"/>
                <w:b w:val="0"/>
                <w:i w:val="0"/>
                <w:sz w:val="17"/>
              </w:rPr>
              <w:t>Inability of keyword tools to detect pragmatic emoji dissonance</w:t>
            </w:r>
          </w:p>
        </w:tc>
        <w:tc>
          <w:tcPr>
            <w:tcW w:type="dxa" w:w="1872"/>
            <w:tcMar>
              <w:top w:w="60" w:type="dxa"/>
              <w:bottom w:w="60" w:type="dxa"/>
              <w:left w:w="80" w:type="dxa"/>
              <w:right w:w="80" w:type="dxa"/>
            </w:tcMar>
          </w:tcPr>
          <w:p>
            <w:pPr>
              <w:spacing w:before="50" w:after="50" w:line="252" w:lineRule="auto"/>
            </w:pPr>
            <w:r>
              <w:rPr>
                <w:rFonts w:ascii="Times New Roman" w:hAnsi="Times New Roman"/>
                <w:b w:val="0"/>
                <w:i w:val="0"/>
                <w:sz w:val="17"/>
              </w:rPr>
              <w:t>Integrate contextual transformer models (IndoBERT) for nuance-aware monitoring</w:t>
            </w:r>
          </w:p>
        </w:tc>
        <w:tc>
          <w:tcPr>
            <w:tcW w:type="dxa" w:w="1872"/>
            <w:tcMar>
              <w:top w:w="60" w:type="dxa"/>
              <w:bottom w:w="60" w:type="dxa"/>
              <w:left w:w="80" w:type="dxa"/>
              <w:right w:w="80" w:type="dxa"/>
            </w:tcMar>
          </w:tcPr>
          <w:p>
            <w:pPr>
              <w:spacing w:before="50" w:after="50" w:line="252" w:lineRule="auto"/>
            </w:pPr>
            <w:r>
              <w:rPr>
                <w:rFonts w:ascii="Times New Roman" w:hAnsi="Times New Roman"/>
                <w:b w:val="0"/>
                <w:i w:val="0"/>
                <w:sz w:val="17"/>
              </w:rPr>
              <w:t>Diskominfo &amp; BGN Analytics Team</w:t>
            </w:r>
          </w:p>
        </w:tc>
      </w:tr>
      <w:tr>
        <w:tc>
          <w:tcPr>
            <w:tcW w:type="dxa" w:w="1872"/>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i w:val="0"/>
                <w:sz w:val="17"/>
              </w:rPr>
              <w:t>5. Hyper-Fragmented Echo Chambers</w:t>
            </w:r>
          </w:p>
        </w:tc>
        <w:tc>
          <w:tcPr>
            <w:tcW w:type="dxa" w:w="1872"/>
            <w:tcMar>
              <w:top w:w="60" w:type="dxa"/>
              <w:bottom w:w="60" w:type="dxa"/>
              <w:left w:w="80" w:type="dxa"/>
              <w:right w:w="80" w:type="dxa"/>
            </w:tcMar>
            <w:tcBorders>
              <w:bottom w:val="single" w:sz="10" w:space="0" w:color="000000"/>
            </w:tcBorders>
          </w:tcPr>
          <w:p>
            <w:pPr>
              <w:spacing w:before="50" w:after="50" w:line="252" w:lineRule="auto"/>
            </w:pPr>
            <w:r/>
            <w:r>
              <w:rPr>
                <w:rFonts w:ascii="Times New Roman" w:hAnsi="Times New Roman"/>
                <w:sz w:val="20"/>
              </w:rPr>
              <w:t>Modularity $Q = 0.9837$; 341 isolated WCC components</w:t>
            </w:r>
          </w:p>
        </w:tc>
        <w:tc>
          <w:tcPr>
            <w:tcW w:type="dxa" w:w="1872"/>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val="0"/>
                <w:i w:val="0"/>
                <w:sz w:val="17"/>
              </w:rPr>
              <w:t>Absence of localized dialogue; one-way top-down press releases</w:t>
            </w:r>
          </w:p>
        </w:tc>
        <w:tc>
          <w:tcPr>
            <w:tcW w:type="dxa" w:w="1872"/>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val="0"/>
                <w:i w:val="0"/>
                <w:sz w:val="17"/>
              </w:rPr>
              <w:t>Organize town-hall parent forums at district SPPG units to rebuild grassroots trust</w:t>
            </w:r>
          </w:p>
        </w:tc>
        <w:tc>
          <w:tcPr>
            <w:tcW w:type="dxa" w:w="1872"/>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val="0"/>
                <w:i w:val="0"/>
                <w:sz w:val="17"/>
              </w:rPr>
              <w:t>Regional Governments &amp; Parent Unions</w:t>
            </w:r>
          </w:p>
        </w:tc>
      </w:tr>
    </w:tbl>
    <w:p>
      <w:pPr>
        <w:spacing w:after="120"/>
      </w:pPr>
    </w:p>
    <w:p>
      <w:pPr>
        <w:spacing w:before="240" w:after="60" w:line="384" w:lineRule="auto"/>
        <w:jc w:val="left"/>
      </w:pPr>
      <w:r>
        <w:rPr>
          <w:rFonts w:ascii="Times New Roman" w:hAnsi="Times New Roman"/>
          <w:b/>
          <w:i w:val="0"/>
          <w:color w:val="1E293B"/>
          <w:sz w:val="23"/>
        </w:rPr>
        <w:t>8.3 Pragmatic Semiotic Decoding: Representative Instances of Digital Sarcasm</w:t>
      </w:r>
    </w:p>
    <w:p>
      <w:pPr>
        <w:spacing w:before="0" w:after="100" w:line="384" w:lineRule="auto"/>
        <w:ind w:firstLine="360"/>
        <w:jc w:val="both"/>
      </w:pPr>
      <w:r>
        <w:rPr>
          <w:rFonts w:ascii="Times New Roman" w:hAnsi="Times New Roman"/>
          <w:b w:val="0"/>
          <w:i w:val="0"/>
          <w:sz w:val="21"/>
        </w:rPr>
        <w:t>To illuminate how Indonesian citizens operationalize paralinguistic dissonance as a protective communicative tactic under regulatory constraints (UU ITE), Table 8B presents representative empirical instances from the corpus, detailing the literal surface utterance, the pragmatic latent intent, and the decisive inverting function of affective emojis.</w:t>
      </w:r>
    </w:p>
    <w:p>
      <w:pPr>
        <w:spacing w:before="280" w:after="60" w:line="276" w:lineRule="auto"/>
        <w:jc w:val="left"/>
      </w:pPr>
      <w:r>
        <w:rPr>
          <w:rFonts w:ascii="Times New Roman" w:hAnsi="Times New Roman"/>
          <w:b/>
          <w:i w:val="0"/>
          <w:color w:val="0F172A"/>
          <w:sz w:val="21"/>
        </w:rPr>
        <w:t>Table 8B: Representative Empirical Instances of Indonesian Digital Sarcasm on Platform X</w:t>
      </w:r>
    </w:p>
    <w:tbl>
      <w:tblPr>
        <w:tblW w:type="auto" w:w="0"/>
        <w:jc w:val="center"/>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Instance ID</w:t>
            </w:r>
          </w:p>
        </w:tc>
        <w:tc>
          <w:tcPr>
            <w:tcW w:type="dxa" w:w="1337"/>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Raw Microblogging Text (Indonesian Vernacular)</w:t>
            </w:r>
          </w:p>
        </w:tc>
        <w:tc>
          <w:tcPr>
            <w:tcW w:type="dxa" w:w="1337"/>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English Semantic Translation</w:t>
            </w:r>
          </w:p>
        </w:tc>
        <w:tc>
          <w:tcPr>
            <w:tcW w:type="dxa" w:w="1337"/>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Literal Sentiment (Lexical Tools)</w:t>
            </w:r>
          </w:p>
        </w:tc>
        <w:tc>
          <w:tcPr>
            <w:tcW w:type="dxa" w:w="1337"/>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Latent Pragmatic Intent (IndoBERT)</w:t>
            </w:r>
          </w:p>
        </w:tc>
        <w:tc>
          <w:tcPr>
            <w:tcW w:type="dxa" w:w="1337"/>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Inverting Emoji Marker</w:t>
            </w:r>
          </w:p>
        </w:tc>
        <w:tc>
          <w:tcPr>
            <w:tcW w:type="dxa" w:w="1337"/>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Sociolinguistic Mechanism</w:t>
            </w:r>
          </w:p>
        </w:tc>
      </w:tr>
      <w:tr>
        <w:tc>
          <w:tcPr>
            <w:tcW w:type="dxa" w:w="1337"/>
            <w:tcMar>
              <w:top w:w="60" w:type="dxa"/>
              <w:bottom w:w="60" w:type="dxa"/>
              <w:left w:w="80" w:type="dxa"/>
              <w:right w:w="80" w:type="dxa"/>
            </w:tcMar>
          </w:tcPr>
          <w:p>
            <w:pPr>
              <w:spacing w:before="50" w:after="50" w:line="252" w:lineRule="auto"/>
            </w:pPr>
            <w:r>
              <w:rPr>
                <w:rFonts w:ascii="Times New Roman" w:hAnsi="Times New Roman"/>
                <w:b/>
                <w:i w:val="0"/>
                <w:sz w:val="17"/>
              </w:rPr>
              <w:t>SRC-01</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sz w:val="17"/>
              </w:rPr>
              <w:t>"Menu MBG hari ini mewah banget guys! Nasi seupil plus tempe setipis kartu ATM. Gizi tercukupi sampai generasi emas 2045! 🤡"</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val="0"/>
                <w:sz w:val="17"/>
              </w:rPr>
              <w:t>"Today's MBG menu is extraordinarily luxurious guys! A pinch of rice plus tempeh as thin as an ATM card. Nutrition guaranteed for Golden Indonesia 2045! 🤡"</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val="0"/>
                <w:sz w:val="17"/>
              </w:rPr>
              <w:t>Positive (+0.84)</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val="0"/>
                <w:sz w:val="17"/>
              </w:rPr>
              <w:t>Visceral Disgust / Contempt</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val="0"/>
                <w:sz w:val="17"/>
              </w:rPr>
              <w:t>🤡 (Clown Face: Absurdity)</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val="0"/>
                <w:sz w:val="17"/>
              </w:rPr>
              <w:t>Mock Praise &amp; Hyperbolic Pretense</w:t>
            </w:r>
          </w:p>
        </w:tc>
      </w:tr>
      <w:tr>
        <w:tc>
          <w:tcPr>
            <w:tcW w:type="dxa" w:w="1337"/>
            <w:tcMar>
              <w:top w:w="60" w:type="dxa"/>
              <w:bottom w:w="60" w:type="dxa"/>
              <w:left w:w="80" w:type="dxa"/>
              <w:right w:w="80" w:type="dxa"/>
            </w:tcMar>
          </w:tcPr>
          <w:p>
            <w:pPr>
              <w:spacing w:before="50" w:after="50" w:line="252" w:lineRule="auto"/>
            </w:pPr>
            <w:r>
              <w:rPr>
                <w:rFonts w:ascii="Times New Roman" w:hAnsi="Times New Roman"/>
                <w:b/>
                <w:i w:val="0"/>
                <w:sz w:val="17"/>
              </w:rPr>
              <w:t>SRC-02</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sz w:val="17"/>
              </w:rPr>
              <w:t>"Terima kasih bapak pengadaan yang terhormat, anak saya diare 3 hari habis makan ayam MBG. Berkah melimpah ya pak! 🤮"</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val="0"/>
                <w:sz w:val="17"/>
              </w:rPr>
              <w:t>"Thank you honorable procurement officials, my child had diarrhea for 3 days after eating MBG chicken. Overflowing blessings for you sir! 🤮"</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val="0"/>
                <w:sz w:val="17"/>
              </w:rPr>
              <w:t>Positive (+0.72)</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val="0"/>
                <w:sz w:val="17"/>
              </w:rPr>
              <w:t>Severe Moral Disgust / Betrayal</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val="0"/>
                <w:sz w:val="17"/>
              </w:rPr>
              <w:t>🤮 (Vomiting Face: Physical Revulsion)</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val="0"/>
                <w:sz w:val="17"/>
              </w:rPr>
              <w:t>Surface Politeness Inverted by Visceral Bio-Marker</w:t>
            </w:r>
          </w:p>
        </w:tc>
      </w:tr>
      <w:tr>
        <w:tc>
          <w:tcPr>
            <w:tcW w:type="dxa" w:w="1337"/>
            <w:tcMar>
              <w:top w:w="60" w:type="dxa"/>
              <w:bottom w:w="60" w:type="dxa"/>
              <w:left w:w="80" w:type="dxa"/>
              <w:right w:w="80" w:type="dxa"/>
            </w:tcMar>
          </w:tcPr>
          <w:p>
            <w:pPr>
              <w:spacing w:before="50" w:after="50" w:line="252" w:lineRule="auto"/>
            </w:pPr>
            <w:r>
              <w:rPr>
                <w:rFonts w:ascii="Times New Roman" w:hAnsi="Times New Roman"/>
                <w:b/>
                <w:i w:val="0"/>
                <w:sz w:val="17"/>
              </w:rPr>
              <w:t>SRC-03</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sz w:val="17"/>
              </w:rPr>
              <w:t>"Wah anggaran dipotong 67 triliun langsung kelihatan hasilnya, menunya makin minimalis aesthetic! Mantap lanjutkan! 😭👍"</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val="0"/>
                <w:sz w:val="17"/>
              </w:rPr>
              <w:t>"Wow, budget cut by 67 trillion immediately shows results, the menu is becoming minimalistically aesthetic! Great keep going! 😭👍"</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val="0"/>
                <w:sz w:val="17"/>
              </w:rPr>
              <w:t>Positive (+0.68)</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val="0"/>
                <w:sz w:val="17"/>
              </w:rPr>
              <w:t>Bitter Cynicism / Policy Outrage</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val="0"/>
                <w:sz w:val="17"/>
              </w:rPr>
              <w:t>😭👍 (Tears + Thumbs Up: Tragic Resignation)</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val="0"/>
                <w:sz w:val="17"/>
              </w:rPr>
              <w:t>Affective Incongruence &amp; Irony</w:t>
            </w:r>
          </w:p>
        </w:tc>
      </w:tr>
      <w:tr>
        <w:tc>
          <w:tcPr>
            <w:tcW w:type="dxa" w:w="1337"/>
            <w:tcMar>
              <w:top w:w="60" w:type="dxa"/>
              <w:bottom w:w="60" w:type="dxa"/>
              <w:left w:w="80" w:type="dxa"/>
              <w:right w:w="80" w:type="dxa"/>
            </w:tcMar>
          </w:tcPr>
          <w:p>
            <w:pPr>
              <w:spacing w:before="50" w:after="50" w:line="252" w:lineRule="auto"/>
            </w:pPr>
            <w:r>
              <w:rPr>
                <w:rFonts w:ascii="Times New Roman" w:hAnsi="Times New Roman"/>
                <w:b/>
                <w:i w:val="0"/>
                <w:sz w:val="17"/>
              </w:rPr>
              <w:t>SRC-04</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sz w:val="17"/>
              </w:rPr>
              <w:t>"Katanya higienis berstandar internasional, pas dibuka ada bonus protein ulat hidup. Bergizi banget emang! 🤢"</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val="0"/>
                <w:sz w:val="17"/>
              </w:rPr>
              <w:t>"Said to be international standard hygienic, opened it to find a bonus protein of live worms. Truly nutritious indeed! 🤢"</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val="0"/>
                <w:sz w:val="17"/>
              </w:rPr>
              <w:t>Positive (+0.65)</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val="0"/>
                <w:sz w:val="17"/>
              </w:rPr>
              <w:t>Extreme Food Quality Disgust</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val="0"/>
                <w:sz w:val="17"/>
              </w:rPr>
              <w:t>🤢 (Nauseated Face: Sensory Repulsion)</w:t>
            </w:r>
          </w:p>
        </w:tc>
        <w:tc>
          <w:tcPr>
            <w:tcW w:type="dxa" w:w="1337"/>
            <w:tcMar>
              <w:top w:w="60" w:type="dxa"/>
              <w:bottom w:w="60" w:type="dxa"/>
              <w:left w:w="80" w:type="dxa"/>
              <w:right w:w="80" w:type="dxa"/>
            </w:tcMar>
          </w:tcPr>
          <w:p>
            <w:pPr>
              <w:spacing w:before="50" w:after="50" w:line="252" w:lineRule="auto"/>
            </w:pPr>
            <w:r>
              <w:rPr>
                <w:rFonts w:ascii="Times New Roman" w:hAnsi="Times New Roman"/>
                <w:b w:val="0"/>
                <w:i w:val="0"/>
                <w:sz w:val="17"/>
              </w:rPr>
              <w:t>Ironic Euphemism for Contamination</w:t>
            </w:r>
          </w:p>
        </w:tc>
      </w:tr>
      <w:tr>
        <w:tc>
          <w:tcPr>
            <w:tcW w:type="dxa" w:w="1337"/>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i w:val="0"/>
                <w:sz w:val="17"/>
              </w:rPr>
              <w:t>SRC-05</w:t>
            </w:r>
          </w:p>
        </w:tc>
        <w:tc>
          <w:tcPr>
            <w:tcW w:type="dxa" w:w="1337"/>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val="0"/>
                <w:i/>
                <w:sz w:val="17"/>
              </w:rPr>
              <w:t>"Bagus deh @prabowo diem aja pas ribuan anak keracunan, biar @grok aja yang kerja jadi presiden digital kita. 🤖👏"</w:t>
            </w:r>
          </w:p>
        </w:tc>
        <w:tc>
          <w:tcPr>
            <w:tcW w:type="dxa" w:w="1337"/>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val="0"/>
                <w:i w:val="0"/>
                <w:sz w:val="17"/>
              </w:rPr>
              <w:t>"So good that @prabowo stays silent while thousands of kids are poisoned, just let @grok work as our digital president. 🤖👏"</w:t>
            </w:r>
          </w:p>
        </w:tc>
        <w:tc>
          <w:tcPr>
            <w:tcW w:type="dxa" w:w="1337"/>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val="0"/>
                <w:i w:val="0"/>
                <w:sz w:val="17"/>
              </w:rPr>
              <w:t>Neutral / Positive (+0.45)</w:t>
            </w:r>
          </w:p>
        </w:tc>
        <w:tc>
          <w:tcPr>
            <w:tcW w:type="dxa" w:w="1337"/>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val="0"/>
                <w:i w:val="0"/>
                <w:sz w:val="17"/>
              </w:rPr>
              <w:t>Political Alienation / Oracle Appeal</w:t>
            </w:r>
          </w:p>
        </w:tc>
        <w:tc>
          <w:tcPr>
            <w:tcW w:type="dxa" w:w="1337"/>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val="0"/>
                <w:i w:val="0"/>
                <w:sz w:val="17"/>
              </w:rPr>
              <w:t>🤖👏 (Robot + Applause: Algorithmic Displacement)</w:t>
            </w:r>
          </w:p>
        </w:tc>
        <w:tc>
          <w:tcPr>
            <w:tcW w:type="dxa" w:w="1337"/>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val="0"/>
                <w:i w:val="0"/>
                <w:sz w:val="17"/>
              </w:rPr>
              <w:t>Institutional Bypass via AI Utility</w:t>
            </w:r>
          </w:p>
        </w:tc>
      </w:tr>
    </w:tbl>
    <w:p>
      <w:pPr>
        <w:spacing w:after="120"/>
      </w:pPr>
    </w:p>
    <w:p>
      <w:pPr>
        <w:spacing w:before="320" w:after="100" w:line="288" w:lineRule="auto"/>
        <w:jc w:val="left"/>
      </w:pPr>
      <w:r>
        <w:rPr>
          <w:rFonts w:ascii="Times New Roman" w:hAnsi="Times New Roman"/>
          <w:b/>
          <w:i w:val="0"/>
          <w:color w:val="0F172A"/>
          <w:sz w:val="24"/>
        </w:rPr>
        <w:t>9. METHODOLOGICAL LIMITATIONS AND EPISTEMIC BOUNDARY CONDITIONS</w:t>
      </w:r>
    </w:p>
    <w:p>
      <w:pPr>
        <w:spacing w:before="0" w:after="100" w:line="384" w:lineRule="auto"/>
        <w:ind w:firstLine="360"/>
        <w:jc w:val="both"/>
      </w:pPr>
      <w:r>
        <w:rPr>
          <w:rFonts w:ascii="Times New Roman" w:hAnsi="Times New Roman"/>
          <w:b w:val="0"/>
          <w:i w:val="0"/>
          <w:sz w:val="21"/>
        </w:rPr>
        <w:t>In accordance with rigorous open-science standards, this study declares four primary methodological boundaries:</w:t>
      </w:r>
    </w:p>
    <w:p>
      <w:pPr>
        <w:pStyle w:val="ListNumber"/>
        <w:spacing w:after="60" w:line="384" w:lineRule="auto"/>
      </w:pPr>
      <w:r>
        <w:rPr>
          <w:rFonts w:ascii="Times New Roman" w:hAnsi="Times New Roman"/>
          <w:b/>
          <w:i w:val="0"/>
          <w:sz w:val="21"/>
        </w:rPr>
        <w:t>Platform X Demographic Vanguard Bias</w:t>
      </w:r>
      <w:r>
        <w:rPr>
          <w:rFonts w:ascii="Times New Roman" w:hAnsi="Times New Roman"/>
          <w:b w:val="0"/>
          <w:i w:val="0"/>
          <w:sz w:val="21"/>
        </w:rPr>
        <w:t>: Our corpus derives exclusively from Platform X. In Indonesia, X users skew disproportionately urban, educated, and politically mobilized (APJII, 2024), representing the opinions of civic activists and journalists rather than the total rural electorate.</w:t>
      </w:r>
    </w:p>
    <w:p>
      <w:pPr>
        <w:pStyle w:val="ListNumber"/>
        <w:spacing w:after="60" w:line="384" w:lineRule="auto"/>
      </w:pPr>
      <w:r>
        <w:rPr>
          <w:rFonts w:ascii="Times New Roman" w:hAnsi="Times New Roman"/>
          <w:b/>
          <w:i w:val="0"/>
          <w:sz w:val="21"/>
        </w:rPr>
        <w:t>Platform Vernacular and Irony Incentives</w:t>
      </w:r>
      <w:r>
        <w:rPr>
          <w:rFonts w:ascii="Times New Roman" w:hAnsi="Times New Roman"/>
          <w:b w:val="0"/>
          <w:i w:val="0"/>
          <w:sz w:val="21"/>
        </w:rPr>
        <w:t>: Platform X’s architecture structurally rewards satirical wit and cynical critique (Bossetta, 2018), amplifying Disgust and Sarcasm relative to lifestyle platforms like Instagram or TikTok.</w:t>
      </w:r>
    </w:p>
    <w:p>
      <w:pPr>
        <w:pStyle w:val="ListNumber"/>
        <w:spacing w:after="60" w:line="384" w:lineRule="auto"/>
      </w:pPr>
      <w:r/>
      <w:r>
        <w:rPr>
          <w:rFonts w:ascii="Times New Roman" w:hAnsi="Times New Roman"/>
          <w:sz w:val="24"/>
        </w:rPr>
        <w:t>Silver-Standard Reference Labels and Affective Sparsity: Training and holdout evaluations relied on rule-assisted silver-standard reference annotations. Extreme natural class imbalance resulted in zero test instances for Joy and Surprise, two instances of Fear, and $F_1 = 0.000$ for Anger and Sadness. Future research must deploy multi-annotator human panels to establish an adjudicated gold standard with targeted oversampling.</w:t>
      </w:r>
    </w:p>
    <w:p>
      <w:pPr>
        <w:pStyle w:val="ListNumber"/>
        <w:spacing w:after="60" w:line="384" w:lineRule="auto"/>
      </w:pPr>
      <w:r/>
      <w:r>
        <w:rPr>
          <w:rFonts w:ascii="Times New Roman" w:hAnsi="Times New Roman"/>
          <w:sz w:val="24"/>
        </w:rPr>
        <w:t>Observational Non-Causality: The strong correlation between modularity ($Q = 0.9837$) and disgust does not establish causal directionality; both may stem from external unobserved events such as national news broadcasts of kitchen closures.</w:t>
      </w:r>
    </w:p>
    <w:p>
      <w:pPr>
        <w:spacing w:before="320" w:after="100" w:line="288" w:lineRule="auto"/>
        <w:jc w:val="left"/>
      </w:pPr>
      <w:r>
        <w:rPr>
          <w:rFonts w:ascii="Times New Roman" w:hAnsi="Times New Roman"/>
          <w:b/>
          <w:i w:val="0"/>
          <w:color w:val="0F172A"/>
          <w:sz w:val="24"/>
        </w:rPr>
        <w:t>10. STATEMENTS, ETHICAL DECLARATIONS, AND DATA AVAILABILITY</w:t>
      </w:r>
    </w:p>
    <w:p>
      <w:pPr>
        <w:spacing w:before="240" w:after="60" w:line="384" w:lineRule="auto"/>
        <w:jc w:val="left"/>
      </w:pPr>
      <w:r>
        <w:rPr>
          <w:rFonts w:ascii="Times New Roman" w:hAnsi="Times New Roman"/>
          <w:b/>
          <w:i w:val="0"/>
          <w:color w:val="1E293B"/>
          <w:sz w:val="23"/>
        </w:rPr>
        <w:t>10.1 Data Availability Statement (DAS)</w:t>
      </w:r>
    </w:p>
    <w:p>
      <w:pPr>
        <w:spacing w:before="0" w:after="100" w:line="384" w:lineRule="auto"/>
        <w:ind w:firstLine="360"/>
        <w:jc w:val="both"/>
      </w:pPr>
      <w:r>
        <w:rPr>
          <w:rFonts w:ascii="Times New Roman" w:hAnsi="Times New Roman"/>
          <w:b w:val="0"/>
          <w:i w:val="0"/>
          <w:sz w:val="21"/>
        </w:rPr>
        <w:t>All research materials supporting this study are permanently preserved under FAIR open-science principles:</w:t>
      </w:r>
    </w:p>
    <w:p>
      <w:pPr>
        <w:pStyle w:val="ListBullet"/>
        <w:spacing w:after="60" w:line="384" w:lineRule="auto"/>
      </w:pPr>
      <w:r>
        <w:rPr>
          <w:rFonts w:ascii="Times New Roman" w:hAnsi="Times New Roman"/>
          <w:b/>
          <w:i w:val="0"/>
          <w:sz w:val="21"/>
        </w:rPr>
        <w:t>Permanent Open Science Archive (Zenodo DOI)</w:t>
      </w:r>
      <w:r>
        <w:rPr>
          <w:rFonts w:ascii="Times New Roman" w:hAnsi="Times New Roman"/>
          <w:b w:val="0"/>
          <w:i w:val="0"/>
          <w:sz w:val="21"/>
        </w:rPr>
        <w:t>: [10.5281/zenodo.11029482](https://doi.org/10.5281/zenodo.11029482)</w:t>
      </w:r>
    </w:p>
    <w:p>
      <w:pPr>
        <w:pStyle w:val="ListBullet"/>
        <w:spacing w:after="60" w:line="384" w:lineRule="auto"/>
      </w:pPr>
      <w:r>
        <w:rPr>
          <w:rFonts w:ascii="Times New Roman" w:hAnsi="Times New Roman"/>
          <w:b/>
          <w:i w:val="0"/>
          <w:sz w:val="21"/>
        </w:rPr>
        <w:t>Complete Replication Bundle</w:t>
      </w:r>
      <w:r>
        <w:rPr>
          <w:rFonts w:ascii="Times New Roman" w:hAnsi="Times New Roman"/>
          <w:b w:val="0"/>
          <w:i w:val="0"/>
          <w:sz w:val="21"/>
        </w:rPr>
        <w:t xml:space="preserve">: </w:t>
      </w:r>
      <w:r>
        <w:rPr>
          <w:rFonts w:ascii="Courier New" w:hAnsi="Courier New"/>
          <w:sz w:val="20"/>
        </w:rPr>
        <w:t>results/ZENODO_REPLICATION_PACKAGE_DOI_MBG_2026.zip</w:t>
      </w:r>
    </w:p>
    <w:p>
      <w:pPr>
        <w:pStyle w:val="ListBullet"/>
        <w:spacing w:after="60" w:line="384" w:lineRule="auto"/>
      </w:pPr>
      <w:r>
        <w:rPr>
          <w:rFonts w:ascii="Times New Roman" w:hAnsi="Times New Roman"/>
          <w:b/>
          <w:i w:val="0"/>
          <w:sz w:val="21"/>
        </w:rPr>
        <w:t>GitHub Repository</w:t>
      </w:r>
      <w:r>
        <w:rPr>
          <w:rFonts w:ascii="Times New Roman" w:hAnsi="Times New Roman"/>
          <w:b w:val="0"/>
          <w:i w:val="0"/>
          <w:sz w:val="21"/>
        </w:rPr>
        <w:t xml:space="preserve">: </w:t>
      </w:r>
      <w:r>
        <w:rPr>
          <w:rFonts w:ascii="Courier New" w:hAnsi="Courier New"/>
          <w:sz w:val="20"/>
        </w:rPr>
        <w:t>https://github.com/indri007/ThisIsEconomy</w:t>
      </w:r>
    </w:p>
    <w:p>
      <w:pPr>
        <w:spacing w:before="240" w:after="60" w:line="384" w:lineRule="auto"/>
        <w:jc w:val="left"/>
      </w:pPr>
      <w:r>
        <w:rPr>
          <w:rFonts w:ascii="Times New Roman" w:hAnsi="Times New Roman"/>
          <w:b/>
          <w:i w:val="0"/>
          <w:color w:val="1E293B"/>
          <w:sz w:val="23"/>
        </w:rPr>
        <w:t>10.2 Authorship Contribution (CRediT Taxonomy)</w:t>
      </w:r>
    </w:p>
    <w:p>
      <w:pPr>
        <w:pStyle w:val="ListBullet"/>
        <w:spacing w:after="60" w:line="384" w:lineRule="auto"/>
      </w:pPr>
      <w:r>
        <w:rPr>
          <w:rFonts w:ascii="Times New Roman" w:hAnsi="Times New Roman"/>
          <w:b/>
          <w:i w:val="0"/>
          <w:sz w:val="21"/>
        </w:rPr>
        <w:t>Indri Anjar Kartika Sari</w:t>
      </w:r>
      <w:r>
        <w:rPr>
          <w:rFonts w:ascii="Times New Roman" w:hAnsi="Times New Roman"/>
          <w:b w:val="0"/>
          <w:i w:val="0"/>
          <w:sz w:val="21"/>
        </w:rPr>
        <w:t>: Conceptualization, Methodology, Software, Data Curation, Formal Analysis, Investigation, Validation, Visualization, Writing – Original Draft.</w:t>
      </w:r>
    </w:p>
    <w:p>
      <w:pPr>
        <w:pStyle w:val="ListBullet"/>
        <w:spacing w:after="60" w:line="384" w:lineRule="auto"/>
      </w:pPr>
      <w:r>
        <w:rPr>
          <w:rFonts w:ascii="Times New Roman" w:hAnsi="Times New Roman"/>
          <w:b/>
          <w:i w:val="0"/>
          <w:sz w:val="21"/>
        </w:rPr>
        <w:t>Dr. Catur Suratnoaji, M.Si.</w:t>
      </w:r>
      <w:r>
        <w:rPr>
          <w:rFonts w:ascii="Times New Roman" w:hAnsi="Times New Roman"/>
          <w:b w:val="0"/>
          <w:i w:val="0"/>
          <w:sz w:val="21"/>
        </w:rPr>
        <w:t>: Supervision, Conceptualization, Theoretical Framework (Networked Affect &amp; Public Sphere), Writing – Review &amp; Editing.</w:t>
      </w:r>
    </w:p>
    <w:p>
      <w:pPr>
        <w:pStyle w:val="ListBullet"/>
        <w:spacing w:after="60" w:line="384" w:lineRule="auto"/>
      </w:pPr>
      <w:r>
        <w:rPr>
          <w:rFonts w:ascii="Times New Roman" w:hAnsi="Times New Roman"/>
          <w:b/>
          <w:i w:val="0"/>
          <w:sz w:val="21"/>
        </w:rPr>
        <w:t>Dr. Agus Widiyarta, S.Sos., M.Si.</w:t>
      </w:r>
      <w:r>
        <w:rPr>
          <w:rFonts w:ascii="Times New Roman" w:hAnsi="Times New Roman"/>
          <w:b w:val="0"/>
          <w:i w:val="0"/>
          <w:sz w:val="21"/>
        </w:rPr>
        <w:t>: Supervision, Methodology Review (Crisis Communication &amp; SCCT), Writing – Review &amp; Editing.</w:t>
      </w:r>
    </w:p>
    <w:p>
      <w:pPr>
        <w:spacing w:before="240" w:after="60" w:line="384" w:lineRule="auto"/>
        <w:jc w:val="left"/>
      </w:pPr>
      <w:r>
        <w:rPr>
          <w:rFonts w:ascii="Times New Roman" w:hAnsi="Times New Roman"/>
          <w:b/>
          <w:i w:val="0"/>
          <w:color w:val="1E293B"/>
          <w:sz w:val="23"/>
        </w:rPr>
        <w:t>10.3 Competing Interests and Funding</w:t>
      </w:r>
    </w:p>
    <w:p>
      <w:pPr>
        <w:spacing w:before="0" w:after="100" w:line="384" w:lineRule="auto"/>
        <w:ind w:firstLine="360"/>
        <w:jc w:val="both"/>
      </w:pPr>
      <w:r>
        <w:rPr>
          <w:rFonts w:ascii="Times New Roman" w:hAnsi="Times New Roman"/>
          <w:b w:val="0"/>
          <w:i w:val="0"/>
          <w:sz w:val="21"/>
        </w:rPr>
        <w:t>The authors declare no competing financial, institutional, or personal interests. This research received no specific grant from funding agencies in the public, commercial, or not-for-profit sectors.</w:t>
      </w:r>
    </w:p>
    <w:p>
      <w:pPr>
        <w:spacing w:before="320" w:after="100" w:line="288" w:lineRule="auto"/>
        <w:jc w:val="left"/>
      </w:pPr>
      <w:r>
        <w:rPr>
          <w:rFonts w:ascii="Times New Roman" w:hAnsi="Times New Roman"/>
          <w:b/>
          <w:i w:val="0"/>
          <w:color w:val="0F172A"/>
          <w:sz w:val="24"/>
        </w:rPr>
        <w:t>REFERENCES</w:t>
      </w:r>
    </w:p>
    <w:p>
      <w:pPr>
        <w:pStyle w:val="ListNumber"/>
        <w:spacing w:after="60" w:line="384" w:lineRule="auto"/>
      </w:pPr>
      <w:r>
        <w:rPr>
          <w:rFonts w:ascii="Times New Roman" w:hAnsi="Times New Roman"/>
          <w:b w:val="0"/>
          <w:i w:val="0"/>
          <w:sz w:val="21"/>
        </w:rPr>
        <w:t xml:space="preserve">ANTARA. (2026). </w:t>
      </w:r>
      <w:r>
        <w:rPr>
          <w:rFonts w:ascii="Times New Roman" w:hAnsi="Times New Roman"/>
          <w:b w:val="0"/>
          <w:i/>
          <w:sz w:val="21"/>
        </w:rPr>
        <w:t>BGN Evaluasi 4.581 SPPG Terkait Standar Higienitas Program MBG</w:t>
      </w:r>
      <w:r>
        <w:rPr>
          <w:rFonts w:ascii="Times New Roman" w:hAnsi="Times New Roman"/>
          <w:b w:val="0"/>
          <w:i w:val="0"/>
          <w:sz w:val="21"/>
        </w:rPr>
        <w:t>. Kantor Berita Nasional ANTARA.</w:t>
      </w:r>
    </w:p>
    <w:p>
      <w:pPr>
        <w:pStyle w:val="ListNumber"/>
        <w:spacing w:after="60" w:line="384" w:lineRule="auto"/>
      </w:pPr>
      <w:r>
        <w:rPr>
          <w:rFonts w:ascii="Times New Roman" w:hAnsi="Times New Roman"/>
          <w:b w:val="0"/>
          <w:i w:val="0"/>
          <w:sz w:val="21"/>
        </w:rPr>
        <w:t xml:space="preserve">APJII. (2024). </w:t>
      </w:r>
      <w:r>
        <w:rPr>
          <w:rFonts w:ascii="Times New Roman" w:hAnsi="Times New Roman"/>
          <w:b w:val="0"/>
          <w:i/>
          <w:sz w:val="21"/>
        </w:rPr>
        <w:t>Survei Penetrasi dan Perilaku Internet Indonesia 2024</w:t>
      </w:r>
      <w:r>
        <w:rPr>
          <w:rFonts w:ascii="Times New Roman" w:hAnsi="Times New Roman"/>
          <w:b w:val="0"/>
          <w:i w:val="0"/>
          <w:sz w:val="21"/>
        </w:rPr>
        <w:t>. Asosiasi Penyelenggara Jasa Internet Indonesia.</w:t>
      </w:r>
    </w:p>
    <w:p>
      <w:pPr>
        <w:pStyle w:val="ListNumber"/>
        <w:spacing w:after="60" w:line="384" w:lineRule="auto"/>
      </w:pPr>
      <w:r>
        <w:rPr>
          <w:rFonts w:ascii="Times New Roman" w:hAnsi="Times New Roman"/>
          <w:b w:val="0"/>
          <w:i w:val="0"/>
          <w:sz w:val="21"/>
        </w:rPr>
        <w:t xml:space="preserve">BGN. (2026). </w:t>
      </w:r>
      <w:r>
        <w:rPr>
          <w:rFonts w:ascii="Times New Roman" w:hAnsi="Times New Roman"/>
          <w:b w:val="0"/>
          <w:i/>
          <w:sz w:val="21"/>
        </w:rPr>
        <w:t>Siaran Pers: Mitigasi Misinformasi dan Penguatan Tata Kelola MBG</w:t>
      </w:r>
      <w:r>
        <w:rPr>
          <w:rFonts w:ascii="Times New Roman" w:hAnsi="Times New Roman"/>
          <w:b w:val="0"/>
          <w:i w:val="0"/>
          <w:sz w:val="21"/>
        </w:rPr>
        <w:t>. Badan Gizi Nasional Republik Indonesia.</w:t>
      </w:r>
    </w:p>
    <w:p>
      <w:pPr>
        <w:pStyle w:val="ListNumber"/>
        <w:spacing w:after="60" w:line="384" w:lineRule="auto"/>
      </w:pPr>
      <w:r>
        <w:rPr>
          <w:rFonts w:ascii="Times New Roman" w:hAnsi="Times New Roman"/>
          <w:b w:val="0"/>
          <w:i w:val="0"/>
          <w:sz w:val="21"/>
        </w:rPr>
        <w:t xml:space="preserve">Blondel, V. D., Guillaume, J.-L., Lambiotte, R., &amp; Lefebvre, E. (2008). Fast unfolding of communities in large networks. </w:t>
      </w:r>
      <w:r>
        <w:rPr>
          <w:rFonts w:ascii="Times New Roman" w:hAnsi="Times New Roman"/>
          <w:b w:val="0"/>
          <w:i/>
          <w:sz w:val="21"/>
        </w:rPr>
        <w:t>Journal of Statistical Mechanics: Theory and Experiment</w:t>
      </w:r>
      <w:r>
        <w:rPr>
          <w:rFonts w:ascii="Times New Roman" w:hAnsi="Times New Roman"/>
          <w:b w:val="0"/>
          <w:i w:val="0"/>
          <w:sz w:val="21"/>
        </w:rPr>
        <w:t>, 2008(10), P10008.</w:t>
      </w:r>
    </w:p>
    <w:p>
      <w:pPr>
        <w:pStyle w:val="ListNumber"/>
        <w:spacing w:after="60" w:line="384" w:lineRule="auto"/>
      </w:pPr>
      <w:r>
        <w:rPr>
          <w:rFonts w:ascii="Times New Roman" w:hAnsi="Times New Roman"/>
          <w:b w:val="0"/>
          <w:i w:val="0"/>
          <w:sz w:val="21"/>
        </w:rPr>
        <w:t xml:space="preserve">Bloomberg Technoz. (2026). </w:t>
      </w:r>
      <w:r>
        <w:rPr>
          <w:rFonts w:ascii="Times New Roman" w:hAnsi="Times New Roman"/>
          <w:b w:val="0"/>
          <w:i/>
          <w:sz w:val="21"/>
        </w:rPr>
        <w:t>Pagu Indikatif MBG Dipatok Rp268 Triliun: Realokasi Anggaran dan Uji Efisiensi Fiskal</w:t>
      </w:r>
      <w:r>
        <w:rPr>
          <w:rFonts w:ascii="Times New Roman" w:hAnsi="Times New Roman"/>
          <w:b w:val="0"/>
          <w:i w:val="0"/>
          <w:sz w:val="21"/>
        </w:rPr>
        <w:t>.</w:t>
      </w:r>
    </w:p>
    <w:p>
      <w:pPr>
        <w:pStyle w:val="ListNumber"/>
        <w:spacing w:after="60" w:line="384" w:lineRule="auto"/>
      </w:pPr>
      <w:r>
        <w:rPr>
          <w:rFonts w:ascii="Times New Roman" w:hAnsi="Times New Roman"/>
          <w:b w:val="0"/>
          <w:i w:val="0"/>
          <w:sz w:val="21"/>
        </w:rPr>
        <w:t xml:space="preserve">Bossetta, M. (2018). The digital architectures of social media: Comparing political campaigning on Facebook, Twitter, Instagram, and Snapchat. </w:t>
      </w:r>
      <w:r>
        <w:rPr>
          <w:rFonts w:ascii="Times New Roman" w:hAnsi="Times New Roman"/>
          <w:b w:val="0"/>
          <w:i/>
          <w:sz w:val="21"/>
        </w:rPr>
        <w:t>Journalism &amp; Mass Communication Quarterly</w:t>
      </w:r>
      <w:r>
        <w:rPr>
          <w:rFonts w:ascii="Times New Roman" w:hAnsi="Times New Roman"/>
          <w:b w:val="0"/>
          <w:i w:val="0"/>
          <w:sz w:val="21"/>
        </w:rPr>
        <w:t>, 95(2), 471–496.</w:t>
      </w:r>
    </w:p>
    <w:p>
      <w:pPr>
        <w:pStyle w:val="ListNumber"/>
        <w:spacing w:after="60" w:line="384" w:lineRule="auto"/>
      </w:pPr>
      <w:r>
        <w:rPr>
          <w:rFonts w:ascii="Times New Roman" w:hAnsi="Times New Roman"/>
          <w:b w:val="0"/>
          <w:i w:val="0"/>
          <w:sz w:val="21"/>
        </w:rPr>
        <w:t xml:space="preserve">Clark, H. H., &amp; Gerrig, R. J. (1984). On the pretense theory of irony. </w:t>
      </w:r>
      <w:r>
        <w:rPr>
          <w:rFonts w:ascii="Times New Roman" w:hAnsi="Times New Roman"/>
          <w:b w:val="0"/>
          <w:i/>
          <w:sz w:val="21"/>
        </w:rPr>
        <w:t>Journal of Experimental Psychology: General</w:t>
      </w:r>
      <w:r>
        <w:rPr>
          <w:rFonts w:ascii="Times New Roman" w:hAnsi="Times New Roman"/>
          <w:b w:val="0"/>
          <w:i w:val="0"/>
          <w:sz w:val="21"/>
        </w:rPr>
        <w:t>, 113(1), 121–126.</w:t>
      </w:r>
    </w:p>
    <w:p>
      <w:pPr>
        <w:pStyle w:val="ListNumber"/>
        <w:spacing w:after="60" w:line="384" w:lineRule="auto"/>
      </w:pPr>
      <w:r>
        <w:rPr>
          <w:rFonts w:ascii="Times New Roman" w:hAnsi="Times New Roman"/>
          <w:b w:val="0"/>
          <w:i w:val="0"/>
          <w:sz w:val="21"/>
        </w:rPr>
        <w:t xml:space="preserve">Coombs, W. T. (2007). Protecting organization reputations during a crisis: The development and application of situational crisis communication theory. </w:t>
      </w:r>
      <w:r>
        <w:rPr>
          <w:rFonts w:ascii="Times New Roman" w:hAnsi="Times New Roman"/>
          <w:b w:val="0"/>
          <w:i/>
          <w:sz w:val="21"/>
        </w:rPr>
        <w:t>Corporate Reputation Review</w:t>
      </w:r>
      <w:r>
        <w:rPr>
          <w:rFonts w:ascii="Times New Roman" w:hAnsi="Times New Roman"/>
          <w:b w:val="0"/>
          <w:i w:val="0"/>
          <w:sz w:val="21"/>
        </w:rPr>
        <w:t>, 10(3), 163–176.</w:t>
      </w:r>
    </w:p>
    <w:p>
      <w:pPr>
        <w:pStyle w:val="ListNumber"/>
        <w:spacing w:after="60" w:line="384" w:lineRule="auto"/>
      </w:pPr>
      <w:r>
        <w:rPr>
          <w:rFonts w:ascii="Times New Roman" w:hAnsi="Times New Roman"/>
          <w:b w:val="0"/>
          <w:i w:val="0"/>
          <w:sz w:val="21"/>
        </w:rPr>
        <w:t xml:space="preserve">Devlin, J., Chang, M.-W., Lee, K., &amp; Toutanova, K. (2018). BERT: Pre-training of deep bidirectional transformers for language understanding. </w:t>
      </w:r>
      <w:r>
        <w:rPr>
          <w:rFonts w:ascii="Times New Roman" w:hAnsi="Times New Roman"/>
          <w:b w:val="0"/>
          <w:i/>
          <w:sz w:val="21"/>
        </w:rPr>
        <w:t>arXiv preprint arXiv:1810.04805</w:t>
      </w:r>
      <w:r>
        <w:rPr>
          <w:rFonts w:ascii="Times New Roman" w:hAnsi="Times New Roman"/>
          <w:b w:val="0"/>
          <w:i w:val="0"/>
          <w:sz w:val="21"/>
        </w:rPr>
        <w:t>.</w:t>
      </w:r>
    </w:p>
    <w:p>
      <w:pPr>
        <w:pStyle w:val="ListNumber"/>
        <w:spacing w:after="60" w:line="384" w:lineRule="auto"/>
      </w:pPr>
      <w:r>
        <w:rPr>
          <w:rFonts w:ascii="Times New Roman" w:hAnsi="Times New Roman"/>
          <w:b w:val="0"/>
          <w:i w:val="0"/>
          <w:sz w:val="21"/>
        </w:rPr>
        <w:t xml:space="preserve">Easton, D. (1965). </w:t>
      </w:r>
      <w:r>
        <w:rPr>
          <w:rFonts w:ascii="Times New Roman" w:hAnsi="Times New Roman"/>
          <w:b w:val="0"/>
          <w:i/>
          <w:sz w:val="21"/>
        </w:rPr>
        <w:t>A Systems Analysis of Political Life</w:t>
      </w:r>
      <w:r>
        <w:rPr>
          <w:rFonts w:ascii="Times New Roman" w:hAnsi="Times New Roman"/>
          <w:b w:val="0"/>
          <w:i w:val="0"/>
          <w:sz w:val="21"/>
        </w:rPr>
        <w:t>. John Wiley &amp; Sons.</w:t>
      </w:r>
    </w:p>
    <w:p>
      <w:pPr>
        <w:pStyle w:val="ListNumber"/>
        <w:spacing w:after="60" w:line="384" w:lineRule="auto"/>
      </w:pPr>
      <w:r>
        <w:rPr>
          <w:rFonts w:ascii="Times New Roman" w:hAnsi="Times New Roman"/>
          <w:b w:val="0"/>
          <w:i w:val="0"/>
          <w:sz w:val="21"/>
        </w:rPr>
        <w:t xml:space="preserve">Edelman, M. (1964). </w:t>
      </w:r>
      <w:r>
        <w:rPr>
          <w:rFonts w:ascii="Times New Roman" w:hAnsi="Times New Roman"/>
          <w:b w:val="0"/>
          <w:i/>
          <w:sz w:val="21"/>
        </w:rPr>
        <w:t>The Symbolic Uses of Politics</w:t>
      </w:r>
      <w:r>
        <w:rPr>
          <w:rFonts w:ascii="Times New Roman" w:hAnsi="Times New Roman"/>
          <w:b w:val="0"/>
          <w:i w:val="0"/>
          <w:sz w:val="21"/>
        </w:rPr>
        <w:t>. University of Illinois Press.</w:t>
      </w:r>
    </w:p>
    <w:p>
      <w:pPr>
        <w:pStyle w:val="ListNumber"/>
        <w:spacing w:after="60" w:line="384" w:lineRule="auto"/>
      </w:pPr>
      <w:r>
        <w:rPr>
          <w:rFonts w:ascii="Times New Roman" w:hAnsi="Times New Roman"/>
          <w:b w:val="0"/>
          <w:i w:val="0"/>
          <w:sz w:val="21"/>
        </w:rPr>
        <w:t xml:space="preserve">Ferrara, E., Varol, O., Davis, C., Menczer, F., &amp; Flammini, A. (2016). The rise of social bots. </w:t>
      </w:r>
      <w:r>
        <w:rPr>
          <w:rFonts w:ascii="Times New Roman" w:hAnsi="Times New Roman"/>
          <w:b w:val="0"/>
          <w:i/>
          <w:sz w:val="21"/>
        </w:rPr>
        <w:t>Communications of the ACM</w:t>
      </w:r>
      <w:r>
        <w:rPr>
          <w:rFonts w:ascii="Times New Roman" w:hAnsi="Times New Roman"/>
          <w:b w:val="0"/>
          <w:i w:val="0"/>
          <w:sz w:val="21"/>
        </w:rPr>
        <w:t>, 59(7), 96–104.</w:t>
      </w:r>
    </w:p>
    <w:p>
      <w:pPr>
        <w:pStyle w:val="ListNumber"/>
        <w:spacing w:after="60" w:line="384" w:lineRule="auto"/>
      </w:pPr>
      <w:r>
        <w:rPr>
          <w:rFonts w:ascii="Times New Roman" w:hAnsi="Times New Roman"/>
          <w:b w:val="0"/>
          <w:i w:val="0"/>
          <w:sz w:val="21"/>
        </w:rPr>
        <w:t xml:space="preserve">Franzke, A. S., Bechmann, A., Zimmer, M., Ess, C., &amp; Association of Internet Researchers. (2020). </w:t>
      </w:r>
      <w:r>
        <w:rPr>
          <w:rFonts w:ascii="Times New Roman" w:hAnsi="Times New Roman"/>
          <w:b w:val="0"/>
          <w:i/>
          <w:sz w:val="21"/>
        </w:rPr>
        <w:t>Internet Research: Ethical Guidelines 3.0</w:t>
      </w:r>
      <w:r>
        <w:rPr>
          <w:rFonts w:ascii="Times New Roman" w:hAnsi="Times New Roman"/>
          <w:b w:val="0"/>
          <w:i w:val="0"/>
          <w:sz w:val="21"/>
        </w:rPr>
        <w:t>.</w:t>
      </w:r>
    </w:p>
    <w:p>
      <w:pPr>
        <w:pStyle w:val="ListNumber"/>
        <w:spacing w:after="60" w:line="384" w:lineRule="auto"/>
      </w:pPr>
      <w:r>
        <w:rPr>
          <w:rFonts w:ascii="Times New Roman" w:hAnsi="Times New Roman"/>
          <w:b w:val="0"/>
          <w:i w:val="0"/>
          <w:sz w:val="21"/>
        </w:rPr>
        <w:t xml:space="preserve">Freeman, L. C. (1979). Centrality in social networks conceptual clarification. </w:t>
      </w:r>
      <w:r>
        <w:rPr>
          <w:rFonts w:ascii="Times New Roman" w:hAnsi="Times New Roman"/>
          <w:b w:val="0"/>
          <w:i/>
          <w:sz w:val="21"/>
        </w:rPr>
        <w:t>Social Networks</w:t>
      </w:r>
      <w:r>
        <w:rPr>
          <w:rFonts w:ascii="Times New Roman" w:hAnsi="Times New Roman"/>
          <w:b w:val="0"/>
          <w:i w:val="0"/>
          <w:sz w:val="21"/>
        </w:rPr>
        <w:t>, 1(3), 215–239.</w:t>
      </w:r>
    </w:p>
    <w:p>
      <w:pPr>
        <w:pStyle w:val="ListNumber"/>
        <w:spacing w:after="60" w:line="384" w:lineRule="auto"/>
      </w:pPr>
      <w:r>
        <w:rPr>
          <w:rFonts w:ascii="Times New Roman" w:hAnsi="Times New Roman"/>
          <w:b w:val="0"/>
          <w:i w:val="0"/>
          <w:sz w:val="21"/>
        </w:rPr>
        <w:t xml:space="preserve">Grice, H. P. (1975). Logic and conversation. In </w:t>
      </w:r>
      <w:r>
        <w:rPr>
          <w:rFonts w:ascii="Times New Roman" w:hAnsi="Times New Roman"/>
          <w:b w:val="0"/>
          <w:i/>
          <w:sz w:val="21"/>
        </w:rPr>
        <w:t>Syntax and Semantics</w:t>
      </w:r>
      <w:r>
        <w:rPr>
          <w:rFonts w:ascii="Times New Roman" w:hAnsi="Times New Roman"/>
          <w:b w:val="0"/>
          <w:i w:val="0"/>
          <w:sz w:val="21"/>
        </w:rPr>
        <w:t xml:space="preserve"> (Vol. 3, pp. 41–58). Academic Press.</w:t>
      </w:r>
    </w:p>
    <w:p>
      <w:pPr>
        <w:pStyle w:val="ListNumber"/>
        <w:spacing w:after="60" w:line="384" w:lineRule="auto"/>
      </w:pPr>
      <w:r>
        <w:rPr>
          <w:rFonts w:ascii="Times New Roman" w:hAnsi="Times New Roman"/>
          <w:b w:val="0"/>
          <w:i w:val="0"/>
          <w:sz w:val="21"/>
        </w:rPr>
        <w:t xml:space="preserve">Gutierrez, R., &amp; Giner-Sorolla, R. (2007). Anger, disgust, and presumption of harm as reactions to taboo-breaking behaviors. </w:t>
      </w:r>
      <w:r>
        <w:rPr>
          <w:rFonts w:ascii="Times New Roman" w:hAnsi="Times New Roman"/>
          <w:b w:val="0"/>
          <w:i/>
          <w:sz w:val="21"/>
        </w:rPr>
        <w:t>Emotion</w:t>
      </w:r>
      <w:r>
        <w:rPr>
          <w:rFonts w:ascii="Times New Roman" w:hAnsi="Times New Roman"/>
          <w:b w:val="0"/>
          <w:i w:val="0"/>
          <w:sz w:val="21"/>
        </w:rPr>
        <w:t>, 7(4), 853–868.</w:t>
      </w:r>
    </w:p>
    <w:p>
      <w:pPr>
        <w:pStyle w:val="ListNumber"/>
        <w:spacing w:after="60" w:line="384" w:lineRule="auto"/>
      </w:pPr>
      <w:r>
        <w:rPr>
          <w:rFonts w:ascii="Times New Roman" w:hAnsi="Times New Roman"/>
          <w:b w:val="0"/>
          <w:i w:val="0"/>
          <w:sz w:val="21"/>
        </w:rPr>
        <w:t xml:space="preserve">Guzman, A. L., &amp; Lewis, S. C. (2020). Artificial intelligence and communication: A Human–Machine Communication research agenda. </w:t>
      </w:r>
      <w:r>
        <w:rPr>
          <w:rFonts w:ascii="Times New Roman" w:hAnsi="Times New Roman"/>
          <w:b w:val="0"/>
          <w:i/>
          <w:sz w:val="21"/>
        </w:rPr>
        <w:t>New Media &amp; Society</w:t>
      </w:r>
      <w:r>
        <w:rPr>
          <w:rFonts w:ascii="Times New Roman" w:hAnsi="Times New Roman"/>
          <w:b w:val="0"/>
          <w:i w:val="0"/>
          <w:sz w:val="21"/>
        </w:rPr>
        <w:t>, 22(1), 70–86.</w:t>
      </w:r>
    </w:p>
    <w:p>
      <w:pPr>
        <w:pStyle w:val="ListNumber"/>
        <w:spacing w:after="60" w:line="384" w:lineRule="auto"/>
      </w:pPr>
      <w:r>
        <w:rPr>
          <w:rFonts w:ascii="Times New Roman" w:hAnsi="Times New Roman"/>
          <w:b w:val="0"/>
          <w:i w:val="0"/>
          <w:sz w:val="21"/>
        </w:rPr>
        <w:t xml:space="preserve">Habermas, J. (1989). </w:t>
      </w:r>
      <w:r>
        <w:rPr>
          <w:rFonts w:ascii="Times New Roman" w:hAnsi="Times New Roman"/>
          <w:b w:val="0"/>
          <w:i/>
          <w:sz w:val="21"/>
        </w:rPr>
        <w:t>The Structural Transformation of the Public Sphere</w:t>
      </w:r>
      <w:r>
        <w:rPr>
          <w:rFonts w:ascii="Times New Roman" w:hAnsi="Times New Roman"/>
          <w:b w:val="0"/>
          <w:i w:val="0"/>
          <w:sz w:val="21"/>
        </w:rPr>
        <w:t>. MIT Press.</w:t>
      </w:r>
    </w:p>
    <w:p>
      <w:pPr>
        <w:pStyle w:val="ListNumber"/>
        <w:spacing w:after="60" w:line="384" w:lineRule="auto"/>
      </w:pPr>
      <w:r>
        <w:rPr>
          <w:rFonts w:ascii="Times New Roman" w:hAnsi="Times New Roman"/>
          <w:b w:val="0"/>
          <w:i w:val="0"/>
          <w:sz w:val="21"/>
        </w:rPr>
        <w:t xml:space="preserve">Kotler, P., Kartajaya, H., &amp; Setiawan, I. (2023). </w:t>
      </w:r>
      <w:r>
        <w:rPr>
          <w:rFonts w:ascii="Times New Roman" w:hAnsi="Times New Roman"/>
          <w:b w:val="0"/>
          <w:i/>
          <w:sz w:val="21"/>
        </w:rPr>
        <w:t>Marketing 6.0: The Future Is Immersive</w:t>
      </w:r>
      <w:r>
        <w:rPr>
          <w:rFonts w:ascii="Times New Roman" w:hAnsi="Times New Roman"/>
          <w:b w:val="0"/>
          <w:i w:val="0"/>
          <w:sz w:val="21"/>
        </w:rPr>
        <w:t>. John Wiley &amp; Sons.</w:t>
      </w:r>
    </w:p>
    <w:p>
      <w:pPr>
        <w:pStyle w:val="ListNumber"/>
        <w:spacing w:after="60" w:line="384" w:lineRule="auto"/>
      </w:pPr>
      <w:r>
        <w:rPr>
          <w:rFonts w:ascii="Times New Roman" w:hAnsi="Times New Roman"/>
          <w:b w:val="0"/>
          <w:i w:val="0"/>
          <w:sz w:val="21"/>
        </w:rPr>
        <w:t xml:space="preserve">Koto, F., Rahimi, A., Lau, J. H., &amp; Baldwin, T. (2020). IndoLEM and IndoBERT: A benchmark dataset and pre-trained language model for Indonesian NLP. </w:t>
      </w:r>
      <w:r>
        <w:rPr>
          <w:rFonts w:ascii="Times New Roman" w:hAnsi="Times New Roman"/>
          <w:b w:val="0"/>
          <w:i/>
          <w:sz w:val="21"/>
        </w:rPr>
        <w:t>COLING 2020</w:t>
      </w:r>
      <w:r>
        <w:rPr>
          <w:rFonts w:ascii="Times New Roman" w:hAnsi="Times New Roman"/>
          <w:b w:val="0"/>
          <w:i w:val="0"/>
          <w:sz w:val="21"/>
        </w:rPr>
        <w:t>, 757–770.</w:t>
      </w:r>
    </w:p>
    <w:p>
      <w:pPr>
        <w:pStyle w:val="ListNumber"/>
        <w:spacing w:after="60" w:line="384" w:lineRule="auto"/>
      </w:pPr>
      <w:r>
        <w:rPr>
          <w:rFonts w:ascii="Times New Roman" w:hAnsi="Times New Roman"/>
          <w:b w:val="0"/>
          <w:i w:val="0"/>
          <w:sz w:val="21"/>
        </w:rPr>
        <w:t xml:space="preserve">Krivitsky, P. N., &amp; Handcock, M. S. (2014). A separable model for dynamic networks via ergms. </w:t>
      </w:r>
      <w:r>
        <w:rPr>
          <w:rFonts w:ascii="Times New Roman" w:hAnsi="Times New Roman"/>
          <w:b w:val="0"/>
          <w:i/>
          <w:sz w:val="21"/>
        </w:rPr>
        <w:t>Journal of the Royal Statistical Society: Series B</w:t>
      </w:r>
      <w:r>
        <w:rPr>
          <w:rFonts w:ascii="Times New Roman" w:hAnsi="Times New Roman"/>
          <w:b w:val="0"/>
          <w:i w:val="0"/>
          <w:sz w:val="21"/>
        </w:rPr>
        <w:t>, 76(1), 29–46.</w:t>
      </w:r>
    </w:p>
    <w:p>
      <w:pPr>
        <w:pStyle w:val="ListNumber"/>
        <w:spacing w:after="60" w:line="384" w:lineRule="auto"/>
      </w:pPr>
      <w:r>
        <w:rPr>
          <w:rFonts w:ascii="Times New Roman" w:hAnsi="Times New Roman"/>
          <w:b w:val="0"/>
          <w:i w:val="0"/>
          <w:sz w:val="21"/>
        </w:rPr>
        <w:t xml:space="preserve">Meraz, S., &amp; Papacharissi, Z. (2013). Networked gatekeeping and networked framing on #Egypt. </w:t>
      </w:r>
      <w:r>
        <w:rPr>
          <w:rFonts w:ascii="Times New Roman" w:hAnsi="Times New Roman"/>
          <w:b w:val="0"/>
          <w:i/>
          <w:sz w:val="21"/>
        </w:rPr>
        <w:t>The International Journal of Press/Politics</w:t>
      </w:r>
      <w:r>
        <w:rPr>
          <w:rFonts w:ascii="Times New Roman" w:hAnsi="Times New Roman"/>
          <w:b w:val="0"/>
          <w:i w:val="0"/>
          <w:sz w:val="21"/>
        </w:rPr>
        <w:t>, 18(2), 138–166.</w:t>
      </w:r>
    </w:p>
    <w:p>
      <w:pPr>
        <w:pStyle w:val="ListNumber"/>
        <w:spacing w:after="60" w:line="384" w:lineRule="auto"/>
      </w:pPr>
      <w:r>
        <w:rPr>
          <w:rFonts w:ascii="Times New Roman" w:hAnsi="Times New Roman"/>
          <w:b w:val="0"/>
          <w:i w:val="0"/>
          <w:sz w:val="21"/>
        </w:rPr>
        <w:t xml:space="preserve">Newman, M. E. (2006). Modularity and community structure in networks. </w:t>
      </w:r>
      <w:r>
        <w:rPr>
          <w:rFonts w:ascii="Times New Roman" w:hAnsi="Times New Roman"/>
          <w:b w:val="0"/>
          <w:i/>
          <w:sz w:val="21"/>
        </w:rPr>
        <w:t>Proceedings of the National Academy of Sciences</w:t>
      </w:r>
      <w:r>
        <w:rPr>
          <w:rFonts w:ascii="Times New Roman" w:hAnsi="Times New Roman"/>
          <w:b w:val="0"/>
          <w:i w:val="0"/>
          <w:sz w:val="21"/>
        </w:rPr>
        <w:t>, 103(23), 8577–8582.</w:t>
      </w:r>
    </w:p>
    <w:p>
      <w:pPr>
        <w:pStyle w:val="ListNumber"/>
        <w:spacing w:after="60" w:line="384" w:lineRule="auto"/>
      </w:pPr>
      <w:r>
        <w:rPr>
          <w:rFonts w:ascii="Times New Roman" w:hAnsi="Times New Roman"/>
          <w:b w:val="0"/>
          <w:i w:val="0"/>
          <w:sz w:val="21"/>
        </w:rPr>
        <w:t xml:space="preserve">Papacharissi, Z. (2015). </w:t>
      </w:r>
      <w:r>
        <w:rPr>
          <w:rFonts w:ascii="Times New Roman" w:hAnsi="Times New Roman"/>
          <w:b w:val="0"/>
          <w:i/>
          <w:sz w:val="21"/>
        </w:rPr>
        <w:t>Affective Publics: Sentiment, Technology, and Politics</w:t>
      </w:r>
      <w:r>
        <w:rPr>
          <w:rFonts w:ascii="Times New Roman" w:hAnsi="Times New Roman"/>
          <w:b w:val="0"/>
          <w:i w:val="0"/>
          <w:sz w:val="21"/>
        </w:rPr>
        <w:t>. Oxford University Press.</w:t>
      </w:r>
    </w:p>
    <w:p>
      <w:pPr>
        <w:pStyle w:val="ListNumber"/>
        <w:spacing w:after="60" w:line="384" w:lineRule="auto"/>
      </w:pPr>
      <w:r>
        <w:rPr>
          <w:rFonts w:ascii="Times New Roman" w:hAnsi="Times New Roman"/>
          <w:b w:val="0"/>
          <w:i w:val="0"/>
          <w:sz w:val="21"/>
        </w:rPr>
        <w:t xml:space="preserve">Rozin, P., Haidt, J., &amp; McCauley, C. R. (2000). Disgust. In </w:t>
      </w:r>
      <w:r>
        <w:rPr>
          <w:rFonts w:ascii="Times New Roman" w:hAnsi="Times New Roman"/>
          <w:b w:val="0"/>
          <w:i/>
          <w:sz w:val="21"/>
        </w:rPr>
        <w:t>Handbook of Emotions</w:t>
      </w:r>
      <w:r>
        <w:rPr>
          <w:rFonts w:ascii="Times New Roman" w:hAnsi="Times New Roman"/>
          <w:b w:val="0"/>
          <w:i w:val="0"/>
          <w:sz w:val="21"/>
        </w:rPr>
        <w:t xml:space="preserve"> (2nd ed., pp. 637–653). Guilford Press.</w:t>
      </w:r>
    </w:p>
    <w:p>
      <w:pPr>
        <w:pStyle w:val="ListNumber"/>
        <w:spacing w:after="60" w:line="384" w:lineRule="auto"/>
      </w:pPr>
      <w:r>
        <w:rPr>
          <w:rFonts w:ascii="Times New Roman" w:hAnsi="Times New Roman"/>
          <w:b w:val="0"/>
          <w:i w:val="0"/>
          <w:sz w:val="21"/>
        </w:rPr>
        <w:t xml:space="preserve">Scott, J. C. (1985). </w:t>
      </w:r>
      <w:r>
        <w:rPr>
          <w:rFonts w:ascii="Times New Roman" w:hAnsi="Times New Roman"/>
          <w:b w:val="0"/>
          <w:i/>
          <w:sz w:val="21"/>
        </w:rPr>
        <w:t>Weapons of the Weak: Everyday Forms of Peasant Resistance</w:t>
      </w:r>
      <w:r>
        <w:rPr>
          <w:rFonts w:ascii="Times New Roman" w:hAnsi="Times New Roman"/>
          <w:b w:val="0"/>
          <w:i w:val="0"/>
          <w:sz w:val="21"/>
        </w:rPr>
        <w:t>. Yale University Press.</w:t>
      </w:r>
    </w:p>
    <w:p>
      <w:pPr>
        <w:pStyle w:val="ListNumber"/>
        <w:spacing w:after="60" w:line="384" w:lineRule="auto"/>
      </w:pPr>
      <w:r>
        <w:rPr>
          <w:rFonts w:ascii="Times New Roman" w:hAnsi="Times New Roman"/>
          <w:b w:val="0"/>
          <w:i w:val="0"/>
          <w:sz w:val="21"/>
        </w:rPr>
        <w:t xml:space="preserve">Shaw, F., Burgess, J., &amp; Bruns, A. (2025). The platform dynamics of policy discourse: Cross-platform public responses to welfare reforms. </w:t>
      </w:r>
      <w:r>
        <w:rPr>
          <w:rFonts w:ascii="Times New Roman" w:hAnsi="Times New Roman"/>
          <w:b w:val="0"/>
          <w:i/>
          <w:sz w:val="21"/>
        </w:rPr>
        <w:t>Social Network Analysis and Mining</w:t>
      </w:r>
      <w:r>
        <w:rPr>
          <w:rFonts w:ascii="Times New Roman" w:hAnsi="Times New Roman"/>
          <w:b w:val="0"/>
          <w:i w:val="0"/>
          <w:sz w:val="21"/>
        </w:rPr>
        <w:t>, 15(1), 42–58.</w:t>
      </w:r>
    </w:p>
    <w:p>
      <w:pPr>
        <w:pStyle w:val="ListNumber"/>
        <w:spacing w:after="60" w:line="384" w:lineRule="auto"/>
      </w:pPr>
      <w:r>
        <w:rPr>
          <w:rFonts w:ascii="Times New Roman" w:hAnsi="Times New Roman"/>
          <w:b w:val="0"/>
          <w:i w:val="0"/>
          <w:sz w:val="21"/>
        </w:rPr>
        <w:t xml:space="preserve">Snijders, T. A., van de Bunt, G. G., &amp; Steglich, C. E. (2010). Introduction to stochastic actor-based models for network dynamics. </w:t>
      </w:r>
      <w:r>
        <w:rPr>
          <w:rFonts w:ascii="Times New Roman" w:hAnsi="Times New Roman"/>
          <w:b w:val="0"/>
          <w:i/>
          <w:sz w:val="21"/>
        </w:rPr>
        <w:t>Social Networks</w:t>
      </w:r>
      <w:r>
        <w:rPr>
          <w:rFonts w:ascii="Times New Roman" w:hAnsi="Times New Roman"/>
          <w:b w:val="0"/>
          <w:i w:val="0"/>
          <w:sz w:val="21"/>
        </w:rPr>
        <w:t>, 32(1), 44–60.</w:t>
      </w:r>
    </w:p>
    <w:p>
      <w:pPr>
        <w:pStyle w:val="ListNumber"/>
        <w:spacing w:after="60" w:line="384" w:lineRule="auto"/>
      </w:pPr>
      <w:r>
        <w:rPr>
          <w:rFonts w:ascii="Times New Roman" w:hAnsi="Times New Roman"/>
          <w:b w:val="0"/>
          <w:i w:val="0"/>
          <w:sz w:val="21"/>
        </w:rPr>
        <w:t xml:space="preserve">Sundar, S. S. (2008). The MAIN model: A heuristic approach to understanding technology effects on credibility. </w:t>
      </w:r>
      <w:r>
        <w:rPr>
          <w:rFonts w:ascii="Times New Roman" w:hAnsi="Times New Roman"/>
          <w:b w:val="0"/>
          <w:i/>
          <w:sz w:val="21"/>
        </w:rPr>
        <w:t>Digital Media, Youth, and Credibility</w:t>
      </w:r>
      <w:r>
        <w:rPr>
          <w:rFonts w:ascii="Times New Roman" w:hAnsi="Times New Roman"/>
          <w:b w:val="0"/>
          <w:i w:val="0"/>
          <w:sz w:val="21"/>
        </w:rPr>
        <w:t>, 73–100.</w:t>
      </w:r>
    </w:p>
    <w:p>
      <w:pPr>
        <w:pStyle w:val="ListNumber"/>
        <w:spacing w:after="60" w:line="384" w:lineRule="auto"/>
      </w:pPr>
      <w:r>
        <w:rPr>
          <w:rFonts w:ascii="Times New Roman" w:hAnsi="Times New Roman"/>
          <w:b w:val="0"/>
          <w:i w:val="0"/>
          <w:sz w:val="21"/>
        </w:rPr>
        <w:t xml:space="preserve">van Dijck, J., Poell, T., &amp; de Waal, M. (2018). </w:t>
      </w:r>
      <w:r>
        <w:rPr>
          <w:rFonts w:ascii="Times New Roman" w:hAnsi="Times New Roman"/>
          <w:b w:val="0"/>
          <w:i/>
          <w:sz w:val="21"/>
        </w:rPr>
        <w:t>The Platform Society: Public Values in a Connective World</w:t>
      </w:r>
      <w:r>
        <w:rPr>
          <w:rFonts w:ascii="Times New Roman" w:hAnsi="Times New Roman"/>
          <w:b w:val="0"/>
          <w:i w:val="0"/>
          <w:sz w:val="21"/>
        </w:rPr>
        <w:t>. Oxford University Press.</w:t>
      </w:r>
    </w:p>
    <w:p>
      <w:pPr>
        <w:pStyle w:val="ListNumber"/>
        <w:spacing w:after="60" w:line="384" w:lineRule="auto"/>
      </w:pPr>
      <w:r>
        <w:rPr>
          <w:rFonts w:ascii="Times New Roman" w:hAnsi="Times New Roman"/>
          <w:b w:val="0"/>
          <w:i w:val="0"/>
          <w:sz w:val="21"/>
        </w:rPr>
        <w:t xml:space="preserve">Wasserman, S., &amp; Faust, K. (1994). </w:t>
      </w:r>
      <w:r>
        <w:rPr>
          <w:rFonts w:ascii="Times New Roman" w:hAnsi="Times New Roman"/>
          <w:b w:val="0"/>
          <w:i/>
          <w:sz w:val="21"/>
        </w:rPr>
        <w:t>Social Network Analysis: Methods and Applications</w:t>
      </w:r>
      <w:r>
        <w:rPr>
          <w:rFonts w:ascii="Times New Roman" w:hAnsi="Times New Roman"/>
          <w:b w:val="0"/>
          <w:i w:val="0"/>
          <w:sz w:val="21"/>
        </w:rPr>
        <w:t>. Cambridge University Press.</w:t>
      </w:r>
    </w:p>
    <w:p>
      <w:pPr>
        <w:pStyle w:val="ListNumber"/>
        <w:spacing w:after="60" w:line="384" w:lineRule="auto"/>
      </w:pPr>
      <w:r>
        <w:rPr>
          <w:rFonts w:ascii="Times New Roman" w:hAnsi="Times New Roman"/>
          <w:b w:val="0"/>
          <w:i w:val="0"/>
          <w:sz w:val="21"/>
        </w:rPr>
        <w:t xml:space="preserve">Wilie, B., Vincentio, K., Winata, G. I., Cahyawijaya, S., Li, X., Lim, Z. Y., Soleman, S., Mahendra, R., Pascual, P., Ryandito, M., &amp; Purwarianti, A. (2020). IndoNLU: Benchmark and resources for evaluating Indonesian natural language understanding. </w:t>
      </w:r>
      <w:r>
        <w:rPr>
          <w:rFonts w:ascii="Times New Roman" w:hAnsi="Times New Roman"/>
          <w:b w:val="0"/>
          <w:i/>
          <w:sz w:val="21"/>
        </w:rPr>
        <w:t>AACL-IJCNLP 2020</w:t>
      </w:r>
      <w:r>
        <w:rPr>
          <w:rFonts w:ascii="Times New Roman" w:hAnsi="Times New Roman"/>
          <w:b w:val="0"/>
          <w:i w:val="0"/>
          <w:sz w:val="21"/>
        </w:rPr>
        <w:t>, 843–860.</w:t>
      </w:r>
    </w:p>
    <w:p>
      <w:pPr>
        <w:spacing w:before="320" w:after="100" w:line="288" w:lineRule="auto"/>
        <w:jc w:val="left"/>
      </w:pPr>
      <w:r>
        <w:rPr>
          <w:rFonts w:ascii="Times New Roman" w:hAnsi="Times New Roman"/>
          <w:b/>
          <w:i w:val="0"/>
          <w:color w:val="0F172A"/>
          <w:sz w:val="24"/>
        </w:rPr>
        <w:t>APPENDIX A: ALGORITHMIC REPLICATION INVENTORY AND BENCHMARK REGISTRIES</w:t>
      </w:r>
    </w:p>
    <w:p>
      <w:pPr>
        <w:spacing w:before="0" w:after="100" w:line="384" w:lineRule="auto"/>
        <w:ind w:firstLine="360"/>
        <w:jc w:val="both"/>
      </w:pPr>
      <w:r>
        <w:rPr>
          <w:rFonts w:ascii="Times New Roman" w:hAnsi="Times New Roman"/>
          <w:b w:val="0"/>
          <w:i w:val="0"/>
          <w:sz w:val="21"/>
        </w:rPr>
        <w:t>In strict adherence to Open Science policies mandated by the International Communication Association (ICA) and Oxford University Press, all research replication materials are permanently deposited in the Zenodo open-access archive (DOI: 10.5281/zenodo.11029482) and the public GitHub mirror (https://github.com/indri007/ThisIsEconomy).</w:t>
      </w:r>
    </w:p>
    <w:p>
      <w:pPr>
        <w:spacing w:before="0" w:after="100" w:line="384" w:lineRule="auto"/>
        <w:ind w:firstLine="360"/>
        <w:jc w:val="both"/>
      </w:pPr>
      <w:r>
        <w:rPr>
          <w:rFonts w:ascii="Times New Roman" w:hAnsi="Times New Roman"/>
          <w:b w:val="0"/>
          <w:i w:val="0"/>
          <w:sz w:val="21"/>
        </w:rPr>
        <w:t>Table A1 documents the physical repository artifacts, computational pipeline modules, and corresponding output empirical tensors that guarantee independent reproduction of all findings reported in this paper.</w:t>
      </w:r>
    </w:p>
    <w:p>
      <w:pPr>
        <w:spacing w:before="280" w:after="60" w:line="276" w:lineRule="auto"/>
        <w:jc w:val="left"/>
      </w:pPr>
      <w:r>
        <w:rPr>
          <w:rFonts w:ascii="Times New Roman" w:hAnsi="Times New Roman"/>
          <w:b/>
          <w:i w:val="0"/>
          <w:color w:val="0F172A"/>
          <w:sz w:val="21"/>
        </w:rPr>
        <w:t>Table A1: Algorithmic Replication Inventory of Computational Pipelines, Artifacts, and Benchmark Datasets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Replication Component</w:t>
            </w:r>
          </w:p>
        </w:tc>
        <w:tc>
          <w:tcPr>
            <w:tcW w:type="dxa" w:w="234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Physical Repository File Path</w:t>
            </w:r>
          </w:p>
        </w:tc>
        <w:tc>
          <w:tcPr>
            <w:tcW w:type="dxa" w:w="234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Computational Function &amp; Description</w:t>
            </w:r>
          </w:p>
        </w:tc>
        <w:tc>
          <w:tcPr>
            <w:tcW w:type="dxa" w:w="2340"/>
            <w:tcMar>
              <w:top w:w="60" w:type="dxa"/>
              <w:bottom w:w="60" w:type="dxa"/>
              <w:left w:w="80" w:type="dxa"/>
              <w:right w:w="80" w:type="dxa"/>
            </w:tcMar>
            <w:shd w:fill="F1F5F9"/>
            <w:tcBorders>
              <w:top w:val="single" w:sz="10" w:space="0" w:color="000000"/>
              <w:bottom w:val="single" w:sz="8" w:space="0" w:color="000000"/>
            </w:tcBorders>
          </w:tcPr>
          <w:p>
            <w:pPr>
              <w:spacing w:before="50" w:after="50" w:line="252" w:lineRule="auto"/>
            </w:pPr>
            <w:r>
              <w:rPr>
                <w:rFonts w:ascii="Times New Roman" w:hAnsi="Times New Roman"/>
                <w:b/>
                <w:i w:val="0"/>
                <w:sz w:val="17"/>
              </w:rPr>
              <w:t>Output Benchmark Artefacts</w:t>
            </w:r>
          </w:p>
        </w:tc>
      </w:tr>
      <w:tr>
        <w:tc>
          <w:tcPr>
            <w:tcW w:type="dxa" w:w="2340"/>
            <w:tcMar>
              <w:top w:w="60" w:type="dxa"/>
              <w:bottom w:w="60" w:type="dxa"/>
              <w:left w:w="80" w:type="dxa"/>
              <w:right w:w="80" w:type="dxa"/>
            </w:tcMar>
          </w:tcPr>
          <w:p>
            <w:pPr>
              <w:spacing w:before="50" w:after="50" w:line="252" w:lineRule="auto"/>
            </w:pPr>
            <w:r>
              <w:rPr>
                <w:rFonts w:ascii="Times New Roman" w:hAnsi="Times New Roman"/>
                <w:b/>
                <w:i w:val="0"/>
                <w:sz w:val="17"/>
              </w:rPr>
              <w:t>Directed SNA Topology</w:t>
            </w:r>
          </w:p>
        </w:tc>
        <w:tc>
          <w:tcPr>
            <w:tcW w:type="dxa" w:w="2340"/>
            <w:tcMar>
              <w:top w:w="60" w:type="dxa"/>
              <w:bottom w:w="60" w:type="dxa"/>
              <w:left w:w="80" w:type="dxa"/>
              <w:right w:w="80" w:type="dxa"/>
            </w:tcMar>
          </w:tcPr>
          <w:p>
            <w:pPr>
              <w:spacing w:before="50" w:after="50" w:line="252" w:lineRule="auto"/>
            </w:pPr>
          </w:p>
        </w:tc>
        <w:tc>
          <w:tcPr>
            <w:tcW w:type="dxa" w:w="2340"/>
            <w:tcMar>
              <w:top w:w="60" w:type="dxa"/>
              <w:bottom w:w="60" w:type="dxa"/>
              <w:left w:w="80" w:type="dxa"/>
              <w:right w:w="80" w:type="dxa"/>
            </w:tcMar>
          </w:tcPr>
          <w:p>
            <w:pPr>
              <w:spacing w:before="50" w:after="50" w:line="252" w:lineRule="auto"/>
            </w:pPr>
            <w:r>
              <w:rPr>
                <w:rFonts w:ascii="Times New Roman" w:hAnsi="Times New Roman"/>
                <w:b w:val="0"/>
                <w:i w:val="0"/>
                <w:sz w:val="17"/>
              </w:rPr>
              <w:t>Calculates network density, reciprocity, components, and Louvain modularity</w:t>
            </w:r>
          </w:p>
        </w:tc>
        <w:tc>
          <w:tcPr>
            <w:tcW w:type="dxa" w:w="2340"/>
            <w:tcMar>
              <w:top w:w="60" w:type="dxa"/>
              <w:bottom w:w="60" w:type="dxa"/>
              <w:left w:w="80" w:type="dxa"/>
              <w:right w:w="80" w:type="dxa"/>
            </w:tcMar>
          </w:tcPr>
          <w:p>
            <w:pPr>
              <w:spacing w:before="50" w:after="50" w:line="252" w:lineRule="auto"/>
            </w:pPr>
          </w:p>
        </w:tc>
      </w:tr>
      <w:tr>
        <w:tc>
          <w:tcPr>
            <w:tcW w:type="dxa" w:w="2340"/>
            <w:tcMar>
              <w:top w:w="60" w:type="dxa"/>
              <w:bottom w:w="60" w:type="dxa"/>
              <w:left w:w="80" w:type="dxa"/>
              <w:right w:w="80" w:type="dxa"/>
            </w:tcMar>
          </w:tcPr>
          <w:p>
            <w:pPr>
              <w:spacing w:before="50" w:after="50" w:line="252" w:lineRule="auto"/>
            </w:pPr>
            <w:r>
              <w:rPr>
                <w:rFonts w:ascii="Times New Roman" w:hAnsi="Times New Roman"/>
                <w:b/>
                <w:i w:val="0"/>
                <w:sz w:val="17"/>
              </w:rPr>
              <w:t>SNA Robustness &amp; Sensitivity</w:t>
            </w:r>
          </w:p>
        </w:tc>
        <w:tc>
          <w:tcPr>
            <w:tcW w:type="dxa" w:w="2340"/>
            <w:tcMar>
              <w:top w:w="60" w:type="dxa"/>
              <w:bottom w:w="60" w:type="dxa"/>
              <w:left w:w="80" w:type="dxa"/>
              <w:right w:w="80" w:type="dxa"/>
            </w:tcMar>
          </w:tcPr>
          <w:p>
            <w:pPr>
              <w:spacing w:before="50" w:after="50" w:line="252" w:lineRule="auto"/>
            </w:pPr>
          </w:p>
        </w:tc>
        <w:tc>
          <w:tcPr>
            <w:tcW w:type="dxa" w:w="2340"/>
            <w:tcMar>
              <w:top w:w="60" w:type="dxa"/>
              <w:bottom w:w="60" w:type="dxa"/>
              <w:left w:w="80" w:type="dxa"/>
              <w:right w:w="80" w:type="dxa"/>
            </w:tcMar>
          </w:tcPr>
          <w:p>
            <w:pPr>
              <w:spacing w:before="50" w:after="50" w:line="252" w:lineRule="auto"/>
            </w:pPr>
            <w:r>
              <w:rPr>
                <w:rFonts w:ascii="Times New Roman" w:hAnsi="Times New Roman"/>
                <w:b w:val="0"/>
                <w:i w:val="0"/>
                <w:sz w:val="17"/>
              </w:rPr>
              <w:t>Executes Monte Carlo edge perturbation, resolution parameter sweeps, and stability tests</w:t>
            </w:r>
          </w:p>
        </w:tc>
        <w:tc>
          <w:tcPr>
            <w:tcW w:type="dxa" w:w="2340"/>
            <w:tcMar>
              <w:top w:w="60" w:type="dxa"/>
              <w:bottom w:w="60" w:type="dxa"/>
              <w:left w:w="80" w:type="dxa"/>
              <w:right w:w="80" w:type="dxa"/>
            </w:tcMar>
          </w:tcPr>
          <w:p>
            <w:pPr>
              <w:spacing w:before="50" w:after="50" w:line="252" w:lineRule="auto"/>
            </w:pPr>
          </w:p>
        </w:tc>
      </w:tr>
      <w:tr>
        <w:tc>
          <w:tcPr>
            <w:tcW w:type="dxa" w:w="2340"/>
            <w:tcMar>
              <w:top w:w="60" w:type="dxa"/>
              <w:bottom w:w="60" w:type="dxa"/>
              <w:left w:w="80" w:type="dxa"/>
              <w:right w:w="80" w:type="dxa"/>
            </w:tcMar>
          </w:tcPr>
          <w:p>
            <w:pPr>
              <w:spacing w:before="50" w:after="50" w:line="252" w:lineRule="auto"/>
            </w:pPr>
            <w:r>
              <w:rPr>
                <w:rFonts w:ascii="Times New Roman" w:hAnsi="Times New Roman"/>
                <w:b/>
                <w:i w:val="0"/>
                <w:sz w:val="17"/>
              </w:rPr>
              <w:t>IndoBERT Protocol v2 Holdout</w:t>
            </w:r>
          </w:p>
        </w:tc>
        <w:tc>
          <w:tcPr>
            <w:tcW w:type="dxa" w:w="2340"/>
            <w:tcMar>
              <w:top w:w="60" w:type="dxa"/>
              <w:bottom w:w="60" w:type="dxa"/>
              <w:left w:w="80" w:type="dxa"/>
              <w:right w:w="80" w:type="dxa"/>
            </w:tcMar>
          </w:tcPr>
          <w:p>
            <w:pPr>
              <w:spacing w:before="50" w:after="50" w:line="252" w:lineRule="auto"/>
            </w:pPr>
          </w:p>
        </w:tc>
        <w:tc>
          <w:tcPr>
            <w:tcW w:type="dxa" w:w="2340"/>
            <w:tcMar>
              <w:top w:w="60" w:type="dxa"/>
              <w:bottom w:w="60" w:type="dxa"/>
              <w:left w:w="80" w:type="dxa"/>
              <w:right w:w="80" w:type="dxa"/>
            </w:tcMar>
          </w:tcPr>
          <w:p>
            <w:pPr>
              <w:spacing w:before="50" w:after="50" w:line="252" w:lineRule="auto"/>
            </w:pPr>
            <w:r/>
            <w:r>
              <w:rPr>
                <w:rFonts w:ascii="Times New Roman" w:hAnsi="Times New Roman"/>
                <w:sz w:val="20"/>
              </w:rPr>
              <w:t>Runs zero-leakage GroupShuffleSplit evaluation ( = 1,058$) on fine-tuned transformer weights</w:t>
            </w:r>
          </w:p>
        </w:tc>
        <w:tc>
          <w:tcPr>
            <w:tcW w:type="dxa" w:w="2340"/>
            <w:tcMar>
              <w:top w:w="60" w:type="dxa"/>
              <w:bottom w:w="60" w:type="dxa"/>
              <w:left w:w="80" w:type="dxa"/>
              <w:right w:w="80" w:type="dxa"/>
            </w:tcMar>
          </w:tcPr>
          <w:p>
            <w:pPr>
              <w:spacing w:before="50" w:after="50" w:line="252" w:lineRule="auto"/>
            </w:pPr>
          </w:p>
        </w:tc>
      </w:tr>
      <w:tr>
        <w:tc>
          <w:tcPr>
            <w:tcW w:type="dxa" w:w="2340"/>
            <w:tcMar>
              <w:top w:w="60" w:type="dxa"/>
              <w:bottom w:w="60" w:type="dxa"/>
              <w:left w:w="80" w:type="dxa"/>
              <w:right w:w="80" w:type="dxa"/>
            </w:tcMar>
          </w:tcPr>
          <w:p>
            <w:pPr>
              <w:spacing w:before="50" w:after="50" w:line="252" w:lineRule="auto"/>
            </w:pPr>
            <w:r>
              <w:rPr>
                <w:rFonts w:ascii="Times New Roman" w:hAnsi="Times New Roman"/>
                <w:b/>
                <w:i w:val="0"/>
                <w:sz w:val="17"/>
              </w:rPr>
              <w:t>Aspect Category Sentiment (ABSA)</w:t>
            </w:r>
          </w:p>
        </w:tc>
        <w:tc>
          <w:tcPr>
            <w:tcW w:type="dxa" w:w="2340"/>
            <w:tcMar>
              <w:top w:w="60" w:type="dxa"/>
              <w:bottom w:w="60" w:type="dxa"/>
              <w:left w:w="80" w:type="dxa"/>
              <w:right w:w="80" w:type="dxa"/>
            </w:tcMar>
          </w:tcPr>
          <w:p>
            <w:pPr>
              <w:spacing w:before="50" w:after="50" w:line="252" w:lineRule="auto"/>
            </w:pPr>
          </w:p>
        </w:tc>
        <w:tc>
          <w:tcPr>
            <w:tcW w:type="dxa" w:w="2340"/>
            <w:tcMar>
              <w:top w:w="60" w:type="dxa"/>
              <w:bottom w:w="60" w:type="dxa"/>
              <w:left w:w="80" w:type="dxa"/>
              <w:right w:w="80" w:type="dxa"/>
            </w:tcMar>
          </w:tcPr>
          <w:p>
            <w:pPr>
              <w:spacing w:before="50" w:after="50" w:line="252" w:lineRule="auto"/>
            </w:pPr>
            <w:r>
              <w:rPr>
                <w:rFonts w:ascii="Times New Roman" w:hAnsi="Times New Roman"/>
                <w:b w:val="0"/>
                <w:i w:val="0"/>
                <w:sz w:val="17"/>
              </w:rPr>
              <w:t>Extracts policy facets (Budget, Logistics, Quality) and cross-classifies emotion polarities</w:t>
            </w:r>
          </w:p>
        </w:tc>
        <w:tc>
          <w:tcPr>
            <w:tcW w:type="dxa" w:w="2340"/>
            <w:tcMar>
              <w:top w:w="60" w:type="dxa"/>
              <w:bottom w:w="60" w:type="dxa"/>
              <w:left w:w="80" w:type="dxa"/>
              <w:right w:w="80" w:type="dxa"/>
            </w:tcMar>
          </w:tcPr>
          <w:p>
            <w:pPr>
              <w:spacing w:before="50" w:after="50" w:line="252" w:lineRule="auto"/>
            </w:pPr>
          </w:p>
        </w:tc>
      </w:tr>
      <w:tr>
        <w:tc>
          <w:tcPr>
            <w:tcW w:type="dxa" w:w="2340"/>
            <w:tcMar>
              <w:top w:w="60" w:type="dxa"/>
              <w:bottom w:w="60" w:type="dxa"/>
              <w:left w:w="80" w:type="dxa"/>
              <w:right w:w="80" w:type="dxa"/>
            </w:tcMar>
          </w:tcPr>
          <w:p>
            <w:pPr>
              <w:spacing w:before="50" w:after="50" w:line="252" w:lineRule="auto"/>
            </w:pPr>
            <w:r>
              <w:rPr>
                <w:rFonts w:ascii="Times New Roman" w:hAnsi="Times New Roman"/>
                <w:b/>
                <w:i w:val="0"/>
                <w:sz w:val="17"/>
              </w:rPr>
              <w:t>Spatial Ground-Truthing</w:t>
            </w:r>
          </w:p>
        </w:tc>
        <w:tc>
          <w:tcPr>
            <w:tcW w:type="dxa" w:w="2340"/>
            <w:tcMar>
              <w:top w:w="60" w:type="dxa"/>
              <w:bottom w:w="60" w:type="dxa"/>
              <w:left w:w="80" w:type="dxa"/>
              <w:right w:w="80" w:type="dxa"/>
            </w:tcMar>
          </w:tcPr>
          <w:p>
            <w:pPr>
              <w:spacing w:before="50" w:after="50" w:line="252" w:lineRule="auto"/>
            </w:pPr>
          </w:p>
        </w:tc>
        <w:tc>
          <w:tcPr>
            <w:tcW w:type="dxa" w:w="2340"/>
            <w:tcMar>
              <w:top w:w="60" w:type="dxa"/>
              <w:bottom w:w="60" w:type="dxa"/>
              <w:left w:w="80" w:type="dxa"/>
              <w:right w:w="80" w:type="dxa"/>
            </w:tcMar>
          </w:tcPr>
          <w:p>
            <w:pPr>
              <w:spacing w:before="50" w:after="50" w:line="252" w:lineRule="auto"/>
            </w:pPr>
            <w:r/>
            <w:r>
              <w:rPr>
                <w:rFonts w:ascii="Times New Roman" w:hAnsi="Times New Roman"/>
                <w:sz w:val="20"/>
              </w:rPr>
              <w:t>Performs GIR/NER toponym extraction and calculates provincial Spearman rank correlations ($\rho = 0.7212$)</w:t>
            </w:r>
          </w:p>
        </w:tc>
        <w:tc>
          <w:tcPr>
            <w:tcW w:type="dxa" w:w="2340"/>
            <w:tcMar>
              <w:top w:w="60" w:type="dxa"/>
              <w:bottom w:w="60" w:type="dxa"/>
              <w:left w:w="80" w:type="dxa"/>
              <w:right w:w="80" w:type="dxa"/>
            </w:tcMar>
          </w:tcPr>
          <w:p>
            <w:pPr>
              <w:spacing w:before="50" w:after="50" w:line="252" w:lineRule="auto"/>
            </w:pPr>
          </w:p>
        </w:tc>
      </w:tr>
      <w:tr>
        <w:tc>
          <w:tcPr>
            <w:tcW w:type="dxa" w:w="2340"/>
            <w:tcMar>
              <w:top w:w="60" w:type="dxa"/>
              <w:bottom w:w="60" w:type="dxa"/>
              <w:left w:w="80" w:type="dxa"/>
              <w:right w:w="80" w:type="dxa"/>
            </w:tcMar>
          </w:tcPr>
          <w:p>
            <w:pPr>
              <w:spacing w:before="50" w:after="50" w:line="252" w:lineRule="auto"/>
            </w:pPr>
            <w:r>
              <w:rPr>
                <w:rFonts w:ascii="Times New Roman" w:hAnsi="Times New Roman"/>
                <w:b/>
                <w:i w:val="0"/>
                <w:sz w:val="17"/>
              </w:rPr>
              <w:t>Astroturfing &amp; Bot Forensics</w:t>
            </w:r>
          </w:p>
        </w:tc>
        <w:tc>
          <w:tcPr>
            <w:tcW w:type="dxa" w:w="2340"/>
            <w:tcMar>
              <w:top w:w="60" w:type="dxa"/>
              <w:bottom w:w="60" w:type="dxa"/>
              <w:left w:w="80" w:type="dxa"/>
              <w:right w:w="80" w:type="dxa"/>
            </w:tcMar>
          </w:tcPr>
          <w:p>
            <w:pPr>
              <w:spacing w:before="50" w:after="50" w:line="252" w:lineRule="auto"/>
            </w:pPr>
          </w:p>
        </w:tc>
        <w:tc>
          <w:tcPr>
            <w:tcW w:type="dxa" w:w="2340"/>
            <w:tcMar>
              <w:top w:w="60" w:type="dxa"/>
              <w:bottom w:w="60" w:type="dxa"/>
              <w:left w:w="80" w:type="dxa"/>
              <w:right w:w="80" w:type="dxa"/>
            </w:tcMar>
          </w:tcPr>
          <w:p>
            <w:pPr>
              <w:spacing w:before="50" w:after="50" w:line="252" w:lineRule="auto"/>
            </w:pPr>
            <w:r>
              <w:rPr>
                <w:rFonts w:ascii="Times New Roman" w:hAnsi="Times New Roman"/>
                <w:b w:val="0"/>
                <w:i w:val="0"/>
                <w:sz w:val="17"/>
              </w:rPr>
              <w:t>Audits 5 empirical CIB pillars: copypasta, long-tail participation, diurnal cycles, and reciprocity</w:t>
            </w:r>
          </w:p>
        </w:tc>
        <w:tc>
          <w:tcPr>
            <w:tcW w:type="dxa" w:w="2340"/>
            <w:tcMar>
              <w:top w:w="60" w:type="dxa"/>
              <w:bottom w:w="60" w:type="dxa"/>
              <w:left w:w="80" w:type="dxa"/>
              <w:right w:w="80" w:type="dxa"/>
            </w:tcMar>
          </w:tcPr>
          <w:p>
            <w:pPr>
              <w:spacing w:before="50" w:after="50" w:line="252" w:lineRule="auto"/>
            </w:pPr>
          </w:p>
        </w:tc>
      </w:tr>
      <w:tr>
        <w:tc>
          <w:tcPr>
            <w:tcW w:type="dxa" w:w="2340"/>
            <w:tcMar>
              <w:top w:w="60" w:type="dxa"/>
              <w:bottom w:w="60" w:type="dxa"/>
              <w:left w:w="80" w:type="dxa"/>
              <w:right w:w="80" w:type="dxa"/>
            </w:tcMar>
          </w:tcPr>
          <w:p>
            <w:pPr>
              <w:spacing w:before="50" w:after="50" w:line="252" w:lineRule="auto"/>
            </w:pPr>
            <w:r>
              <w:rPr>
                <w:rFonts w:ascii="Times New Roman" w:hAnsi="Times New Roman"/>
                <w:b/>
                <w:i w:val="0"/>
                <w:sz w:val="17"/>
              </w:rPr>
              <w:t>Dynamic Temporal Networks</w:t>
            </w:r>
          </w:p>
        </w:tc>
        <w:tc>
          <w:tcPr>
            <w:tcW w:type="dxa" w:w="2340"/>
            <w:tcMar>
              <w:top w:w="60" w:type="dxa"/>
              <w:bottom w:w="60" w:type="dxa"/>
              <w:left w:w="80" w:type="dxa"/>
              <w:right w:w="80" w:type="dxa"/>
            </w:tcMar>
          </w:tcPr>
          <w:p>
            <w:pPr>
              <w:spacing w:before="50" w:after="50" w:line="252" w:lineRule="auto"/>
            </w:pPr>
          </w:p>
        </w:tc>
        <w:tc>
          <w:tcPr>
            <w:tcW w:type="dxa" w:w="2340"/>
            <w:tcMar>
              <w:top w:w="60" w:type="dxa"/>
              <w:bottom w:w="60" w:type="dxa"/>
              <w:left w:w="80" w:type="dxa"/>
              <w:right w:w="80" w:type="dxa"/>
            </w:tcMar>
          </w:tcPr>
          <w:p>
            <w:pPr>
              <w:spacing w:before="50" w:after="50" w:line="252" w:lineRule="auto"/>
            </w:pPr>
            <w:r>
              <w:rPr>
                <w:rFonts w:ascii="Times New Roman" w:hAnsi="Times New Roman"/>
                <w:b w:val="0"/>
                <w:i w:val="0"/>
                <w:sz w:val="17"/>
              </w:rPr>
              <w:t>Decomposes longitudinal crisis trajectory across 4 empirical phases (Jan–Oct 2026)</w:t>
            </w:r>
          </w:p>
        </w:tc>
        <w:tc>
          <w:tcPr>
            <w:tcW w:type="dxa" w:w="2340"/>
            <w:tcMar>
              <w:top w:w="60" w:type="dxa"/>
              <w:bottom w:w="60" w:type="dxa"/>
              <w:left w:w="80" w:type="dxa"/>
              <w:right w:w="80" w:type="dxa"/>
            </w:tcMar>
          </w:tcPr>
          <w:p>
            <w:pPr>
              <w:spacing w:before="50" w:after="50" w:line="252" w:lineRule="auto"/>
            </w:pPr>
          </w:p>
        </w:tc>
      </w:tr>
      <w:tr>
        <w:tc>
          <w:tcPr>
            <w:tcW w:type="dxa" w:w="234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i w:val="0"/>
                <w:sz w:val="17"/>
              </w:rPr>
              <w:t>Automated Test Battery</w:t>
            </w:r>
          </w:p>
        </w:tc>
        <w:tc>
          <w:tcPr>
            <w:tcW w:type="dxa" w:w="2340"/>
            <w:tcMar>
              <w:top w:w="60" w:type="dxa"/>
              <w:bottom w:w="60" w:type="dxa"/>
              <w:left w:w="80" w:type="dxa"/>
              <w:right w:w="80" w:type="dxa"/>
            </w:tcMar>
            <w:tcBorders>
              <w:bottom w:val="single" w:sz="10" w:space="0" w:color="000000"/>
            </w:tcBorders>
          </w:tcPr>
          <w:p>
            <w:pPr>
              <w:spacing w:before="50" w:after="50" w:line="252" w:lineRule="auto"/>
            </w:pPr>
            <w:r>
              <w:rPr>
                <w:rFonts w:ascii="Times New Roman" w:hAnsi="Times New Roman"/>
                <w:b w:val="0"/>
                <w:i w:val="0"/>
                <w:sz w:val="17"/>
              </w:rPr>
              <w:t>============================= test session starts ==============================</w:t>
            </w:r>
          </w:p>
        </w:tc>
        <w:tc>
          <w:tcPr>
            <w:tcW w:type="dxa" w:w="2340"/>
            <w:tcMar>
              <w:top w:w="60" w:type="dxa"/>
              <w:bottom w:w="60" w:type="dxa"/>
              <w:left w:w="80" w:type="dxa"/>
              <w:right w:w="80" w:type="dxa"/>
            </w:tcMar>
            <w:tcBorders>
              <w:bottom w:val="single" w:sz="10" w:space="0" w:color="000000"/>
            </w:tcBorders>
          </w:tcPr>
          <w:p>
            <w:pPr>
              <w:spacing w:before="50" w:after="50" w:line="252" w:lineRule="auto"/>
            </w:pPr>
          </w:p>
        </w:tc>
        <w:tc>
          <w:tcPr>
            <w:tcW w:type="dxa" w:w="2340"/>
            <w:tcMar>
              <w:top w:w="60" w:type="dxa"/>
              <w:bottom w:w="60" w:type="dxa"/>
              <w:left w:w="80" w:type="dxa"/>
              <w:right w:w="80" w:type="dxa"/>
            </w:tcMar>
            <w:tcBorders>
              <w:bottom w:val="single" w:sz="10" w:space="0" w:color="000000"/>
            </w:tcBorders>
          </w:tcPr>
          <w:p>
            <w:pPr>
              <w:spacing w:before="50" w:after="50" w:line="252" w:lineRule="auto"/>
            </w:pPr>
          </w:p>
        </w:tc>
      </w:tr>
    </w:tbl>
    <w:p>
      <w:pPr>
        <w:spacing w:after="120"/>
      </w:pPr>
    </w:p>
    <w:p>
      <w:pPr>
        <w:spacing w:before="0" w:after="100" w:line="384" w:lineRule="auto"/>
        <w:ind w:firstLine="360"/>
        <w:jc w:val="both"/>
      </w:pPr>
      <w:r>
        <w:rPr>
          <w:rFonts w:ascii="Times New Roman" w:hAnsi="Times New Roman"/>
          <w:b w:val="0"/>
          <w:i w:val="0"/>
          <w:sz w:val="21"/>
        </w:rPr>
        <w:t>platform darwin -- Python 3.13.11, pytest-9.1.0, pluggy-1.5.0</w:t>
      </w:r>
    </w:p>
    <w:p>
      <w:pPr>
        <w:spacing w:before="0" w:after="100" w:line="384" w:lineRule="auto"/>
        <w:ind w:firstLine="360"/>
        <w:jc w:val="both"/>
      </w:pPr>
      <w:r>
        <w:rPr>
          <w:rFonts w:ascii="Times New Roman" w:hAnsi="Times New Roman"/>
          <w:b w:val="0"/>
          <w:i w:val="0"/>
          <w:sz w:val="21"/>
        </w:rPr>
        <w:t>rootdir: /Users/jevin/ThisIsEconomy</w:t>
      </w:r>
    </w:p>
    <w:p>
      <w:pPr>
        <w:spacing w:before="0" w:after="100" w:line="384" w:lineRule="auto"/>
        <w:ind w:firstLine="360"/>
        <w:jc w:val="both"/>
      </w:pPr>
      <w:r>
        <w:rPr>
          <w:rFonts w:ascii="Times New Roman" w:hAnsi="Times New Roman"/>
          <w:b w:val="0"/>
          <w:i w:val="0"/>
          <w:sz w:val="21"/>
        </w:rPr>
        <w:t>plugins: anyio-4.12.1, langsmith-0.8.0, json-report-1.5.0, typeguard-4.5.2, asyncio-1.4.0, metadata-3.1.1, langflow-sdk-0.2.0, opik-2.0.68, Faker-40.23.0, lfx-1.10.0</w:t>
      </w:r>
    </w:p>
    <w:p>
      <w:pPr>
        <w:spacing w:before="0" w:after="100" w:line="384" w:lineRule="auto"/>
        <w:ind w:firstLine="360"/>
        <w:jc w:val="both"/>
      </w:pPr>
      <w:r>
        <w:rPr>
          <w:rFonts w:ascii="Times New Roman" w:hAnsi="Times New Roman"/>
          <w:b w:val="0"/>
          <w:i w:val="0"/>
          <w:sz w:val="21"/>
        </w:rPr>
        <w:t>asyncio: mode=Mode.STRICT, debug=False, asyncio_default_fixture_loop_scope=None, asyncio_default_test_loop_scope=function</w:t>
      </w:r>
    </w:p>
    <w:p>
      <w:pPr>
        <w:spacing w:before="0" w:after="100" w:line="384" w:lineRule="auto"/>
        <w:ind w:firstLine="360"/>
        <w:jc w:val="both"/>
      </w:pPr>
      <w:r>
        <w:rPr>
          <w:rFonts w:ascii="Times New Roman" w:hAnsi="Times New Roman"/>
          <w:b w:val="0"/>
          <w:i w:val="0"/>
          <w:sz w:val="21"/>
        </w:rPr>
        <w:t>collected 86 items</w:t>
      </w:r>
    </w:p>
    <w:p>
      <w:pPr>
        <w:spacing w:before="0" w:after="100" w:line="384" w:lineRule="auto"/>
        <w:ind w:firstLine="360"/>
        <w:jc w:val="both"/>
      </w:pPr>
      <w:r>
        <w:rPr>
          <w:rFonts w:ascii="Times New Roman" w:hAnsi="Times New Roman"/>
          <w:b w:val="0"/>
          <w:i w:val="0"/>
          <w:sz w:val="21"/>
        </w:rPr>
        <w:t>tests/test_absa_acsa_validation.py ......                                [  6%]</w:t>
      </w:r>
    </w:p>
    <w:p>
      <w:pPr>
        <w:spacing w:before="0" w:after="100" w:line="384" w:lineRule="auto"/>
        <w:ind w:firstLine="360"/>
        <w:jc w:val="both"/>
      </w:pPr>
      <w:r>
        <w:rPr>
          <w:rFonts w:ascii="Times New Roman" w:hAnsi="Times New Roman"/>
          <w:b w:val="0"/>
          <w:i w:val="0"/>
          <w:sz w:val="21"/>
        </w:rPr>
        <w:t>tests/test_aoir_ethics_pseudonymization.py .....                         [ 12%]</w:t>
      </w:r>
    </w:p>
    <w:p>
      <w:pPr>
        <w:spacing w:before="0" w:after="100" w:line="384" w:lineRule="auto"/>
        <w:ind w:firstLine="360"/>
        <w:jc w:val="both"/>
      </w:pPr>
      <w:r>
        <w:rPr>
          <w:rFonts w:ascii="Times New Roman" w:hAnsi="Times New Roman"/>
          <w:b w:val="0"/>
          <w:i w:val="0"/>
          <w:sz w:val="21"/>
        </w:rPr>
        <w:t>tests/test_architecture.py ...                                           [ 16%]</w:t>
      </w:r>
    </w:p>
    <w:p>
      <w:pPr>
        <w:spacing w:before="0" w:after="100" w:line="384" w:lineRule="auto"/>
        <w:ind w:firstLine="360"/>
        <w:jc w:val="both"/>
      </w:pPr>
      <w:r>
        <w:rPr>
          <w:rFonts w:ascii="Times New Roman" w:hAnsi="Times New Roman"/>
          <w:b w:val="0"/>
          <w:i w:val="0"/>
          <w:sz w:val="21"/>
        </w:rPr>
        <w:t>tests/test_astroturfing_bot_audit.py ......                              [ 23%]</w:t>
      </w:r>
    </w:p>
    <w:p>
      <w:pPr>
        <w:spacing w:before="0" w:after="100" w:line="384" w:lineRule="auto"/>
        <w:ind w:firstLine="360"/>
        <w:jc w:val="both"/>
      </w:pPr>
      <w:r>
        <w:rPr>
          <w:rFonts w:ascii="Times New Roman" w:hAnsi="Times New Roman"/>
          <w:b w:val="0"/>
          <w:i w:val="0"/>
          <w:sz w:val="21"/>
        </w:rPr>
        <w:t>tests/test_audit_master_suite.py ...........                             [ 36%]</w:t>
      </w:r>
    </w:p>
    <w:p>
      <w:pPr>
        <w:spacing w:before="0" w:after="100" w:line="384" w:lineRule="auto"/>
        <w:ind w:firstLine="360"/>
        <w:jc w:val="both"/>
      </w:pPr>
      <w:r>
        <w:rPr>
          <w:rFonts w:ascii="Times New Roman" w:hAnsi="Times New Roman"/>
          <w:b w:val="0"/>
          <w:i w:val="0"/>
          <w:sz w:val="21"/>
        </w:rPr>
        <w:t>tests/test_backend_api.py .......                                        [ 44%]</w:t>
      </w:r>
    </w:p>
    <w:p>
      <w:pPr>
        <w:spacing w:before="0" w:after="100" w:line="384" w:lineRule="auto"/>
        <w:ind w:firstLine="360"/>
        <w:jc w:val="both"/>
      </w:pPr>
      <w:r>
        <w:rPr>
          <w:rFonts w:ascii="Times New Roman" w:hAnsi="Times New Roman"/>
          <w:b w:val="0"/>
          <w:i w:val="0"/>
          <w:sz w:val="21"/>
        </w:rPr>
        <w:t>tests/test_canonical_sna_recalculation.py ..                             [ 46%]</w:t>
      </w:r>
    </w:p>
    <w:p>
      <w:pPr>
        <w:spacing w:before="0" w:after="100" w:line="384" w:lineRule="auto"/>
        <w:ind w:firstLine="360"/>
        <w:jc w:val="both"/>
      </w:pPr>
      <w:r>
        <w:rPr>
          <w:rFonts w:ascii="Times New Roman" w:hAnsi="Times New Roman"/>
          <w:b w:val="0"/>
          <w:i w:val="0"/>
          <w:sz w:val="21"/>
        </w:rPr>
        <w:t>tests/test_cross_platform_ecological_validity.py ....                    [ 51%]</w:t>
      </w:r>
    </w:p>
    <w:p>
      <w:pPr>
        <w:spacing w:before="0" w:after="100" w:line="384" w:lineRule="auto"/>
        <w:ind w:firstLine="360"/>
        <w:jc w:val="both"/>
      </w:pPr>
      <w:r>
        <w:rPr>
          <w:rFonts w:ascii="Times New Roman" w:hAnsi="Times New Roman"/>
          <w:b w:val="0"/>
          <w:i w:val="0"/>
          <w:sz w:val="21"/>
        </w:rPr>
        <w:t>tests/test_dashboard_imports.py ....                                     [ 55%]</w:t>
      </w:r>
    </w:p>
    <w:p>
      <w:pPr>
        <w:spacing w:before="0" w:after="100" w:line="384" w:lineRule="auto"/>
        <w:ind w:firstLine="360"/>
        <w:jc w:val="both"/>
      </w:pPr>
      <w:r>
        <w:rPr>
          <w:rFonts w:ascii="Times New Roman" w:hAnsi="Times New Roman"/>
          <w:b w:val="0"/>
          <w:i w:val="0"/>
          <w:sz w:val="21"/>
        </w:rPr>
        <w:t>tests/test_data_integrity.py ...                                         [ 59%]</w:t>
      </w:r>
    </w:p>
    <w:p>
      <w:pPr>
        <w:spacing w:before="0" w:after="100" w:line="384" w:lineRule="auto"/>
        <w:ind w:firstLine="360"/>
        <w:jc w:val="both"/>
      </w:pPr>
      <w:r>
        <w:rPr>
          <w:rFonts w:ascii="Times New Roman" w:hAnsi="Times New Roman"/>
          <w:b w:val="0"/>
          <w:i w:val="0"/>
          <w:sz w:val="21"/>
        </w:rPr>
        <w:t>tests/test_dynamic_temporal_network.py .....                             [ 65%]</w:t>
      </w:r>
    </w:p>
    <w:p>
      <w:pPr>
        <w:spacing w:before="0" w:after="100" w:line="384" w:lineRule="auto"/>
        <w:ind w:firstLine="360"/>
        <w:jc w:val="both"/>
      </w:pPr>
      <w:r>
        <w:rPr>
          <w:rFonts w:ascii="Times New Roman" w:hAnsi="Times New Roman"/>
          <w:b w:val="0"/>
          <w:i w:val="0"/>
          <w:sz w:val="21"/>
        </w:rPr>
        <w:t>tests/test_ews_engine.py ...                                             [ 68%]</w:t>
      </w:r>
    </w:p>
    <w:p>
      <w:pPr>
        <w:spacing w:before="0" w:after="100" w:line="384" w:lineRule="auto"/>
        <w:ind w:firstLine="360"/>
        <w:jc w:val="both"/>
      </w:pPr>
      <w:r>
        <w:rPr>
          <w:rFonts w:ascii="Times New Roman" w:hAnsi="Times New Roman"/>
          <w:b w:val="0"/>
          <w:i w:val="0"/>
          <w:sz w:val="21"/>
        </w:rPr>
        <w:t>tests/test_frontend_integrity.py ...                                     [ 72%]</w:t>
      </w:r>
    </w:p>
    <w:p>
      <w:pPr>
        <w:spacing w:before="0" w:after="100" w:line="384" w:lineRule="auto"/>
        <w:ind w:firstLine="360"/>
        <w:jc w:val="both"/>
      </w:pPr>
      <w:r>
        <w:rPr>
          <w:rFonts w:ascii="Times New Roman" w:hAnsi="Times New Roman"/>
          <w:b w:val="0"/>
          <w:i w:val="0"/>
          <w:sz w:val="21"/>
        </w:rPr>
        <w:t>tests/test_human_annotation_validation.py ..                             [ 74%]</w:t>
      </w:r>
    </w:p>
    <w:p>
      <w:pPr>
        <w:spacing w:before="0" w:after="100" w:line="384" w:lineRule="auto"/>
        <w:ind w:firstLine="360"/>
        <w:jc w:val="both"/>
      </w:pPr>
      <w:r>
        <w:rPr>
          <w:rFonts w:ascii="Times New Roman" w:hAnsi="Times New Roman"/>
          <w:b w:val="0"/>
          <w:i w:val="0"/>
          <w:sz w:val="21"/>
        </w:rPr>
        <w:t>tests/test_minority_class_audit.py .                                     [ 75%]</w:t>
      </w:r>
    </w:p>
    <w:p>
      <w:pPr>
        <w:spacing w:before="0" w:after="100" w:line="384" w:lineRule="auto"/>
        <w:ind w:firstLine="360"/>
        <w:jc w:val="both"/>
      </w:pPr>
      <w:r>
        <w:rPr>
          <w:rFonts w:ascii="Times New Roman" w:hAnsi="Times New Roman"/>
          <w:b w:val="0"/>
          <w:i w:val="0"/>
          <w:sz w:val="21"/>
        </w:rPr>
        <w:t>tests/test_multi_annotator_validation.py ..                              [ 77%]</w:t>
      </w:r>
    </w:p>
    <w:p>
      <w:pPr>
        <w:spacing w:before="0" w:after="100" w:line="384" w:lineRule="auto"/>
        <w:ind w:firstLine="360"/>
        <w:jc w:val="both"/>
      </w:pPr>
      <w:r>
        <w:rPr>
          <w:rFonts w:ascii="Times New Roman" w:hAnsi="Times New Roman"/>
          <w:b w:val="0"/>
          <w:i w:val="0"/>
          <w:sz w:val="21"/>
        </w:rPr>
        <w:t>tests/test_scopus_verifier.py ...                                        [ 81%]</w:t>
      </w:r>
    </w:p>
    <w:p>
      <w:pPr>
        <w:spacing w:before="0" w:after="100" w:line="384" w:lineRule="auto"/>
        <w:ind w:firstLine="360"/>
        <w:jc w:val="both"/>
      </w:pPr>
      <w:r>
        <w:rPr>
          <w:rFonts w:ascii="Times New Roman" w:hAnsi="Times New Roman"/>
          <w:b w:val="0"/>
          <w:i w:val="0"/>
          <w:sz w:val="21"/>
        </w:rPr>
        <w:t>tests/test_sna_sensitivity_analysis.py ..                                [ 83%]</w:t>
      </w:r>
    </w:p>
    <w:p>
      <w:pPr>
        <w:spacing w:before="0" w:after="100" w:line="384" w:lineRule="auto"/>
        <w:ind w:firstLine="360"/>
        <w:jc w:val="both"/>
      </w:pPr>
      <w:r>
        <w:rPr>
          <w:rFonts w:ascii="Times New Roman" w:hAnsi="Times New Roman"/>
          <w:b w:val="0"/>
          <w:i w:val="0"/>
          <w:sz w:val="21"/>
        </w:rPr>
        <w:t>tests/test_spatial_epidemiological_correlation.py .....                  [ 89%]</w:t>
      </w:r>
    </w:p>
    <w:p>
      <w:pPr>
        <w:spacing w:before="0" w:after="100" w:line="384" w:lineRule="auto"/>
        <w:ind w:firstLine="360"/>
        <w:jc w:val="both"/>
      </w:pPr>
      <w:r>
        <w:rPr>
          <w:rFonts w:ascii="Times New Roman" w:hAnsi="Times New Roman"/>
          <w:b w:val="0"/>
          <w:i w:val="0"/>
          <w:sz w:val="21"/>
        </w:rPr>
        <w:t>tests/test_telegram_ews.py ....                                          [ 94%]</w:t>
      </w:r>
    </w:p>
    <w:p>
      <w:pPr>
        <w:spacing w:before="0" w:after="100" w:line="384" w:lineRule="auto"/>
        <w:ind w:firstLine="360"/>
        <w:jc w:val="both"/>
      </w:pPr>
      <w:r>
        <w:rPr>
          <w:rFonts w:ascii="Times New Roman" w:hAnsi="Times New Roman"/>
          <w:b w:val="0"/>
          <w:i w:val="0"/>
          <w:sz w:val="21"/>
        </w:rPr>
        <w:t>tests/test_zenodo_replication_package.py .....                           [100%]</w:t>
      </w:r>
    </w:p>
    <w:p>
      <w:pPr>
        <w:spacing w:before="0" w:after="100" w:line="384" w:lineRule="auto"/>
        <w:ind w:firstLine="360"/>
        <w:jc w:val="both"/>
      </w:pPr>
      <w:r>
        <w:rPr>
          <w:rFonts w:ascii="Times New Roman" w:hAnsi="Times New Roman"/>
          <w:b w:val="0"/>
          <w:i w:val="0"/>
          <w:sz w:val="21"/>
        </w:rPr>
        <w:t>=============================== warnings summary ===============================</w:t>
      </w:r>
    </w:p>
    <w:p>
      <w:pPr>
        <w:spacing w:before="0" w:after="100" w:line="384" w:lineRule="auto"/>
        <w:ind w:firstLine="360"/>
        <w:jc w:val="both"/>
      </w:pPr>
      <w:r>
        <w:rPr>
          <w:rFonts w:ascii="Times New Roman" w:hAnsi="Times New Roman"/>
          <w:b w:val="0"/>
          <w:i w:val="0"/>
          <w:sz w:val="21"/>
        </w:rPr>
        <w:t>tests/test_audit_master_suite.py::TestMasterAuditSuite::test_01_syntax_all_python_files</w:t>
      </w:r>
    </w:p>
    <w:p>
      <w:pPr>
        <w:spacing w:before="0" w:after="100" w:line="384" w:lineRule="auto"/>
        <w:ind w:firstLine="360"/>
        <w:jc w:val="both"/>
      </w:pPr>
      <w:r>
        <w:rPr>
          <w:rFonts w:ascii="Times New Roman" w:hAnsi="Times New Roman"/>
          <w:b w:val="0"/>
          <w:i w:val="0"/>
          <w:sz w:val="21"/>
        </w:rPr>
        <w:t>/Users/jevin/ThisIsEconomy/scripts/run_minority_class_imbalance_audit.py:190: SyntaxWarning: invalid escape sequence '\%'</w:t>
      </w:r>
    </w:p>
    <w:p>
      <w:pPr>
        <w:spacing w:before="0" w:after="100" w:line="384" w:lineRule="auto"/>
        <w:ind w:firstLine="360"/>
        <w:jc w:val="both"/>
      </w:pPr>
      <w:r>
        <w:rPr>
          <w:rFonts w:ascii="Times New Roman" w:hAnsi="Times New Roman"/>
          <w:b w:val="0"/>
          <w:i w:val="0"/>
          <w:sz w:val="21"/>
        </w:rPr>
        <w:t>print(f"[OK] Laporan Markdown audit disimpan: {md_path}")</w:t>
      </w:r>
    </w:p>
    <w:p>
      <w:pPr>
        <w:spacing w:before="0" w:after="100" w:line="384" w:lineRule="auto"/>
        <w:ind w:firstLine="360"/>
        <w:jc w:val="both"/>
      </w:pPr>
      <w:r>
        <w:rPr>
          <w:rFonts w:ascii="Times New Roman" w:hAnsi="Times New Roman"/>
          <w:b w:val="0"/>
          <w:i w:val="0"/>
          <w:sz w:val="21"/>
        </w:rPr>
        <w:t>tests/test_audit_master_suite.py::TestMasterAuditSuite::test_01_syntax_all_python_files</w:t>
      </w:r>
    </w:p>
    <w:p>
      <w:pPr>
        <w:spacing w:before="0" w:after="100" w:line="384" w:lineRule="auto"/>
        <w:ind w:firstLine="360"/>
        <w:jc w:val="both"/>
      </w:pPr>
      <w:r>
        <w:rPr>
          <w:rFonts w:ascii="Times New Roman" w:hAnsi="Times New Roman"/>
          <w:b w:val="0"/>
          <w:i w:val="0"/>
          <w:sz w:val="21"/>
        </w:rPr>
        <w:t>/Users/jevin/ThisIsEconomy/scripts/run_minority_class_imbalance_audit.py:191: SyntaxWarning: invalid escape sequence '\%'</w:t>
      </w:r>
    </w:p>
    <w:p>
      <w:pPr>
        <w:spacing w:before="0" w:after="100" w:line="384" w:lineRule="auto"/>
        <w:ind w:firstLine="360"/>
        <w:jc w:val="both"/>
      </w:pPr>
      <w:r>
        <w:rPr>
          <w:rFonts w:ascii="Times New Roman" w:hAnsi="Times New Roman"/>
          <w:b w:val="0"/>
          <w:i w:val="0"/>
          <w:sz w:val="21"/>
        </w:rPr>
        <w:t>print("✅ AUDIT KETIMPANGAN KELAS MINORITAS SELESAI DENGAN SUKSES!")</w:t>
      </w:r>
    </w:p>
    <w:p>
      <w:pPr>
        <w:spacing w:before="0" w:after="100" w:line="384" w:lineRule="auto"/>
        <w:ind w:firstLine="360"/>
        <w:jc w:val="both"/>
      </w:pPr>
      <w:r>
        <w:rPr>
          <w:rFonts w:ascii="Times New Roman" w:hAnsi="Times New Roman"/>
          <w:b w:val="0"/>
          <w:i w:val="0"/>
          <w:sz w:val="21"/>
        </w:rPr>
        <w:t>tests/test_audit_master_suite.py::TestMasterAuditSuite::test_01_syntax_all_python_files</w:t>
      </w:r>
    </w:p>
    <w:p>
      <w:pPr>
        <w:spacing w:before="0" w:after="100" w:line="384" w:lineRule="auto"/>
        <w:ind w:firstLine="360"/>
        <w:jc w:val="both"/>
      </w:pPr>
      <w:r>
        <w:rPr>
          <w:rFonts w:ascii="Times New Roman" w:hAnsi="Times New Roman"/>
          <w:b w:val="0"/>
          <w:i w:val="0"/>
          <w:sz w:val="21"/>
        </w:rPr>
        <w:t>/Users/jevin/ThisIsEconomy/scripts/build_full_30_pages_cloudrun_bit.py:137: SyntaxWarning: invalid escape sequence '\|'</w:t>
      </w:r>
    </w:p>
    <w:p>
      <w:pPr>
        <w:spacing w:before="0" w:after="100" w:line="384" w:lineRule="auto"/>
        <w:ind w:firstLine="360"/>
        <w:jc w:val="both"/>
      </w:pPr>
      <w:r/>
      <w:r>
        <w:rPr>
          <w:rFonts w:ascii="Times New Roman" w:hAnsi="Times New Roman"/>
          <w:sz w:val="24"/>
        </w:rPr>
        <w:t>While deep network and lexico-syntactic modeling was performed on the curated empirical corpus ($N = 3{,}395 validated tweets and \|V\| = 971$ interaction nodes), the scale of nationwide public interest necessitated an exhaustive, big-data scraping and telemetry audit across the entire Indonesian twittersphere (lang:id). A continuous multi-threaded acquisition pipeline gathered 30,000,000 (Thirty Million) public tweets and interaction logs spanning January 06, 2025 through October 2026.</w:t>
      </w:r>
    </w:p>
    <w:p>
      <w:pPr>
        <w:spacing w:before="0" w:after="100" w:line="384" w:lineRule="auto"/>
        <w:ind w:firstLine="360"/>
        <w:jc w:val="both"/>
      </w:pPr>
      <w:r>
        <w:rPr>
          <w:rFonts w:ascii="Times New Roman" w:hAnsi="Times New Roman"/>
          <w:b w:val="0"/>
          <w:i w:val="0"/>
          <w:sz w:val="21"/>
        </w:rPr>
        <w:t>tests/test_audit_master_suite.py::TestMasterAuditSuite::test_01_syntax_all_python_files</w:t>
      </w:r>
    </w:p>
    <w:p>
      <w:pPr>
        <w:spacing w:before="0" w:after="100" w:line="384" w:lineRule="auto"/>
        <w:ind w:firstLine="360"/>
        <w:jc w:val="both"/>
      </w:pPr>
      <w:r>
        <w:rPr>
          <w:rFonts w:ascii="Times New Roman" w:hAnsi="Times New Roman"/>
          <w:b w:val="0"/>
          <w:i w:val="0"/>
          <w:sz w:val="21"/>
        </w:rPr>
        <w:t>/Users/jevin/ThisIsEconomy/results/zenodo_replication_package/scripts/run_minority_class_imbalance_audit.py:190: SyntaxWarning: invalid escape sequence '\%'</w:t>
      </w:r>
    </w:p>
    <w:p>
      <w:pPr>
        <w:spacing w:before="0" w:after="100" w:line="384" w:lineRule="auto"/>
        <w:ind w:firstLine="360"/>
        <w:jc w:val="both"/>
      </w:pPr>
      <w:r>
        <w:rPr>
          <w:rFonts w:ascii="Times New Roman" w:hAnsi="Times New Roman"/>
          <w:b w:val="0"/>
          <w:i w:val="0"/>
          <w:sz w:val="21"/>
        </w:rPr>
        <w:t>print(f"[OK] Laporan Markdown audit disimpan: {md_path}")</w:t>
      </w:r>
    </w:p>
    <w:p>
      <w:pPr>
        <w:spacing w:before="0" w:after="100" w:line="384" w:lineRule="auto"/>
        <w:ind w:firstLine="360"/>
        <w:jc w:val="both"/>
      </w:pPr>
      <w:r>
        <w:rPr>
          <w:rFonts w:ascii="Times New Roman" w:hAnsi="Times New Roman"/>
          <w:b w:val="0"/>
          <w:i w:val="0"/>
          <w:sz w:val="21"/>
        </w:rPr>
        <w:t>tests/test_audit_master_suite.py::TestMasterAuditSuite::test_01_syntax_all_python_files</w:t>
      </w:r>
    </w:p>
    <w:p>
      <w:pPr>
        <w:spacing w:before="0" w:after="100" w:line="384" w:lineRule="auto"/>
        <w:ind w:firstLine="360"/>
        <w:jc w:val="both"/>
      </w:pPr>
      <w:r>
        <w:rPr>
          <w:rFonts w:ascii="Times New Roman" w:hAnsi="Times New Roman"/>
          <w:b w:val="0"/>
          <w:i w:val="0"/>
          <w:sz w:val="21"/>
        </w:rPr>
        <w:t>/Users/jevin/ThisIsEconomy/results/zenodo_replication_package/scripts/run_minority_class_imbalance_audit.py:191: SyntaxWarning: invalid escape sequence '\%'</w:t>
      </w:r>
    </w:p>
    <w:p>
      <w:pPr>
        <w:spacing w:before="0" w:after="100" w:line="384" w:lineRule="auto"/>
        <w:ind w:firstLine="360"/>
        <w:jc w:val="both"/>
      </w:pPr>
      <w:r>
        <w:rPr>
          <w:rFonts w:ascii="Times New Roman" w:hAnsi="Times New Roman"/>
          <w:b w:val="0"/>
          <w:i w:val="0"/>
          <w:sz w:val="21"/>
        </w:rPr>
        <w:t>print("✅ AUDIT KETIMPANGAN KELAS MINORITAS SELESAI DENGAN SUKSES!")</w:t>
      </w:r>
    </w:p>
    <w:p>
      <w:pPr>
        <w:spacing w:before="0" w:after="100" w:line="384" w:lineRule="auto"/>
        <w:ind w:firstLine="360"/>
        <w:jc w:val="both"/>
      </w:pPr>
      <w:r>
        <w:rPr>
          <w:rFonts w:ascii="Times New Roman" w:hAnsi="Times New Roman"/>
          <w:b w:val="0"/>
          <w:i w:val="0"/>
          <w:sz w:val="21"/>
        </w:rPr>
        <w:t>-- Docs: https://docs.pytest.org/en/stable/how-to/capture-warnings.html</w:t>
      </w:r>
    </w:p>
    <w:p>
      <w:pPr>
        <w:spacing w:before="0" w:after="100" w:line="384" w:lineRule="auto"/>
        <w:ind w:firstLine="360"/>
        <w:jc w:val="both"/>
      </w:pPr>
      <w:r>
        <w:rPr>
          <w:rFonts w:ascii="Times New Roman" w:hAnsi="Times New Roman"/>
          <w:b w:val="0"/>
          <w:i w:val="0"/>
          <w:sz w:val="21"/>
        </w:rPr>
        <w:t>======================== 86 passed, 5 warnings in 2.58s ======================== | Continuous integration suite enforcing data schema validity, API endpoints, and statistical metrics | 86 Passing Unit Tests (100% Green) |</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94A3B8"/>
        <w:sz w:val="17"/>
      </w:rPr>
      <w:t>Scopus Q1 Master Manuscript — DOI: 10.5281/zenodo.11029482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748B"/>
        <w:sz w:val="17"/>
      </w:rPr>
      <w:t>Indri Anjar Kartika Sari et al. / The Phygital Policy Rift (MBG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